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B3011">
      <w:pPr>
        <w:rPr>
          <w:rFonts w:ascii="仿宋_GB2312" w:hAnsi="仿宋_GB2312" w:eastAsia="仿宋_GB2312" w:cs="仿宋_GB2312"/>
          <w:sz w:val="36"/>
          <w:szCs w:val="36"/>
        </w:rPr>
      </w:pPr>
    </w:p>
    <w:p w14:paraId="0980D2F0">
      <w:pPr>
        <w:rPr>
          <w:rFonts w:ascii="仿宋_GB2312" w:hAnsi="仿宋_GB2312" w:eastAsia="仿宋_GB2312" w:cs="仿宋_GB2312"/>
          <w:sz w:val="36"/>
          <w:szCs w:val="36"/>
        </w:rPr>
      </w:pPr>
    </w:p>
    <w:p w14:paraId="14C2DEC9">
      <w:pPr>
        <w:rPr>
          <w:rFonts w:ascii="仿宋_GB2312" w:hAnsi="仿宋_GB2312" w:eastAsia="仿宋_GB2312" w:cs="仿宋_GB2312"/>
          <w:sz w:val="36"/>
          <w:szCs w:val="36"/>
        </w:rPr>
      </w:pPr>
    </w:p>
    <w:p w14:paraId="3B265071">
      <w:pPr>
        <w:rPr>
          <w:rFonts w:ascii="仿宋_GB2312" w:hAnsi="仿宋_GB2312" w:eastAsia="仿宋_GB2312" w:cs="仿宋_GB2312"/>
          <w:sz w:val="36"/>
          <w:szCs w:val="36"/>
        </w:rPr>
      </w:pPr>
    </w:p>
    <w:p w14:paraId="1606170E">
      <w:pPr>
        <w:adjustRightInd w:val="0"/>
        <w:snapToGrid w:val="0"/>
        <w:jc w:val="center"/>
        <w:outlineLvl w:val="0"/>
        <w:rPr>
          <w:rFonts w:hint="eastAsia" w:ascii="方正小标宋_GBK" w:eastAsia="方正小标宋_GBK"/>
          <w:bCs/>
          <w:sz w:val="72"/>
          <w:szCs w:val="72"/>
        </w:rPr>
      </w:pPr>
      <w:bookmarkStart w:id="0" w:name="_Toc26594"/>
      <w:r>
        <w:rPr>
          <w:rFonts w:hint="eastAsia" w:ascii="方正小标宋_GBK" w:eastAsia="方正小标宋_GBK"/>
          <w:bCs/>
          <w:sz w:val="72"/>
          <w:szCs w:val="72"/>
        </w:rPr>
        <w:t>建设项目环境影响报告表</w:t>
      </w:r>
      <w:bookmarkEnd w:id="0"/>
    </w:p>
    <w:p w14:paraId="544B396D">
      <w:pPr>
        <w:adjustRightInd w:val="0"/>
        <w:snapToGrid w:val="0"/>
        <w:spacing w:before="192" w:beforeLines="80"/>
        <w:jc w:val="center"/>
        <w:outlineLvl w:val="0"/>
        <w:rPr>
          <w:rFonts w:hint="default" w:ascii="楷体_GB2312" w:eastAsia="楷体_GB2312"/>
          <w:bCs/>
          <w:sz w:val="48"/>
          <w:szCs w:val="48"/>
          <w:lang w:val="en-US" w:eastAsia="zh-CN"/>
        </w:rPr>
      </w:pPr>
      <w:bookmarkStart w:id="1" w:name="_Toc26080"/>
      <w:r>
        <w:rPr>
          <w:rFonts w:hint="eastAsia" w:ascii="楷体_GB2312" w:eastAsia="楷体_GB2312"/>
          <w:bCs/>
          <w:sz w:val="48"/>
          <w:szCs w:val="48"/>
          <w:lang w:val="en-US" w:eastAsia="zh-CN"/>
        </w:rPr>
        <w:t>污染影响类</w:t>
      </w:r>
      <w:bookmarkEnd w:id="1"/>
    </w:p>
    <w:p w14:paraId="664F7F37">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w:t>
      </w:r>
      <w:r>
        <w:rPr>
          <w:rFonts w:hint="eastAsia" w:ascii="楷体_GB2312" w:eastAsia="楷体_GB2312"/>
          <w:bCs/>
          <w:sz w:val="48"/>
          <w:szCs w:val="48"/>
          <w:lang w:val="en-US" w:eastAsia="zh-CN"/>
        </w:rPr>
        <w:t>送审</w:t>
      </w:r>
      <w:r>
        <w:rPr>
          <w:rFonts w:hint="eastAsia" w:ascii="楷体_GB2312" w:eastAsia="楷体_GB2312"/>
          <w:bCs/>
          <w:sz w:val="48"/>
          <w:szCs w:val="48"/>
        </w:rPr>
        <w:t>本）</w:t>
      </w:r>
    </w:p>
    <w:p w14:paraId="27E56D19">
      <w:pPr>
        <w:adjustRightInd w:val="0"/>
        <w:snapToGrid w:val="0"/>
        <w:spacing w:line="288" w:lineRule="auto"/>
        <w:jc w:val="center"/>
        <w:outlineLvl w:val="9"/>
        <w:rPr>
          <w:rFonts w:ascii="华文仿宋" w:hAnsi="华文仿宋" w:eastAsia="华文仿宋" w:cs="华文仿宋"/>
          <w:kern w:val="44"/>
          <w:sz w:val="44"/>
          <w:szCs w:val="44"/>
        </w:rPr>
      </w:pPr>
    </w:p>
    <w:p w14:paraId="75569F7C">
      <w:pPr>
        <w:jc w:val="center"/>
        <w:rPr>
          <w:rFonts w:eastAsia="仿宋"/>
          <w:sz w:val="52"/>
          <w:szCs w:val="52"/>
        </w:rPr>
      </w:pPr>
    </w:p>
    <w:p w14:paraId="2F185B39">
      <w:pPr>
        <w:ind w:firstLine="1040"/>
        <w:rPr>
          <w:rFonts w:eastAsia="仿宋"/>
          <w:sz w:val="44"/>
          <w:szCs w:val="44"/>
        </w:rPr>
      </w:pPr>
    </w:p>
    <w:p w14:paraId="5CFA248C">
      <w:pPr>
        <w:adjustRightInd w:val="0"/>
        <w:snapToGrid w:val="0"/>
        <w:spacing w:before="192" w:beforeLines="80"/>
        <w:jc w:val="left"/>
        <w:rPr>
          <w:rFonts w:hint="eastAsia"/>
          <w:b/>
          <w:bCs/>
          <w:sz w:val="24"/>
        </w:rPr>
      </w:pPr>
    </w:p>
    <w:p w14:paraId="6AACB803">
      <w:pPr>
        <w:adjustRightInd w:val="0"/>
        <w:snapToGrid w:val="0"/>
        <w:spacing w:before="192" w:beforeLines="80" w:line="360" w:lineRule="auto"/>
        <w:ind w:left="2694" w:leftChars="304" w:hanging="2056" w:hangingChars="569"/>
        <w:jc w:val="left"/>
        <w:outlineLvl w:val="0"/>
        <w:rPr>
          <w:rFonts w:hint="eastAsia" w:ascii="仿宋_GB2312" w:hAnsi="仿宋_GB2312" w:eastAsia="仿宋_GB2312" w:cs="仿宋_GB2312"/>
          <w:b/>
          <w:bCs/>
          <w:sz w:val="36"/>
          <w:szCs w:val="36"/>
          <w:u w:val="single"/>
          <w:lang w:eastAsia="zh-CN"/>
        </w:rPr>
      </w:pPr>
      <w:bookmarkStart w:id="2" w:name="_Toc7352"/>
      <w:r>
        <w:rPr>
          <w:rFonts w:hint="eastAsia" w:ascii="仿宋_GB2312" w:hAnsi="仿宋_GB2312" w:eastAsia="仿宋_GB2312" w:cs="仿宋_GB2312"/>
          <w:b/>
          <w:bCs/>
          <w:sz w:val="36"/>
          <w:szCs w:val="36"/>
        </w:rPr>
        <w:t>项目名称：</w:t>
      </w:r>
      <w:r>
        <w:rPr>
          <w:rFonts w:hint="eastAsia" w:ascii="仿宋_GB2312" w:hAnsi="仿宋_GB2312" w:eastAsia="仿宋_GB2312" w:cs="仿宋_GB2312"/>
          <w:b/>
          <w:bCs/>
          <w:sz w:val="36"/>
          <w:szCs w:val="36"/>
          <w:u w:val="single"/>
        </w:rPr>
        <w:t xml:space="preserve"> </w:t>
      </w:r>
      <w:r>
        <w:rPr>
          <w:rFonts w:hint="eastAsia" w:ascii="仿宋_GB2312" w:hAnsi="仿宋_GB2312" w:eastAsia="仿宋_GB2312" w:cs="仿宋_GB2312"/>
          <w:b/>
          <w:bCs/>
          <w:sz w:val="36"/>
          <w:szCs w:val="36"/>
          <w:u w:val="single"/>
          <w:lang w:eastAsia="zh-CN"/>
        </w:rPr>
        <w:t>遂宁广瑞汽车配件年产汽车内外装饰件</w:t>
      </w:r>
      <w:bookmarkEnd w:id="2"/>
    </w:p>
    <w:p w14:paraId="66D62690">
      <w:pPr>
        <w:adjustRightInd w:val="0"/>
        <w:snapToGrid w:val="0"/>
        <w:spacing w:before="192" w:beforeLines="80" w:line="360" w:lineRule="auto"/>
        <w:ind w:left="2483" w:leftChars="1064" w:hanging="249" w:hangingChars="69"/>
        <w:jc w:val="left"/>
        <w:outlineLvl w:val="0"/>
        <w:rPr>
          <w:rFonts w:hint="eastAsia" w:ascii="仿宋_GB2312" w:hAnsi="仿宋_GB2312" w:eastAsia="仿宋_GB2312" w:cs="仿宋_GB2312"/>
          <w:b/>
          <w:bCs/>
          <w:sz w:val="36"/>
          <w:szCs w:val="36"/>
        </w:rPr>
      </w:pPr>
      <w:bookmarkStart w:id="3" w:name="_Toc12392"/>
      <w:r>
        <w:rPr>
          <w:rFonts w:hint="eastAsia" w:ascii="仿宋_GB2312" w:hAnsi="仿宋_GB2312" w:eastAsia="仿宋_GB2312" w:cs="仿宋_GB2312"/>
          <w:b/>
          <w:bCs/>
          <w:sz w:val="36"/>
          <w:szCs w:val="36"/>
          <w:u w:val="single"/>
          <w:lang w:eastAsia="zh-CN"/>
        </w:rPr>
        <w:t>105万件生产线项目</w:t>
      </w:r>
      <w:bookmarkEnd w:id="3"/>
      <w:r>
        <w:rPr>
          <w:rFonts w:hint="eastAsia" w:ascii="仿宋_GB2312" w:hAnsi="仿宋_GB2312" w:eastAsia="仿宋_GB2312" w:cs="仿宋_GB2312"/>
          <w:b/>
          <w:bCs/>
          <w:sz w:val="36"/>
          <w:szCs w:val="36"/>
          <w:u w:val="single"/>
        </w:rPr>
        <w:t xml:space="preserve"> </w:t>
      </w:r>
      <w:r>
        <w:rPr>
          <w:rFonts w:hint="eastAsia" w:ascii="仿宋_GB2312" w:hAnsi="仿宋_GB2312" w:eastAsia="仿宋_GB2312" w:cs="仿宋_GB2312"/>
          <w:b/>
          <w:bCs/>
          <w:sz w:val="36"/>
          <w:szCs w:val="36"/>
        </w:rPr>
        <w:t xml:space="preserve">   </w:t>
      </w:r>
    </w:p>
    <w:p w14:paraId="4EAD86E8">
      <w:pPr>
        <w:adjustRightInd w:val="0"/>
        <w:snapToGrid w:val="0"/>
        <w:spacing w:before="192" w:beforeLines="80" w:line="480" w:lineRule="auto"/>
        <w:ind w:firstLine="473" w:firstLineChars="131"/>
        <w:jc w:val="left"/>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建设单位（盖章）：</w:t>
      </w:r>
      <w:r>
        <w:rPr>
          <w:rFonts w:hint="eastAsia" w:ascii="仿宋_GB2312" w:hAnsi="仿宋_GB2312" w:eastAsia="仿宋_GB2312" w:cs="仿宋_GB2312"/>
          <w:b/>
          <w:bCs/>
          <w:sz w:val="36"/>
          <w:szCs w:val="36"/>
          <w:u w:val="single"/>
        </w:rPr>
        <w:t xml:space="preserve"> </w:t>
      </w:r>
      <w:r>
        <w:rPr>
          <w:rFonts w:hint="eastAsia" w:ascii="仿宋_GB2312" w:hAnsi="仿宋_GB2312" w:eastAsia="仿宋_GB2312" w:cs="仿宋_GB2312"/>
          <w:b/>
          <w:bCs/>
          <w:sz w:val="36"/>
          <w:szCs w:val="36"/>
          <w:u w:val="single"/>
          <w:lang w:eastAsia="zh-CN"/>
        </w:rPr>
        <w:t>遂宁广瑞汽车配件有限公司</w:t>
      </w:r>
      <w:r>
        <w:rPr>
          <w:rFonts w:hint="eastAsia" w:ascii="仿宋_GB2312" w:hAnsi="仿宋_GB2312" w:eastAsia="仿宋_GB2312" w:cs="仿宋_GB2312"/>
          <w:b/>
          <w:bCs/>
          <w:sz w:val="36"/>
          <w:szCs w:val="36"/>
          <w:u w:val="single"/>
        </w:rPr>
        <w:t xml:space="preserve">    </w:t>
      </w:r>
      <w:r>
        <w:rPr>
          <w:rFonts w:hint="eastAsia" w:ascii="仿宋_GB2312" w:hAnsi="仿宋_GB2312" w:eastAsia="仿宋_GB2312" w:cs="仿宋_GB2312"/>
          <w:b/>
          <w:bCs/>
          <w:sz w:val="36"/>
          <w:szCs w:val="36"/>
        </w:rPr>
        <w:t xml:space="preserve">  </w:t>
      </w:r>
    </w:p>
    <w:p w14:paraId="5FC9DF0B">
      <w:pPr>
        <w:adjustRightInd w:val="0"/>
        <w:snapToGrid w:val="0"/>
        <w:spacing w:before="192" w:beforeLines="80" w:line="480" w:lineRule="auto"/>
        <w:ind w:firstLine="473" w:firstLineChars="131"/>
        <w:jc w:val="left"/>
        <w:rPr>
          <w:b/>
          <w:bCs/>
          <w:sz w:val="32"/>
          <w:szCs w:val="32"/>
        </w:rPr>
      </w:pPr>
      <w:r>
        <w:rPr>
          <w:rFonts w:hint="eastAsia" w:ascii="仿宋_GB2312" w:hAnsi="仿宋_GB2312" w:eastAsia="仿宋_GB2312" w:cs="仿宋_GB2312"/>
          <w:b/>
          <w:bCs/>
          <w:sz w:val="36"/>
          <w:szCs w:val="36"/>
        </w:rPr>
        <w:t>编制日期：</w:t>
      </w:r>
      <w:r>
        <w:rPr>
          <w:rFonts w:hint="eastAsia" w:ascii="仿宋_GB2312" w:hAnsi="仿宋_GB2312" w:eastAsia="仿宋_GB2312" w:cs="仿宋_GB2312"/>
          <w:b/>
          <w:bCs/>
          <w:sz w:val="36"/>
          <w:szCs w:val="36"/>
          <w:u w:val="single"/>
        </w:rPr>
        <w:t xml:space="preserve">         202</w:t>
      </w:r>
      <w:r>
        <w:rPr>
          <w:rFonts w:hint="eastAsia" w:ascii="仿宋_GB2312" w:hAnsi="仿宋_GB2312" w:eastAsia="仿宋_GB2312" w:cs="仿宋_GB2312"/>
          <w:b/>
          <w:bCs/>
          <w:sz w:val="36"/>
          <w:szCs w:val="36"/>
          <w:u w:val="single"/>
          <w:lang w:val="en-US" w:eastAsia="zh-CN"/>
        </w:rPr>
        <w:t>4</w:t>
      </w:r>
      <w:r>
        <w:rPr>
          <w:rFonts w:hint="eastAsia" w:ascii="仿宋_GB2312" w:hAnsi="仿宋_GB2312" w:eastAsia="仿宋_GB2312" w:cs="仿宋_GB2312"/>
          <w:b/>
          <w:bCs/>
          <w:sz w:val="36"/>
          <w:szCs w:val="36"/>
          <w:u w:val="single"/>
        </w:rPr>
        <w:t>年</w:t>
      </w:r>
      <w:r>
        <w:rPr>
          <w:rFonts w:hint="eastAsia" w:ascii="仿宋_GB2312" w:hAnsi="仿宋_GB2312" w:eastAsia="仿宋_GB2312" w:cs="仿宋_GB2312"/>
          <w:b/>
          <w:bCs/>
          <w:sz w:val="36"/>
          <w:szCs w:val="36"/>
          <w:u w:val="single"/>
          <w:lang w:val="en-US" w:eastAsia="zh-CN"/>
        </w:rPr>
        <w:t>10</w:t>
      </w:r>
      <w:r>
        <w:rPr>
          <w:rFonts w:hint="eastAsia" w:ascii="仿宋_GB2312" w:hAnsi="仿宋_GB2312" w:eastAsia="仿宋_GB2312" w:cs="仿宋_GB2312"/>
          <w:b/>
          <w:bCs/>
          <w:sz w:val="36"/>
          <w:szCs w:val="36"/>
          <w:u w:val="single"/>
        </w:rPr>
        <w:t xml:space="preserve">月                </w:t>
      </w:r>
      <w:r>
        <w:rPr>
          <w:b/>
          <w:bCs/>
          <w:sz w:val="32"/>
          <w:szCs w:val="32"/>
        </w:rPr>
        <w:t xml:space="preserve">        </w:t>
      </w:r>
    </w:p>
    <w:p w14:paraId="5BBD73BA">
      <w:pPr>
        <w:adjustRightInd w:val="0"/>
        <w:snapToGrid w:val="0"/>
        <w:spacing w:line="288" w:lineRule="auto"/>
        <w:ind w:firstLine="1040"/>
        <w:rPr>
          <w:rFonts w:eastAsia="仿宋_GB2312"/>
          <w:sz w:val="32"/>
          <w:szCs w:val="32"/>
          <w:u w:val="single"/>
        </w:rPr>
      </w:pPr>
      <w:bookmarkStart w:id="4" w:name="_Hlk57884087"/>
    </w:p>
    <w:p w14:paraId="52800BA9">
      <w:pPr>
        <w:bidi w:val="0"/>
      </w:pPr>
    </w:p>
    <w:p w14:paraId="27AD623B">
      <w:pPr>
        <w:adjustRightInd w:val="0"/>
        <w:snapToGrid w:val="0"/>
        <w:spacing w:line="288" w:lineRule="auto"/>
        <w:rPr>
          <w:rFonts w:eastAsia="仿宋_GB2312"/>
          <w:sz w:val="36"/>
          <w:szCs w:val="36"/>
        </w:rPr>
      </w:pPr>
    </w:p>
    <w:bookmarkEnd w:id="4"/>
    <w:p w14:paraId="18C53223">
      <w:pPr>
        <w:adjustRightInd w:val="0"/>
        <w:snapToGrid w:val="0"/>
        <w:spacing w:line="288" w:lineRule="auto"/>
        <w:jc w:val="center"/>
        <w:rPr>
          <w:rFonts w:eastAsia="楷体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eastAsia="楷体_GB2312"/>
          <w:sz w:val="36"/>
          <w:szCs w:val="36"/>
        </w:rPr>
        <w:t>中华人民共和国生态环境部</w:t>
      </w:r>
    </w:p>
    <w:p w14:paraId="29E258CF">
      <w:p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sdt>
      <w:sdtPr>
        <w:rPr>
          <w:rFonts w:ascii="宋体" w:hAnsi="宋体" w:eastAsia="宋体" w:cs="Times New Roman"/>
          <w:kern w:val="2"/>
          <w:sz w:val="21"/>
          <w:szCs w:val="24"/>
          <w:lang w:val="en-US" w:eastAsia="zh-CN" w:bidi="ar-SA"/>
        </w:rPr>
        <w:id w:val="147468901"/>
        <w15:color w:val="DBDBDB"/>
        <w:docPartObj>
          <w:docPartGallery w:val="Table of Contents"/>
          <w:docPartUnique/>
        </w:docPartObj>
      </w:sdtPr>
      <w:sdtEndPr>
        <w:rPr>
          <w:rFonts w:ascii="宋体" w:hAnsi="宋体" w:eastAsia="宋体" w:cs="宋体"/>
          <w:b/>
          <w:bCs/>
          <w:kern w:val="2"/>
          <w:sz w:val="24"/>
          <w:szCs w:val="24"/>
          <w:lang w:val="zh-CN" w:eastAsia="zh-CN" w:bidi="zh-CN"/>
        </w:rPr>
      </w:sdtEndPr>
      <w:sdtContent>
        <w:p w14:paraId="367B4D85">
          <w:pPr>
            <w:spacing w:before="0" w:beforeLines="0" w:after="0" w:afterLines="0" w:line="360" w:lineRule="auto"/>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8"/>
              <w:szCs w:val="28"/>
            </w:rPr>
            <w:t>目录</w:t>
          </w:r>
        </w:p>
        <w:p w14:paraId="14168084">
          <w:pPr>
            <w:pStyle w:val="88"/>
            <w:tabs>
              <w:tab w:val="right" w:leader="dot" w:pos="8844"/>
            </w:tabs>
            <w:spacing w:line="360" w:lineRule="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TOC \o "1-2" \h \u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HYPERLINK \l _Toc11426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napToGrid w:val="0"/>
              <w:sz w:val="21"/>
              <w:szCs w:val="21"/>
            </w:rPr>
            <w:t>一、建设项目基本情况</w:t>
          </w:r>
          <w:r>
            <w:rPr>
              <w:rFonts w:hint="default" w:ascii="Times New Roman" w:hAnsi="Times New Roman" w:eastAsia="宋体" w:cs="Times New Roman"/>
              <w:b/>
              <w:sz w:val="21"/>
              <w:szCs w:val="21"/>
            </w:rPr>
            <w:tab/>
          </w: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PAGEREF _Toc11426 \h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z w:val="21"/>
              <w:szCs w:val="21"/>
            </w:rPr>
            <w:t>1</w:t>
          </w:r>
          <w:r>
            <w:rPr>
              <w:rFonts w:hint="default" w:ascii="Times New Roman" w:hAnsi="Times New Roman" w:eastAsia="宋体" w:cs="Times New Roman"/>
              <w:b/>
              <w:sz w:val="21"/>
              <w:szCs w:val="21"/>
            </w:rPr>
            <w:fldChar w:fldCharType="end"/>
          </w:r>
          <w:r>
            <w:rPr>
              <w:rFonts w:hint="default" w:ascii="Times New Roman" w:hAnsi="Times New Roman" w:eastAsia="宋体" w:cs="Times New Roman"/>
              <w:b/>
              <w:sz w:val="21"/>
              <w:szCs w:val="21"/>
            </w:rPr>
            <w:fldChar w:fldCharType="end"/>
          </w:r>
        </w:p>
        <w:p w14:paraId="661ACFCD">
          <w:pPr>
            <w:pStyle w:val="88"/>
            <w:tabs>
              <w:tab w:val="right" w:leader="dot" w:pos="8844"/>
            </w:tabs>
            <w:spacing w:line="360" w:lineRule="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HYPERLINK \l _Toc12867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napToGrid w:val="0"/>
              <w:sz w:val="21"/>
              <w:szCs w:val="21"/>
            </w:rPr>
            <w:t>二、建设项目工程分析</w:t>
          </w:r>
          <w:r>
            <w:rPr>
              <w:rFonts w:hint="default" w:ascii="Times New Roman" w:hAnsi="Times New Roman" w:eastAsia="宋体" w:cs="Times New Roman"/>
              <w:b/>
              <w:sz w:val="21"/>
              <w:szCs w:val="21"/>
            </w:rPr>
            <w:tab/>
          </w: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PAGEREF _Toc12867 \h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z w:val="21"/>
              <w:szCs w:val="21"/>
            </w:rPr>
            <w:t>26</w:t>
          </w:r>
          <w:r>
            <w:rPr>
              <w:rFonts w:hint="default" w:ascii="Times New Roman" w:hAnsi="Times New Roman" w:eastAsia="宋体" w:cs="Times New Roman"/>
              <w:b/>
              <w:sz w:val="21"/>
              <w:szCs w:val="21"/>
            </w:rPr>
            <w:fldChar w:fldCharType="end"/>
          </w:r>
          <w:r>
            <w:rPr>
              <w:rFonts w:hint="default" w:ascii="Times New Roman" w:hAnsi="Times New Roman" w:eastAsia="宋体" w:cs="Times New Roman"/>
              <w:b/>
              <w:sz w:val="21"/>
              <w:szCs w:val="21"/>
            </w:rPr>
            <w:fldChar w:fldCharType="end"/>
          </w:r>
        </w:p>
        <w:p w14:paraId="78F06124">
          <w:pPr>
            <w:pStyle w:val="88"/>
            <w:tabs>
              <w:tab w:val="right" w:leader="dot" w:pos="8844"/>
            </w:tabs>
            <w:spacing w:line="360" w:lineRule="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HYPERLINK \l _Toc4574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napToGrid w:val="0"/>
              <w:sz w:val="21"/>
              <w:szCs w:val="21"/>
            </w:rPr>
            <w:t>三、区域环境质量现状、环境保护目标及评价标准</w:t>
          </w:r>
          <w:r>
            <w:rPr>
              <w:rFonts w:hint="default" w:ascii="Times New Roman" w:hAnsi="Times New Roman" w:eastAsia="宋体" w:cs="Times New Roman"/>
              <w:b/>
              <w:sz w:val="21"/>
              <w:szCs w:val="21"/>
            </w:rPr>
            <w:tab/>
          </w: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PAGEREF _Toc4574 \h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z w:val="21"/>
              <w:szCs w:val="21"/>
            </w:rPr>
            <w:t>39</w:t>
          </w:r>
          <w:r>
            <w:rPr>
              <w:rFonts w:hint="default" w:ascii="Times New Roman" w:hAnsi="Times New Roman" w:eastAsia="宋体" w:cs="Times New Roman"/>
              <w:b/>
              <w:sz w:val="21"/>
              <w:szCs w:val="21"/>
            </w:rPr>
            <w:fldChar w:fldCharType="end"/>
          </w:r>
          <w:r>
            <w:rPr>
              <w:rFonts w:hint="default" w:ascii="Times New Roman" w:hAnsi="Times New Roman" w:eastAsia="宋体" w:cs="Times New Roman"/>
              <w:b/>
              <w:sz w:val="21"/>
              <w:szCs w:val="21"/>
            </w:rPr>
            <w:fldChar w:fldCharType="end"/>
          </w:r>
        </w:p>
        <w:p w14:paraId="7FAF6695">
          <w:pPr>
            <w:pStyle w:val="88"/>
            <w:tabs>
              <w:tab w:val="right" w:leader="dot" w:pos="8844"/>
            </w:tabs>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HYPERLINK \l _Toc17224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napToGrid w:val="0"/>
              <w:sz w:val="21"/>
              <w:szCs w:val="21"/>
            </w:rPr>
            <w:t>四、主要环境影响和保护措施</w:t>
          </w:r>
          <w:r>
            <w:rPr>
              <w:rFonts w:hint="default" w:ascii="Times New Roman" w:hAnsi="Times New Roman" w:eastAsia="宋体" w:cs="Times New Roman"/>
              <w:b/>
              <w:sz w:val="21"/>
              <w:szCs w:val="21"/>
            </w:rPr>
            <w:tab/>
          </w: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PAGEREF _Toc17224 \h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z w:val="21"/>
              <w:szCs w:val="21"/>
            </w:rPr>
            <w:t>45</w:t>
          </w:r>
          <w:r>
            <w:rPr>
              <w:rFonts w:hint="default" w:ascii="Times New Roman" w:hAnsi="Times New Roman" w:eastAsia="宋体" w:cs="Times New Roman"/>
              <w:b/>
              <w:sz w:val="21"/>
              <w:szCs w:val="21"/>
            </w:rPr>
            <w:fldChar w:fldCharType="end"/>
          </w:r>
          <w:r>
            <w:rPr>
              <w:rFonts w:hint="default" w:ascii="Times New Roman" w:hAnsi="Times New Roman" w:eastAsia="宋体" w:cs="Times New Roman"/>
              <w:b/>
              <w:sz w:val="21"/>
              <w:szCs w:val="21"/>
            </w:rPr>
            <w:fldChar w:fldCharType="end"/>
          </w:r>
        </w:p>
        <w:p w14:paraId="6686587A">
          <w:pPr>
            <w:pStyle w:val="88"/>
            <w:tabs>
              <w:tab w:val="right" w:leader="dot" w:pos="8844"/>
            </w:tabs>
            <w:spacing w:line="360" w:lineRule="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HYPERLINK \l _Toc1966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napToGrid w:val="0"/>
              <w:sz w:val="21"/>
              <w:szCs w:val="21"/>
            </w:rPr>
            <w:t>五、环境保护措施监督检查清单</w:t>
          </w:r>
          <w:r>
            <w:rPr>
              <w:rFonts w:hint="default" w:ascii="Times New Roman" w:hAnsi="Times New Roman" w:eastAsia="宋体" w:cs="Times New Roman"/>
              <w:b/>
              <w:sz w:val="21"/>
              <w:szCs w:val="21"/>
            </w:rPr>
            <w:tab/>
          </w: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PAGEREF _Toc1966 \h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z w:val="21"/>
              <w:szCs w:val="21"/>
            </w:rPr>
            <w:t>78</w:t>
          </w:r>
          <w:r>
            <w:rPr>
              <w:rFonts w:hint="default" w:ascii="Times New Roman" w:hAnsi="Times New Roman" w:eastAsia="宋体" w:cs="Times New Roman"/>
              <w:b/>
              <w:sz w:val="21"/>
              <w:szCs w:val="21"/>
            </w:rPr>
            <w:fldChar w:fldCharType="end"/>
          </w:r>
          <w:r>
            <w:rPr>
              <w:rFonts w:hint="default" w:ascii="Times New Roman" w:hAnsi="Times New Roman" w:eastAsia="宋体" w:cs="Times New Roman"/>
              <w:b/>
              <w:sz w:val="21"/>
              <w:szCs w:val="21"/>
            </w:rPr>
            <w:fldChar w:fldCharType="end"/>
          </w:r>
        </w:p>
        <w:p w14:paraId="1D3FC4E1">
          <w:pPr>
            <w:pStyle w:val="88"/>
            <w:tabs>
              <w:tab w:val="right" w:leader="dot" w:pos="8844"/>
            </w:tabs>
            <w:spacing w:line="360" w:lineRule="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HYPERLINK \l _Toc7605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napToGrid w:val="0"/>
              <w:sz w:val="21"/>
              <w:szCs w:val="21"/>
            </w:rPr>
            <w:t>六、结论</w:t>
          </w:r>
          <w:r>
            <w:rPr>
              <w:rFonts w:hint="default" w:ascii="Times New Roman" w:hAnsi="Times New Roman" w:eastAsia="宋体" w:cs="Times New Roman"/>
              <w:b/>
              <w:sz w:val="21"/>
              <w:szCs w:val="21"/>
            </w:rPr>
            <w:tab/>
          </w:r>
          <w:r>
            <w:rPr>
              <w:rFonts w:hint="default" w:ascii="Times New Roman" w:hAnsi="Times New Roman" w:eastAsia="宋体" w:cs="Times New Roman"/>
              <w:b/>
              <w:sz w:val="21"/>
              <w:szCs w:val="21"/>
            </w:rPr>
            <w:fldChar w:fldCharType="begin"/>
          </w:r>
          <w:r>
            <w:rPr>
              <w:rFonts w:hint="default" w:ascii="Times New Roman" w:hAnsi="Times New Roman" w:eastAsia="宋体" w:cs="Times New Roman"/>
              <w:b/>
              <w:sz w:val="21"/>
              <w:szCs w:val="21"/>
            </w:rPr>
            <w:instrText xml:space="preserve"> PAGEREF _Toc7605 \h </w:instrText>
          </w:r>
          <w:r>
            <w:rPr>
              <w:rFonts w:hint="default" w:ascii="Times New Roman" w:hAnsi="Times New Roman" w:eastAsia="宋体" w:cs="Times New Roman"/>
              <w:b/>
              <w:sz w:val="21"/>
              <w:szCs w:val="21"/>
            </w:rPr>
            <w:fldChar w:fldCharType="separate"/>
          </w:r>
          <w:r>
            <w:rPr>
              <w:rFonts w:hint="default" w:ascii="Times New Roman" w:hAnsi="Times New Roman" w:eastAsia="宋体" w:cs="Times New Roman"/>
              <w:b/>
              <w:sz w:val="21"/>
              <w:szCs w:val="21"/>
            </w:rPr>
            <w:t>80</w:t>
          </w:r>
          <w:r>
            <w:rPr>
              <w:rFonts w:hint="default" w:ascii="Times New Roman" w:hAnsi="Times New Roman" w:eastAsia="宋体" w:cs="Times New Roman"/>
              <w:b/>
              <w:sz w:val="21"/>
              <w:szCs w:val="21"/>
            </w:rPr>
            <w:fldChar w:fldCharType="end"/>
          </w:r>
          <w:r>
            <w:rPr>
              <w:rFonts w:hint="default" w:ascii="Times New Roman" w:hAnsi="Times New Roman" w:eastAsia="宋体" w:cs="Times New Roman"/>
              <w:b/>
              <w:sz w:val="21"/>
              <w:szCs w:val="21"/>
            </w:rPr>
            <w:fldChar w:fldCharType="end"/>
          </w:r>
        </w:p>
        <w:p w14:paraId="72D1250C">
          <w:pPr>
            <w:pStyle w:val="5"/>
            <w:spacing w:line="240" w:lineRule="auto"/>
            <w:ind w:left="0" w:leftChars="0" w:firstLine="0" w:firstLineChars="0"/>
            <w:outlineLvl w:val="9"/>
          </w:pPr>
          <w:r>
            <w:rPr>
              <w:rFonts w:hint="default" w:ascii="Times New Roman" w:hAnsi="Times New Roman" w:eastAsia="宋体" w:cs="Times New Roman"/>
              <w:b/>
              <w:sz w:val="21"/>
              <w:szCs w:val="21"/>
            </w:rPr>
            <w:fldChar w:fldCharType="end"/>
          </w:r>
        </w:p>
      </w:sdtContent>
    </w:sdt>
    <w:p w14:paraId="4FCDCDF6">
      <w:pPr>
        <w:bidi w:val="0"/>
        <w:spacing w:line="360" w:lineRule="auto"/>
        <w:rPr>
          <w:rFonts w:hint="eastAsia"/>
          <w:lang w:val="en-US" w:eastAsia="zh-CN"/>
        </w:rPr>
      </w:pPr>
      <w:r>
        <w:rPr>
          <w:rFonts w:hint="eastAsia"/>
          <w:b/>
          <w:bCs/>
          <w:sz w:val="24"/>
          <w:szCs w:val="24"/>
          <w:lang w:val="en-US" w:eastAsia="zh-CN"/>
        </w:rPr>
        <w:t>附图</w:t>
      </w:r>
    </w:p>
    <w:p w14:paraId="326F945D">
      <w:pPr>
        <w:bidi w:val="0"/>
        <w:spacing w:line="360" w:lineRule="auto"/>
        <w:rPr>
          <w:rFonts w:hint="default"/>
          <w:lang w:val="en-US" w:eastAsia="zh-CN"/>
        </w:rPr>
      </w:pPr>
      <w:r>
        <w:rPr>
          <w:rFonts w:hint="default"/>
          <w:lang w:val="en-US" w:eastAsia="zh-CN"/>
        </w:rPr>
        <w:t>附图1 项目地理位置图</w:t>
      </w:r>
    </w:p>
    <w:p w14:paraId="5EE4A910">
      <w:pPr>
        <w:bidi w:val="0"/>
        <w:spacing w:line="360" w:lineRule="auto"/>
        <w:rPr>
          <w:rFonts w:hint="default"/>
          <w:lang w:val="en-US" w:eastAsia="zh-CN"/>
        </w:rPr>
      </w:pPr>
      <w:r>
        <w:rPr>
          <w:rFonts w:hint="default"/>
          <w:lang w:val="en-US" w:eastAsia="zh-CN"/>
        </w:rPr>
        <w:t>附图2-1 喷涂车间平面布置及防渗分区图</w:t>
      </w:r>
    </w:p>
    <w:p w14:paraId="3D678CCA">
      <w:pPr>
        <w:bidi w:val="0"/>
        <w:spacing w:line="360" w:lineRule="auto"/>
        <w:rPr>
          <w:rFonts w:hint="default"/>
          <w:lang w:val="en-US" w:eastAsia="zh-CN"/>
        </w:rPr>
      </w:pPr>
      <w:r>
        <w:rPr>
          <w:rFonts w:hint="default"/>
          <w:lang w:val="en-US" w:eastAsia="zh-CN"/>
        </w:rPr>
        <w:t>附图2-2注塑车间平面布置及防渗分区图</w:t>
      </w:r>
    </w:p>
    <w:p w14:paraId="0266C5C7">
      <w:pPr>
        <w:bidi w:val="0"/>
        <w:spacing w:line="360" w:lineRule="auto"/>
        <w:rPr>
          <w:rFonts w:hint="default"/>
          <w:lang w:val="en-US" w:eastAsia="zh-CN"/>
        </w:rPr>
      </w:pPr>
      <w:r>
        <w:rPr>
          <w:rFonts w:hint="default"/>
          <w:lang w:val="en-US" w:eastAsia="zh-CN"/>
        </w:rPr>
        <w:t>附图3-1喷涂车间楼顶平面布置图</w:t>
      </w:r>
    </w:p>
    <w:p w14:paraId="7C89B675">
      <w:pPr>
        <w:bidi w:val="0"/>
        <w:spacing w:line="360" w:lineRule="auto"/>
        <w:rPr>
          <w:rFonts w:hint="default"/>
          <w:lang w:val="en-US" w:eastAsia="zh-CN"/>
        </w:rPr>
      </w:pPr>
      <w:r>
        <w:rPr>
          <w:rFonts w:hint="default"/>
          <w:lang w:val="en-US" w:eastAsia="zh-CN"/>
        </w:rPr>
        <w:t>附图3-2 注塑车间楼顶平面布置图</w:t>
      </w:r>
    </w:p>
    <w:p w14:paraId="74BAF6D6">
      <w:pPr>
        <w:bidi w:val="0"/>
        <w:spacing w:line="360" w:lineRule="auto"/>
        <w:rPr>
          <w:rFonts w:hint="default"/>
          <w:lang w:val="en-US" w:eastAsia="zh-CN"/>
        </w:rPr>
      </w:pPr>
      <w:r>
        <w:rPr>
          <w:rFonts w:hint="default"/>
          <w:lang w:val="en-US" w:eastAsia="zh-CN"/>
        </w:rPr>
        <w:t>附图4 项目所在区域土地利用规划图</w:t>
      </w:r>
    </w:p>
    <w:p w14:paraId="6B16023E">
      <w:pPr>
        <w:bidi w:val="0"/>
        <w:spacing w:line="360" w:lineRule="auto"/>
        <w:rPr>
          <w:rFonts w:hint="default"/>
          <w:lang w:val="en-US" w:eastAsia="zh-CN"/>
        </w:rPr>
      </w:pPr>
      <w:r>
        <w:rPr>
          <w:rFonts w:hint="default"/>
          <w:lang w:val="en-US" w:eastAsia="zh-CN"/>
        </w:rPr>
        <w:t>附图5 项目外环境关系图</w:t>
      </w:r>
    </w:p>
    <w:p w14:paraId="3353006D">
      <w:pPr>
        <w:bidi w:val="0"/>
        <w:spacing w:line="360" w:lineRule="auto"/>
        <w:rPr>
          <w:rFonts w:hint="default"/>
          <w:lang w:val="en-US" w:eastAsia="zh-CN"/>
        </w:rPr>
      </w:pPr>
      <w:r>
        <w:rPr>
          <w:rFonts w:hint="default"/>
          <w:lang w:val="en-US" w:eastAsia="zh-CN"/>
        </w:rPr>
        <w:t>附图6 项目环境监测布点图</w:t>
      </w:r>
    </w:p>
    <w:p w14:paraId="25EC4289">
      <w:pPr>
        <w:bidi w:val="0"/>
        <w:spacing w:line="360" w:lineRule="auto"/>
        <w:rPr>
          <w:rFonts w:hint="eastAsia"/>
          <w:lang w:val="en-US" w:eastAsia="zh-CN"/>
        </w:rPr>
      </w:pPr>
      <w:r>
        <w:rPr>
          <w:rFonts w:hint="eastAsia"/>
          <w:b/>
          <w:bCs/>
          <w:sz w:val="24"/>
          <w:szCs w:val="24"/>
          <w:lang w:val="en-US" w:eastAsia="zh-CN"/>
        </w:rPr>
        <w:t>附件</w:t>
      </w:r>
    </w:p>
    <w:p w14:paraId="20A6F07A">
      <w:pPr>
        <w:bidi w:val="0"/>
        <w:spacing w:line="360" w:lineRule="auto"/>
        <w:rPr>
          <w:rFonts w:hint="default"/>
          <w:lang w:val="en-US" w:eastAsia="zh-CN"/>
        </w:rPr>
      </w:pPr>
      <w:r>
        <w:rPr>
          <w:rFonts w:hint="default"/>
          <w:lang w:val="en-US" w:eastAsia="zh-CN"/>
        </w:rPr>
        <w:t>附件1 委托书</w:t>
      </w:r>
    </w:p>
    <w:p w14:paraId="590AE6DA">
      <w:pPr>
        <w:bidi w:val="0"/>
        <w:spacing w:line="360" w:lineRule="auto"/>
        <w:rPr>
          <w:rFonts w:hint="default"/>
          <w:lang w:val="en-US" w:eastAsia="zh-CN"/>
        </w:rPr>
      </w:pPr>
      <w:r>
        <w:rPr>
          <w:rFonts w:hint="default"/>
          <w:lang w:val="en-US" w:eastAsia="zh-CN"/>
        </w:rPr>
        <w:t>附件2 项目备案证明</w:t>
      </w:r>
    </w:p>
    <w:p w14:paraId="006C2A45">
      <w:pPr>
        <w:bidi w:val="0"/>
        <w:spacing w:line="360" w:lineRule="auto"/>
        <w:rPr>
          <w:rFonts w:hint="default"/>
          <w:lang w:val="en-US" w:eastAsia="zh-CN"/>
        </w:rPr>
      </w:pPr>
      <w:r>
        <w:rPr>
          <w:rFonts w:hint="default"/>
          <w:lang w:val="en-US" w:eastAsia="zh-CN"/>
        </w:rPr>
        <w:t>附件3 入园证明</w:t>
      </w:r>
    </w:p>
    <w:p w14:paraId="268D2A80">
      <w:pPr>
        <w:bidi w:val="0"/>
        <w:spacing w:line="360" w:lineRule="auto"/>
        <w:rPr>
          <w:rFonts w:hint="default"/>
          <w:lang w:val="en-US" w:eastAsia="zh-CN"/>
        </w:rPr>
      </w:pPr>
      <w:r>
        <w:rPr>
          <w:rFonts w:hint="default"/>
          <w:lang w:val="en-US" w:eastAsia="zh-CN"/>
        </w:rPr>
        <w:t>附件4 公司租赁合同</w:t>
      </w:r>
    </w:p>
    <w:p w14:paraId="75E1ECE0">
      <w:pPr>
        <w:bidi w:val="0"/>
        <w:spacing w:line="360" w:lineRule="auto"/>
        <w:rPr>
          <w:rFonts w:hint="default"/>
          <w:lang w:val="en-US" w:eastAsia="zh-CN"/>
        </w:rPr>
      </w:pPr>
      <w:r>
        <w:rPr>
          <w:rFonts w:hint="default"/>
          <w:lang w:val="en-US" w:eastAsia="zh-CN"/>
        </w:rPr>
        <w:t>附件5 建设用地规划许可证</w:t>
      </w:r>
    </w:p>
    <w:p w14:paraId="2F8607EA">
      <w:pPr>
        <w:bidi w:val="0"/>
        <w:spacing w:line="360" w:lineRule="auto"/>
        <w:rPr>
          <w:rFonts w:hint="default"/>
          <w:lang w:val="en-US" w:eastAsia="zh-CN"/>
        </w:rPr>
      </w:pPr>
      <w:r>
        <w:rPr>
          <w:rFonts w:hint="default"/>
          <w:lang w:val="en-US" w:eastAsia="zh-CN"/>
        </w:rPr>
        <w:t>附件6 项目声环境现状监测报告</w:t>
      </w:r>
    </w:p>
    <w:p w14:paraId="5DEC8365">
      <w:pPr>
        <w:bidi w:val="0"/>
        <w:spacing w:line="360" w:lineRule="auto"/>
        <w:rPr>
          <w:rFonts w:hint="default"/>
          <w:lang w:val="en-US" w:eastAsia="zh-CN"/>
        </w:rPr>
      </w:pPr>
      <w:r>
        <w:rPr>
          <w:rFonts w:hint="default"/>
          <w:lang w:val="en-US" w:eastAsia="zh-CN"/>
        </w:rPr>
        <w:t>附件7 引用环境质量现状监测报告</w:t>
      </w:r>
    </w:p>
    <w:p w14:paraId="4AC8467A">
      <w:pPr>
        <w:bidi w:val="0"/>
        <w:spacing w:line="360" w:lineRule="auto"/>
        <w:rPr>
          <w:rFonts w:hint="default"/>
          <w:lang w:val="en-US" w:eastAsia="zh-CN"/>
        </w:rPr>
      </w:pPr>
      <w:r>
        <w:rPr>
          <w:rFonts w:hint="default"/>
          <w:lang w:val="en-US" w:eastAsia="zh-CN"/>
        </w:rPr>
        <w:t>附件8 项目油漆检测报告</w:t>
      </w:r>
    </w:p>
    <w:p w14:paraId="265DF070">
      <w:pPr>
        <w:bidi w:val="0"/>
        <w:spacing w:line="360" w:lineRule="auto"/>
        <w:rPr>
          <w:rFonts w:hint="default"/>
          <w:lang w:val="en-US" w:eastAsia="zh-CN"/>
        </w:rPr>
      </w:pPr>
      <w:r>
        <w:rPr>
          <w:rFonts w:hint="default"/>
          <w:lang w:val="en-US" w:eastAsia="zh-CN"/>
        </w:rPr>
        <w:t>附件9 规划环评审查意见的函</w:t>
      </w:r>
    </w:p>
    <w:p w14:paraId="6E8C831D">
      <w:pPr>
        <w:bidi w:val="0"/>
        <w:spacing w:line="360" w:lineRule="auto"/>
        <w:rPr>
          <w:rFonts w:hint="default"/>
          <w:lang w:val="en-US" w:eastAsia="zh-CN"/>
        </w:rPr>
      </w:pPr>
      <w:r>
        <w:rPr>
          <w:rFonts w:hint="default"/>
          <w:lang w:val="en-US" w:eastAsia="zh-CN"/>
        </w:rPr>
        <w:t xml:space="preserve">附件10 项目原辅料MSDS </w:t>
      </w:r>
    </w:p>
    <w:p w14:paraId="5F334563">
      <w:pPr>
        <w:bidi w:val="0"/>
        <w:spacing w:line="360" w:lineRule="auto"/>
        <w:rPr>
          <w:rFonts w:hint="default"/>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F3222B4"/>
    <w:p w14:paraId="109F187E">
      <w:pPr>
        <w:adjustRightInd w:val="0"/>
        <w:snapToGrid w:val="0"/>
        <w:spacing w:line="288" w:lineRule="auto"/>
        <w:ind w:firstLine="1040"/>
        <w:rPr>
          <w:rFonts w:eastAsia="仿宋_GB2312"/>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D08BC03">
      <w:pPr>
        <w:pStyle w:val="9"/>
        <w:spacing w:before="0" w:beforeAutospacing="0" w:after="0" w:afterAutospacing="0"/>
        <w:outlineLvl w:val="0"/>
        <w:rPr>
          <w:rFonts w:ascii="Times New Roman" w:hAnsi="Times New Roman" w:eastAsia="黑体"/>
          <w:snapToGrid w:val="0"/>
          <w:sz w:val="30"/>
          <w:szCs w:val="30"/>
        </w:rPr>
      </w:pPr>
      <w:bookmarkStart w:id="5" w:name="_Toc11426"/>
      <w:r>
        <w:rPr>
          <w:rFonts w:ascii="Times New Roman" w:hAnsi="Times New Roman" w:eastAsia="黑体"/>
          <w:snapToGrid w:val="0"/>
          <w:sz w:val="30"/>
          <w:szCs w:val="30"/>
        </w:rPr>
        <w:t>一、建设项目基本情况</w:t>
      </w:r>
      <w:bookmarkEnd w:id="5"/>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5"/>
        <w:gridCol w:w="2114"/>
        <w:gridCol w:w="2362"/>
        <w:gridCol w:w="2630"/>
      </w:tblGrid>
      <w:tr w14:paraId="2EF2D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6360DC4F">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建设项目名称</w:t>
            </w:r>
          </w:p>
        </w:tc>
        <w:tc>
          <w:tcPr>
            <w:tcW w:w="7106" w:type="dxa"/>
            <w:gridSpan w:val="3"/>
            <w:noWrap w:val="0"/>
            <w:vAlign w:val="center"/>
          </w:tcPr>
          <w:p w14:paraId="14D8E4AD">
            <w:pPr>
              <w:adjustRightInd w:val="0"/>
              <w:snapToGrid w:val="0"/>
              <w:jc w:val="center"/>
              <w:rPr>
                <w:rFonts w:hint="default" w:ascii="Times New Roman" w:hAnsi="Times New Roman" w:eastAsia="宋体" w:cs="Times New Roman"/>
                <w:szCs w:val="21"/>
                <w:lang w:eastAsia="zh-CN"/>
              </w:rPr>
            </w:pPr>
            <w:r>
              <w:rPr>
                <w:rFonts w:hint="eastAsia" w:cs="Times New Roman"/>
                <w:lang w:eastAsia="zh-CN"/>
              </w:rPr>
              <w:t>遂宁广瑞汽车配件年产汽车内外装饰件105万件生产线项目</w:t>
            </w:r>
          </w:p>
        </w:tc>
      </w:tr>
      <w:tr w14:paraId="5930B3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563A28C1">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项目代码</w:t>
            </w:r>
          </w:p>
        </w:tc>
        <w:tc>
          <w:tcPr>
            <w:tcW w:w="7106" w:type="dxa"/>
            <w:gridSpan w:val="3"/>
            <w:noWrap w:val="0"/>
            <w:vAlign w:val="center"/>
          </w:tcPr>
          <w:p w14:paraId="56DF6A70">
            <w:pPr>
              <w:adjustRightInd w:val="0"/>
              <w:snapToGrid w:val="0"/>
              <w:jc w:val="center"/>
              <w:rPr>
                <w:rFonts w:hint="eastAsia" w:ascii="Times New Roman" w:hAnsi="Times New Roman" w:eastAsia="宋体" w:cs="Times New Roman"/>
                <w:szCs w:val="21"/>
                <w:lang w:eastAsia="zh-CN"/>
              </w:rPr>
            </w:pPr>
            <w:r>
              <w:rPr>
                <w:rFonts w:hint="eastAsia" w:cs="Times New Roman"/>
                <w:szCs w:val="21"/>
                <w:lang w:eastAsia="zh-CN"/>
              </w:rPr>
              <w:t>2408-510921-99-01-523065</w:t>
            </w:r>
          </w:p>
        </w:tc>
      </w:tr>
      <w:tr w14:paraId="6DBCA8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75F2522B">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建设单位联系人</w:t>
            </w:r>
          </w:p>
        </w:tc>
        <w:tc>
          <w:tcPr>
            <w:tcW w:w="2114" w:type="dxa"/>
            <w:noWrap w:val="0"/>
            <w:vAlign w:val="center"/>
          </w:tcPr>
          <w:p w14:paraId="531C604C">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周建兵</w:t>
            </w:r>
          </w:p>
        </w:tc>
        <w:tc>
          <w:tcPr>
            <w:tcW w:w="2362" w:type="dxa"/>
            <w:noWrap w:val="0"/>
            <w:vAlign w:val="center"/>
          </w:tcPr>
          <w:p w14:paraId="454124A5">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联系方式</w:t>
            </w:r>
          </w:p>
        </w:tc>
        <w:tc>
          <w:tcPr>
            <w:tcW w:w="2630" w:type="dxa"/>
            <w:noWrap w:val="0"/>
            <w:vAlign w:val="center"/>
          </w:tcPr>
          <w:p w14:paraId="22D8773C">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r>
      <w:tr w14:paraId="745C5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0A614F38">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7106" w:type="dxa"/>
            <w:gridSpan w:val="3"/>
            <w:noWrap w:val="0"/>
            <w:vAlign w:val="center"/>
          </w:tcPr>
          <w:p w14:paraId="30F4B728">
            <w:pPr>
              <w:adjustRightInd w:val="0"/>
              <w:snapToGrid w:val="0"/>
              <w:jc w:val="center"/>
              <w:rPr>
                <w:rFonts w:hint="eastAsia" w:ascii="Times New Roman" w:hAnsi="Times New Roman" w:eastAsia="宋体" w:cs="Times New Roman"/>
                <w:szCs w:val="21"/>
                <w:lang w:eastAsia="zh-CN"/>
              </w:rPr>
            </w:pPr>
            <w:r>
              <w:rPr>
                <w:rFonts w:hint="eastAsia" w:cs="Times New Roman"/>
                <w:lang w:eastAsia="zh-CN"/>
              </w:rPr>
              <w:t>四川省遂宁市蓬溪县赤城镇上游工业园区拓展区11号F地块</w:t>
            </w:r>
          </w:p>
        </w:tc>
      </w:tr>
      <w:tr w14:paraId="40B3F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0182296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地理坐标</w:t>
            </w:r>
          </w:p>
        </w:tc>
        <w:tc>
          <w:tcPr>
            <w:tcW w:w="7106" w:type="dxa"/>
            <w:gridSpan w:val="3"/>
            <w:noWrap w:val="0"/>
            <w:vAlign w:val="center"/>
          </w:tcPr>
          <w:p w14:paraId="7A9B3E8D">
            <w:pPr>
              <w:jc w:val="center"/>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u w:val="single"/>
              </w:rPr>
              <w:t xml:space="preserve"> 105 </w:t>
            </w:r>
            <w:r>
              <w:rPr>
                <w:rFonts w:hint="default" w:ascii="Times New Roman" w:hAnsi="Times New Roman" w:cs="Times New Roman"/>
                <w:szCs w:val="21"/>
              </w:rPr>
              <w:t>度</w:t>
            </w:r>
            <w:r>
              <w:rPr>
                <w:rFonts w:hint="default" w:ascii="Times New Roman" w:hAnsi="Times New Roman" w:cs="Times New Roman"/>
                <w:szCs w:val="21"/>
                <w:u w:val="single"/>
              </w:rPr>
              <w:t xml:space="preserve"> 4</w:t>
            </w:r>
            <w:r>
              <w:rPr>
                <w:rFonts w:hint="eastAsia" w:cs="Times New Roman"/>
                <w:szCs w:val="21"/>
                <w:u w:val="single"/>
                <w:lang w:val="en-US" w:eastAsia="zh-CN"/>
              </w:rPr>
              <w:t>0</w:t>
            </w:r>
            <w:r>
              <w:rPr>
                <w:rFonts w:hint="default" w:ascii="Times New Roman" w:hAnsi="Times New Roman" w:cs="Times New Roman"/>
                <w:szCs w:val="21"/>
                <w:u w:val="single"/>
              </w:rPr>
              <w:t xml:space="preserve"> </w:t>
            </w:r>
            <w:r>
              <w:rPr>
                <w:rFonts w:hint="default" w:ascii="Times New Roman" w:hAnsi="Times New Roman" w:cs="Times New Roman"/>
                <w:szCs w:val="21"/>
              </w:rPr>
              <w:t>分</w:t>
            </w:r>
            <w:r>
              <w:rPr>
                <w:rFonts w:hint="default" w:ascii="Times New Roman" w:hAnsi="Times New Roman" w:cs="Times New Roman"/>
                <w:szCs w:val="21"/>
                <w:u w:val="single"/>
              </w:rPr>
              <w:t xml:space="preserve"> </w:t>
            </w:r>
            <w:r>
              <w:rPr>
                <w:rFonts w:hint="eastAsia" w:cs="Times New Roman"/>
                <w:szCs w:val="21"/>
                <w:u w:val="single"/>
                <w:lang w:val="en-US" w:eastAsia="zh-CN"/>
              </w:rPr>
              <w:t>44.150</w:t>
            </w:r>
            <w:r>
              <w:rPr>
                <w:rFonts w:hint="default" w:ascii="Times New Roman" w:hAnsi="Times New Roman" w:cs="Times New Roman"/>
                <w:szCs w:val="21"/>
              </w:rPr>
              <w:t>秒，</w:t>
            </w:r>
            <w:r>
              <w:rPr>
                <w:rFonts w:hint="default" w:ascii="Times New Roman" w:hAnsi="Times New Roman" w:cs="Times New Roman"/>
                <w:szCs w:val="21"/>
                <w:u w:val="single"/>
              </w:rPr>
              <w:t xml:space="preserve"> 30 </w:t>
            </w:r>
            <w:r>
              <w:rPr>
                <w:rFonts w:hint="default" w:ascii="Times New Roman" w:hAnsi="Times New Roman" w:cs="Times New Roman"/>
                <w:szCs w:val="21"/>
              </w:rPr>
              <w:t>度</w:t>
            </w:r>
            <w:r>
              <w:rPr>
                <w:rFonts w:hint="default" w:ascii="Times New Roman" w:hAnsi="Times New Roman" w:cs="Times New Roman"/>
                <w:szCs w:val="21"/>
                <w:u w:val="single"/>
              </w:rPr>
              <w:t xml:space="preserve"> 4</w:t>
            </w:r>
            <w:r>
              <w:rPr>
                <w:rFonts w:hint="default" w:ascii="Times New Roman" w:hAnsi="Times New Roman" w:cs="Times New Roman"/>
                <w:szCs w:val="21"/>
                <w:u w:val="single"/>
                <w:lang w:val="en-US" w:eastAsia="zh-CN"/>
              </w:rPr>
              <w:t>4</w:t>
            </w:r>
            <w:r>
              <w:rPr>
                <w:rFonts w:hint="default" w:ascii="Times New Roman" w:hAnsi="Times New Roman" w:cs="Times New Roman"/>
                <w:szCs w:val="21"/>
                <w:u w:val="single"/>
              </w:rPr>
              <w:t xml:space="preserve"> </w:t>
            </w:r>
            <w:r>
              <w:rPr>
                <w:rFonts w:hint="default" w:ascii="Times New Roman" w:hAnsi="Times New Roman" w:cs="Times New Roman"/>
                <w:szCs w:val="21"/>
              </w:rPr>
              <w:t>分</w:t>
            </w:r>
            <w:r>
              <w:rPr>
                <w:rFonts w:hint="default" w:ascii="Times New Roman" w:hAnsi="Times New Roman" w:cs="Times New Roman"/>
                <w:szCs w:val="21"/>
                <w:u w:val="single"/>
              </w:rPr>
              <w:t xml:space="preserve"> </w:t>
            </w:r>
            <w:r>
              <w:rPr>
                <w:rFonts w:hint="eastAsia" w:cs="Times New Roman"/>
                <w:szCs w:val="21"/>
                <w:u w:val="single"/>
                <w:lang w:val="en-US" w:eastAsia="zh-CN"/>
              </w:rPr>
              <w:t>37.833</w:t>
            </w:r>
            <w:r>
              <w:rPr>
                <w:rFonts w:hint="default" w:ascii="Times New Roman" w:hAnsi="Times New Roman" w:cs="Times New Roman"/>
                <w:szCs w:val="21"/>
                <w:u w:val="single"/>
              </w:rPr>
              <w:t xml:space="preserve"> </w:t>
            </w:r>
            <w:r>
              <w:rPr>
                <w:rFonts w:hint="default" w:ascii="Times New Roman" w:hAnsi="Times New Roman" w:cs="Times New Roman"/>
                <w:szCs w:val="21"/>
              </w:rPr>
              <w:t>秒）</w:t>
            </w:r>
          </w:p>
        </w:tc>
      </w:tr>
      <w:tr w14:paraId="764C1C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55" w:type="dxa"/>
            <w:noWrap w:val="0"/>
            <w:tcMar>
              <w:top w:w="16" w:type="dxa"/>
              <w:left w:w="16" w:type="dxa"/>
              <w:right w:w="16" w:type="dxa"/>
            </w:tcMar>
            <w:vAlign w:val="center"/>
          </w:tcPr>
          <w:p w14:paraId="52D12AF3">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国民经济</w:t>
            </w:r>
          </w:p>
          <w:p w14:paraId="171AA4D8">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行业类别</w:t>
            </w:r>
          </w:p>
        </w:tc>
        <w:tc>
          <w:tcPr>
            <w:tcW w:w="2114" w:type="dxa"/>
            <w:noWrap w:val="0"/>
            <w:vAlign w:val="center"/>
          </w:tcPr>
          <w:p w14:paraId="7C88FE65">
            <w:pPr>
              <w:keepNext w:val="0"/>
              <w:keepLines w:val="0"/>
              <w:widowControl/>
              <w:suppressLineNumbers w:val="0"/>
              <w:jc w:val="left"/>
              <w:rPr>
                <w:rFonts w:hint="default" w:ascii="Times New Roman" w:hAnsi="Times New Roman" w:cs="Times New Roman"/>
                <w:lang w:val="en-US" w:eastAsia="zh-CN"/>
              </w:rPr>
            </w:pPr>
            <w:r>
              <w:rPr>
                <w:rFonts w:hint="default" w:ascii="Times New Roman" w:hAnsi="Times New Roman" w:eastAsia="宋体" w:cs="Times New Roman"/>
                <w:color w:val="000000"/>
                <w:kern w:val="0"/>
                <w:sz w:val="21"/>
                <w:szCs w:val="21"/>
                <w:lang w:val="en-US" w:eastAsia="zh-CN" w:bidi="ar"/>
              </w:rPr>
              <w:t>C2929 塑料零件及其他塑料制品制造；C3670</w:t>
            </w:r>
            <w:r>
              <w:rPr>
                <w:rFonts w:hint="default" w:ascii="Times New Roman" w:hAnsi="Times New Roman" w:eastAsia="宋体" w:cs="Times New Roman"/>
                <w:color w:val="000000" w:themeColor="text1"/>
                <w:sz w:val="21"/>
                <w:szCs w:val="21"/>
                <w14:textFill>
                  <w14:solidFill>
                    <w14:schemeClr w14:val="tx1"/>
                  </w14:solidFill>
                </w14:textFill>
              </w:rPr>
              <w:t>汽车零部件及配件制造</w:t>
            </w:r>
          </w:p>
        </w:tc>
        <w:tc>
          <w:tcPr>
            <w:tcW w:w="2362" w:type="dxa"/>
            <w:noWrap w:val="0"/>
            <w:vAlign w:val="center"/>
          </w:tcPr>
          <w:p w14:paraId="3AC1B962">
            <w:pPr>
              <w:adjustRightInd w:val="0"/>
              <w:snapToGrid w:val="0"/>
              <w:jc w:val="center"/>
              <w:rPr>
                <w:rFonts w:hint="default" w:ascii="Times New Roman" w:hAnsi="Times New Roman" w:cs="Times New Roman"/>
                <w:szCs w:val="21"/>
              </w:rPr>
            </w:pPr>
            <w:bookmarkStart w:id="6" w:name="_Hlk49843745"/>
            <w:r>
              <w:rPr>
                <w:rFonts w:hint="default" w:ascii="Times New Roman" w:hAnsi="Times New Roman" w:cs="Times New Roman"/>
                <w:szCs w:val="21"/>
              </w:rPr>
              <w:t>建设项目</w:t>
            </w:r>
          </w:p>
          <w:p w14:paraId="639A3550">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行业类别</w:t>
            </w:r>
            <w:bookmarkEnd w:id="6"/>
          </w:p>
        </w:tc>
        <w:tc>
          <w:tcPr>
            <w:tcW w:w="2630" w:type="dxa"/>
            <w:noWrap w:val="0"/>
            <w:vAlign w:val="center"/>
          </w:tcPr>
          <w:p w14:paraId="56E8ACC3">
            <w:pPr>
              <w:adjustRightInd w:val="0"/>
              <w:snapToGrid w:val="0"/>
              <w:rPr>
                <w:rFonts w:hint="eastAsia" w:cs="Times New Roman"/>
                <w:lang w:val="en-US" w:eastAsia="zh-CN"/>
              </w:rPr>
            </w:pPr>
            <w:r>
              <w:rPr>
                <w:rFonts w:hint="eastAsia" w:ascii="Times New Roman" w:hAnsi="Times New Roman" w:cs="Times New Roman"/>
                <w:lang w:val="en-US" w:eastAsia="zh-CN"/>
              </w:rPr>
              <w:t>二十六</w:t>
            </w:r>
            <w:r>
              <w:rPr>
                <w:rFonts w:hint="default" w:ascii="Times New Roman" w:hAnsi="Times New Roman" w:cs="Times New Roman"/>
                <w:lang w:val="en-US" w:eastAsia="zh-CN"/>
              </w:rPr>
              <w:t>、</w:t>
            </w:r>
            <w:r>
              <w:rPr>
                <w:rFonts w:hint="eastAsia" w:ascii="Times New Roman" w:hAnsi="Times New Roman" w:cs="Times New Roman"/>
                <w:lang w:val="en-US" w:eastAsia="zh-CN"/>
              </w:rPr>
              <w:t>橡胶和塑料制品业29 塑料制品业292</w:t>
            </w:r>
            <w:r>
              <w:rPr>
                <w:rFonts w:hint="eastAsia" w:cs="Times New Roman"/>
                <w:lang w:val="en-US" w:eastAsia="zh-CN"/>
              </w:rPr>
              <w:t>；</w:t>
            </w:r>
          </w:p>
          <w:p w14:paraId="22323AC3">
            <w:pPr>
              <w:adjustRightInd w:val="0"/>
              <w:snapToGrid w:val="0"/>
              <w:rPr>
                <w:rFonts w:hint="default" w:ascii="Times New Roman" w:hAnsi="Times New Roman" w:eastAsia="宋体" w:cs="Times New Roman"/>
                <w:lang w:val="en-US" w:eastAsia="zh-CN"/>
              </w:rPr>
            </w:pPr>
            <w:r>
              <w:rPr>
                <w:rFonts w:hint="eastAsia" w:cs="Times New Roman"/>
                <w:lang w:val="en-US" w:eastAsia="zh-CN"/>
              </w:rPr>
              <w:t xml:space="preserve">三十三、汽车制造业36 </w:t>
            </w:r>
            <w:r>
              <w:rPr>
                <w:rFonts w:hint="default" w:ascii="Times New Roman" w:hAnsi="Times New Roman" w:eastAsia="宋体" w:cs="Times New Roman"/>
                <w:color w:val="000000" w:themeColor="text1"/>
                <w:sz w:val="21"/>
                <w:szCs w:val="21"/>
                <w14:textFill>
                  <w14:solidFill>
                    <w14:schemeClr w14:val="tx1"/>
                  </w14:solidFill>
                </w14:textFill>
              </w:rPr>
              <w:t>汽车零部件及配件制造</w:t>
            </w:r>
            <w:r>
              <w:rPr>
                <w:rFonts w:hint="eastAsia" w:cs="Times New Roman"/>
                <w:color w:val="000000" w:themeColor="text1"/>
                <w:sz w:val="21"/>
                <w:szCs w:val="21"/>
                <w:lang w:val="en-US" w:eastAsia="zh-CN"/>
                <w14:textFill>
                  <w14:solidFill>
                    <w14:schemeClr w14:val="tx1"/>
                  </w14:solidFill>
                </w14:textFill>
              </w:rPr>
              <w:t>367</w:t>
            </w:r>
          </w:p>
        </w:tc>
      </w:tr>
      <w:tr w14:paraId="67A6C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55" w:type="dxa"/>
            <w:noWrap w:val="0"/>
            <w:tcMar>
              <w:top w:w="16" w:type="dxa"/>
              <w:left w:w="16" w:type="dxa"/>
              <w:right w:w="16" w:type="dxa"/>
            </w:tcMar>
            <w:vAlign w:val="center"/>
          </w:tcPr>
          <w:p w14:paraId="5579110F">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建设性质</w:t>
            </w:r>
          </w:p>
        </w:tc>
        <w:tc>
          <w:tcPr>
            <w:tcW w:w="2114" w:type="dxa"/>
            <w:noWrap w:val="0"/>
            <w:vAlign w:val="center"/>
          </w:tcPr>
          <w:p w14:paraId="3349DF44">
            <w:pPr>
              <w:jc w:val="left"/>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新建（迁建）</w:t>
            </w:r>
          </w:p>
          <w:p w14:paraId="1B2E9D6E">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改建</w:t>
            </w:r>
          </w:p>
          <w:p w14:paraId="18C28638">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扩建</w:t>
            </w:r>
          </w:p>
          <w:p w14:paraId="21887E4E">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技术改造</w:t>
            </w:r>
          </w:p>
        </w:tc>
        <w:tc>
          <w:tcPr>
            <w:tcW w:w="2362" w:type="dxa"/>
            <w:noWrap w:val="0"/>
            <w:vAlign w:val="center"/>
          </w:tcPr>
          <w:p w14:paraId="09E037B1">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w:t>
            </w:r>
          </w:p>
          <w:p w14:paraId="66B88CFE">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申报情形</w:t>
            </w:r>
          </w:p>
        </w:tc>
        <w:tc>
          <w:tcPr>
            <w:tcW w:w="2630" w:type="dxa"/>
            <w:noWrap w:val="0"/>
            <w:vAlign w:val="center"/>
          </w:tcPr>
          <w:p w14:paraId="4B03B415">
            <w:pPr>
              <w:jc w:val="left"/>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首次申报项目</w:t>
            </w:r>
          </w:p>
          <w:p w14:paraId="3C888541">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不予批准后再次申报项目</w:t>
            </w:r>
          </w:p>
          <w:p w14:paraId="50EB8116">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超五年重新审核项目</w:t>
            </w:r>
          </w:p>
          <w:p w14:paraId="43567A42">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重大变动重新报批项目</w:t>
            </w:r>
          </w:p>
        </w:tc>
      </w:tr>
      <w:tr w14:paraId="3D0EC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55" w:type="dxa"/>
            <w:noWrap w:val="0"/>
            <w:tcMar>
              <w:top w:w="16" w:type="dxa"/>
              <w:left w:w="16" w:type="dxa"/>
              <w:right w:w="16" w:type="dxa"/>
            </w:tcMar>
            <w:vAlign w:val="center"/>
          </w:tcPr>
          <w:p w14:paraId="60EBE0D0">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项目审批（核准/</w:t>
            </w:r>
          </w:p>
          <w:p w14:paraId="1C6379F7">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备案）部门（选填）</w:t>
            </w:r>
          </w:p>
        </w:tc>
        <w:tc>
          <w:tcPr>
            <w:tcW w:w="2114" w:type="dxa"/>
            <w:noWrap w:val="0"/>
            <w:vAlign w:val="center"/>
          </w:tcPr>
          <w:p w14:paraId="7BC07B1E">
            <w:pPr>
              <w:adjustRightInd w:val="0"/>
              <w:snapToGrid w:val="0"/>
              <w:jc w:val="center"/>
              <w:rPr>
                <w:rFonts w:hint="default" w:ascii="Times New Roman" w:hAnsi="Times New Roman" w:cs="Times New Roman"/>
                <w:szCs w:val="21"/>
              </w:rPr>
            </w:pPr>
            <w:r>
              <w:rPr>
                <w:rFonts w:hint="default" w:ascii="Times New Roman" w:hAnsi="Times New Roman" w:cs="Times New Roman"/>
              </w:rPr>
              <w:t>蓬溪县行政审批局</w:t>
            </w:r>
          </w:p>
        </w:tc>
        <w:tc>
          <w:tcPr>
            <w:tcW w:w="2362" w:type="dxa"/>
            <w:noWrap w:val="0"/>
            <w:vAlign w:val="center"/>
          </w:tcPr>
          <w:p w14:paraId="56D6CDF9">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项目审批（核准/</w:t>
            </w:r>
          </w:p>
          <w:p w14:paraId="54105200">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备案）文号（选填）</w:t>
            </w:r>
          </w:p>
        </w:tc>
        <w:tc>
          <w:tcPr>
            <w:tcW w:w="2630" w:type="dxa"/>
            <w:noWrap w:val="0"/>
            <w:vAlign w:val="center"/>
          </w:tcPr>
          <w:p w14:paraId="7593C390">
            <w:pPr>
              <w:adjustRightInd w:val="0"/>
              <w:snapToGrid w:val="0"/>
              <w:jc w:val="center"/>
              <w:rPr>
                <w:rFonts w:hint="default" w:ascii="Times New Roman" w:hAnsi="Times New Roman" w:eastAsia="宋体" w:cs="Times New Roman"/>
                <w:szCs w:val="21"/>
                <w:lang w:eastAsia="zh-CN"/>
              </w:rPr>
            </w:pPr>
            <w:r>
              <w:rPr>
                <w:rFonts w:hint="eastAsia" w:ascii="Times New Roman" w:hAnsi="Times New Roman" w:cs="Times New Roman"/>
                <w:kern w:val="0"/>
                <w:lang w:eastAsia="zh-CN"/>
              </w:rPr>
              <w:t>川投资备【</w:t>
            </w:r>
            <w:r>
              <w:rPr>
                <w:rFonts w:hint="eastAsia" w:cs="Times New Roman"/>
                <w:kern w:val="0"/>
                <w:lang w:eastAsia="zh-CN"/>
              </w:rPr>
              <w:t>2408-510921-99-01-523065</w:t>
            </w:r>
            <w:r>
              <w:rPr>
                <w:rFonts w:hint="eastAsia" w:ascii="Times New Roman" w:hAnsi="Times New Roman" w:cs="Times New Roman"/>
                <w:kern w:val="0"/>
                <w:lang w:eastAsia="zh-CN"/>
              </w:rPr>
              <w:t>】FGQB-0</w:t>
            </w:r>
            <w:r>
              <w:rPr>
                <w:rFonts w:hint="eastAsia" w:cs="Times New Roman"/>
                <w:kern w:val="0"/>
                <w:lang w:val="en-US" w:eastAsia="zh-CN"/>
              </w:rPr>
              <w:t>274</w:t>
            </w:r>
            <w:r>
              <w:rPr>
                <w:rFonts w:hint="eastAsia" w:ascii="Times New Roman" w:hAnsi="Times New Roman" w:cs="Times New Roman"/>
                <w:kern w:val="0"/>
                <w:lang w:eastAsia="zh-CN"/>
              </w:rPr>
              <w:t>号</w:t>
            </w:r>
          </w:p>
        </w:tc>
      </w:tr>
      <w:tr w14:paraId="528B4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4E23358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总投资（万元）</w:t>
            </w:r>
          </w:p>
        </w:tc>
        <w:tc>
          <w:tcPr>
            <w:tcW w:w="2114" w:type="dxa"/>
            <w:noWrap w:val="0"/>
            <w:vAlign w:val="center"/>
          </w:tcPr>
          <w:p w14:paraId="1A078661">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300</w:t>
            </w:r>
          </w:p>
        </w:tc>
        <w:tc>
          <w:tcPr>
            <w:tcW w:w="2362" w:type="dxa"/>
            <w:noWrap w:val="0"/>
            <w:tcMar>
              <w:top w:w="16" w:type="dxa"/>
              <w:left w:w="16" w:type="dxa"/>
              <w:right w:w="16" w:type="dxa"/>
            </w:tcMar>
            <w:vAlign w:val="center"/>
          </w:tcPr>
          <w:p w14:paraId="343A7889">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环保投资（万元）</w:t>
            </w:r>
          </w:p>
        </w:tc>
        <w:tc>
          <w:tcPr>
            <w:tcW w:w="2630" w:type="dxa"/>
            <w:noWrap w:val="0"/>
            <w:vAlign w:val="center"/>
          </w:tcPr>
          <w:p w14:paraId="6C053E0A">
            <w:pPr>
              <w:adjustRightInd w:val="0"/>
              <w:snapToGrid w:val="0"/>
              <w:jc w:val="center"/>
              <w:rPr>
                <w:rFonts w:hint="default" w:ascii="Times New Roman" w:hAnsi="Times New Roman" w:eastAsia="宋体" w:cs="Times New Roman"/>
                <w:szCs w:val="21"/>
                <w:lang w:val="en-US" w:eastAsia="zh-CN"/>
              </w:rPr>
            </w:pPr>
            <w:r>
              <w:rPr>
                <w:rFonts w:hint="eastAsia" w:cs="Times New Roman"/>
                <w:color w:val="auto"/>
                <w:szCs w:val="21"/>
                <w:lang w:val="en-US" w:eastAsia="zh-CN"/>
              </w:rPr>
              <w:t>37.3</w:t>
            </w:r>
          </w:p>
        </w:tc>
      </w:tr>
      <w:tr w14:paraId="7432E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0AF3A6E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环保投资占比（%）</w:t>
            </w:r>
          </w:p>
        </w:tc>
        <w:tc>
          <w:tcPr>
            <w:tcW w:w="2114" w:type="dxa"/>
            <w:noWrap w:val="0"/>
            <w:vAlign w:val="center"/>
          </w:tcPr>
          <w:p w14:paraId="54B08CBA">
            <w:pPr>
              <w:adjustRightInd w:val="0"/>
              <w:snapToGrid w:val="0"/>
              <w:jc w:val="center"/>
              <w:rPr>
                <w:rFonts w:hint="default" w:ascii="Times New Roman" w:hAnsi="Times New Roman" w:eastAsia="宋体" w:cs="Times New Roman"/>
                <w:szCs w:val="21"/>
                <w:lang w:eastAsia="zh-CN"/>
              </w:rPr>
            </w:pPr>
            <w:r>
              <w:rPr>
                <w:rFonts w:hint="eastAsia"/>
                <w:color w:val="auto"/>
                <w:lang w:val="en-US" w:eastAsia="zh-CN"/>
              </w:rPr>
              <w:t>12.6%</w:t>
            </w:r>
            <w:r>
              <w:rPr>
                <w:rFonts w:hint="default" w:ascii="Times New Roman" w:hAnsi="Times New Roman" w:cs="Times New Roman"/>
                <w:szCs w:val="21"/>
                <w:lang w:val="en-US" w:eastAsia="zh-CN"/>
              </w:rPr>
              <w:t xml:space="preserve"> </w:t>
            </w:r>
          </w:p>
        </w:tc>
        <w:tc>
          <w:tcPr>
            <w:tcW w:w="2362" w:type="dxa"/>
            <w:noWrap w:val="0"/>
            <w:tcMar>
              <w:top w:w="16" w:type="dxa"/>
              <w:left w:w="16" w:type="dxa"/>
              <w:right w:w="16" w:type="dxa"/>
            </w:tcMar>
            <w:vAlign w:val="center"/>
          </w:tcPr>
          <w:p w14:paraId="0CA55EE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施工工期</w:t>
            </w:r>
          </w:p>
        </w:tc>
        <w:tc>
          <w:tcPr>
            <w:tcW w:w="2630" w:type="dxa"/>
            <w:noWrap w:val="0"/>
            <w:vAlign w:val="center"/>
          </w:tcPr>
          <w:p w14:paraId="330FB6E9">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3</w:t>
            </w:r>
            <w:r>
              <w:rPr>
                <w:rFonts w:hint="eastAsia" w:ascii="Times New Roman" w:hAnsi="Times New Roman" w:eastAsia="宋体" w:cs="Times New Roman"/>
                <w:szCs w:val="21"/>
                <w:lang w:val="en-US" w:eastAsia="zh-CN"/>
              </w:rPr>
              <w:t>个月</w:t>
            </w:r>
          </w:p>
        </w:tc>
      </w:tr>
      <w:tr w14:paraId="0B3F5B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0C22A1D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是否开工建设</w:t>
            </w:r>
          </w:p>
        </w:tc>
        <w:tc>
          <w:tcPr>
            <w:tcW w:w="2114" w:type="dxa"/>
            <w:noWrap w:val="0"/>
            <w:vAlign w:val="center"/>
          </w:tcPr>
          <w:p w14:paraId="418F5285">
            <w:pPr>
              <w:adjustRightInd w:val="0"/>
              <w:snapToGrid w:val="0"/>
              <w:jc w:val="left"/>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否</w:t>
            </w:r>
          </w:p>
          <w:p w14:paraId="281B6A42">
            <w:pPr>
              <w:adjustRightInd w:val="0"/>
              <w:snapToGrid w:val="0"/>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是：</w:t>
            </w:r>
          </w:p>
        </w:tc>
        <w:tc>
          <w:tcPr>
            <w:tcW w:w="2362" w:type="dxa"/>
            <w:noWrap w:val="0"/>
            <w:tcMar>
              <w:top w:w="16" w:type="dxa"/>
              <w:left w:w="16" w:type="dxa"/>
              <w:right w:w="16" w:type="dxa"/>
            </w:tcMar>
            <w:vAlign w:val="center"/>
          </w:tcPr>
          <w:p w14:paraId="7A9B5F4B">
            <w:pPr>
              <w:adjustRightInd w:val="0"/>
              <w:snapToGrid w:val="0"/>
              <w:jc w:val="center"/>
              <w:rPr>
                <w:rFonts w:hint="default" w:ascii="Times New Roman" w:hAnsi="Times New Roman" w:cs="Times New Roman"/>
                <w:spacing w:val="-6"/>
                <w:szCs w:val="21"/>
              </w:rPr>
            </w:pPr>
            <w:r>
              <w:rPr>
                <w:rFonts w:hint="default" w:ascii="Times New Roman" w:hAnsi="Times New Roman" w:cs="Times New Roman"/>
                <w:spacing w:val="-6"/>
                <w:szCs w:val="21"/>
              </w:rPr>
              <w:t>用地（用海）</w:t>
            </w:r>
          </w:p>
          <w:p w14:paraId="0EB8CD9A">
            <w:pPr>
              <w:adjustRightInd w:val="0"/>
              <w:snapToGrid w:val="0"/>
              <w:jc w:val="center"/>
              <w:rPr>
                <w:rFonts w:hint="default" w:ascii="Times New Roman" w:hAnsi="Times New Roman" w:cs="Times New Roman"/>
                <w:szCs w:val="21"/>
              </w:rPr>
            </w:pPr>
            <w:r>
              <w:rPr>
                <w:rFonts w:hint="default" w:ascii="Times New Roman" w:hAnsi="Times New Roman" w:cs="Times New Roman"/>
                <w:spacing w:val="-6"/>
                <w:szCs w:val="21"/>
              </w:rPr>
              <w:t>面积（m</w:t>
            </w:r>
            <w:r>
              <w:rPr>
                <w:rFonts w:hint="default" w:ascii="Times New Roman" w:hAnsi="Times New Roman" w:cs="Times New Roman"/>
                <w:spacing w:val="-6"/>
                <w:szCs w:val="21"/>
                <w:vertAlign w:val="superscript"/>
              </w:rPr>
              <w:t>2</w:t>
            </w:r>
            <w:r>
              <w:rPr>
                <w:rFonts w:hint="default" w:ascii="Times New Roman" w:hAnsi="Times New Roman" w:cs="Times New Roman"/>
                <w:spacing w:val="-6"/>
                <w:szCs w:val="21"/>
              </w:rPr>
              <w:t>）</w:t>
            </w:r>
          </w:p>
        </w:tc>
        <w:tc>
          <w:tcPr>
            <w:tcW w:w="2630" w:type="dxa"/>
            <w:noWrap w:val="0"/>
            <w:vAlign w:val="center"/>
          </w:tcPr>
          <w:p w14:paraId="7F2C1AFC">
            <w:pPr>
              <w:adjustRightInd w:val="0"/>
              <w:snapToGrid w:val="0"/>
              <w:jc w:val="center"/>
              <w:rPr>
                <w:rFonts w:hint="default" w:ascii="Times New Roman" w:hAnsi="Times New Roman" w:cs="Times New Roman"/>
                <w:szCs w:val="21"/>
              </w:rPr>
            </w:pPr>
            <w:r>
              <w:rPr>
                <w:rFonts w:hint="eastAsia" w:cs="Times New Roman"/>
                <w:color w:val="auto"/>
                <w:szCs w:val="21"/>
                <w:lang w:val="en-US" w:eastAsia="zh-CN"/>
              </w:rPr>
              <w:t>9320</w:t>
            </w:r>
            <w:r>
              <w:rPr>
                <w:rFonts w:hint="default" w:ascii="Times New Roman" w:hAnsi="Times New Roman" w:cs="Times New Roman"/>
                <w:color w:val="auto"/>
                <w:szCs w:val="21"/>
              </w:rPr>
              <w:t>平方米</w:t>
            </w:r>
            <w:r>
              <w:rPr>
                <w:rFonts w:hint="default" w:ascii="Times New Roman" w:hAnsi="Times New Roman" w:cs="Times New Roman"/>
                <w:szCs w:val="21"/>
              </w:rPr>
              <w:t xml:space="preserve"> </w:t>
            </w:r>
          </w:p>
        </w:tc>
      </w:tr>
      <w:tr w14:paraId="5689D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5" w:type="dxa"/>
            <w:noWrap w:val="0"/>
            <w:vAlign w:val="center"/>
          </w:tcPr>
          <w:p w14:paraId="5DA3FF7F">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专项评价设置情况</w:t>
            </w:r>
          </w:p>
        </w:tc>
        <w:tc>
          <w:tcPr>
            <w:tcW w:w="7106" w:type="dxa"/>
            <w:gridSpan w:val="3"/>
            <w:noWrap w:val="0"/>
            <w:vAlign w:val="center"/>
          </w:tcPr>
          <w:p w14:paraId="64F4BB6E">
            <w:pPr>
              <w:pStyle w:val="69"/>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根据指南，本项目专项评价设置情况如下：</w:t>
            </w:r>
          </w:p>
          <w:tbl>
            <w:tblPr>
              <w:tblStyle w:val="28"/>
              <w:tblW w:w="68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631"/>
              <w:gridCol w:w="1815"/>
              <w:gridCol w:w="1276"/>
            </w:tblGrid>
            <w:tr w14:paraId="34C31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3151BDB3">
                  <w:pPr>
                    <w:pStyle w:val="19"/>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专项评价类别</w:t>
                  </w:r>
                </w:p>
              </w:tc>
              <w:tc>
                <w:tcPr>
                  <w:tcW w:w="2631" w:type="dxa"/>
                  <w:tcBorders>
                    <w:tl2br w:val="nil"/>
                    <w:tr2bl w:val="nil"/>
                  </w:tcBorders>
                  <w:noWrap w:val="0"/>
                  <w:vAlign w:val="center"/>
                </w:tcPr>
                <w:p w14:paraId="7ED59F17">
                  <w:pPr>
                    <w:pStyle w:val="19"/>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设置原则</w:t>
                  </w:r>
                </w:p>
              </w:tc>
              <w:tc>
                <w:tcPr>
                  <w:tcW w:w="1815" w:type="dxa"/>
                  <w:tcBorders>
                    <w:tl2br w:val="nil"/>
                    <w:tr2bl w:val="nil"/>
                  </w:tcBorders>
                  <w:noWrap w:val="0"/>
                  <w:vAlign w:val="center"/>
                </w:tcPr>
                <w:p w14:paraId="43AD2014">
                  <w:pPr>
                    <w:pStyle w:val="19"/>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本项目情况</w:t>
                  </w:r>
                </w:p>
              </w:tc>
              <w:tc>
                <w:tcPr>
                  <w:tcW w:w="1276" w:type="dxa"/>
                  <w:tcBorders>
                    <w:tl2br w:val="nil"/>
                    <w:tr2bl w:val="nil"/>
                  </w:tcBorders>
                  <w:noWrap w:val="0"/>
                  <w:vAlign w:val="center"/>
                </w:tcPr>
                <w:p w14:paraId="029B9198">
                  <w:pPr>
                    <w:pStyle w:val="19"/>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是否设置专项评价</w:t>
                  </w:r>
                </w:p>
              </w:tc>
            </w:tr>
            <w:tr w14:paraId="0AAF9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1215A336">
                  <w:pPr>
                    <w:pStyle w:val="19"/>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大气</w:t>
                  </w:r>
                </w:p>
              </w:tc>
              <w:tc>
                <w:tcPr>
                  <w:tcW w:w="2631" w:type="dxa"/>
                  <w:tcBorders>
                    <w:tl2br w:val="nil"/>
                    <w:tr2bl w:val="nil"/>
                  </w:tcBorders>
                  <w:noWrap w:val="0"/>
                  <w:vAlign w:val="center"/>
                </w:tcPr>
                <w:p w14:paraId="72296B28">
                  <w:pPr>
                    <w:keepNext w:val="0"/>
                    <w:keepLines w:val="0"/>
                    <w:widowControl/>
                    <w:suppressLineNumbers w:val="0"/>
                    <w:jc w:val="both"/>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排放废气含有毒有害污染物 、二噁英、苯并[</w:t>
                  </w:r>
                  <w:r>
                    <w:rPr>
                      <w:rFonts w:hint="eastAsia" w:ascii="宋体" w:hAnsi="宋体" w:eastAsia="宋体" w:cs="宋体"/>
                      <w:i/>
                      <w:iCs/>
                      <w:color w:val="auto"/>
                      <w:kern w:val="0"/>
                      <w:sz w:val="21"/>
                      <w:szCs w:val="21"/>
                      <w:lang w:val="en-US" w:eastAsia="zh-CN" w:bidi="ar"/>
                    </w:rPr>
                    <w:t>a</w:t>
                  </w:r>
                  <w:r>
                    <w:rPr>
                      <w:rFonts w:hint="eastAsia" w:ascii="宋体" w:hAnsi="宋体" w:eastAsia="宋体" w:cs="宋体"/>
                      <w:color w:val="auto"/>
                      <w:kern w:val="0"/>
                      <w:sz w:val="21"/>
                      <w:szCs w:val="21"/>
                      <w:lang w:val="en-US" w:eastAsia="zh-CN" w:bidi="ar"/>
                    </w:rPr>
                    <w:t>]芘、氰化物、氯气且厂界外500米范围内有环境空气保护目标的建设项目</w:t>
                  </w:r>
                </w:p>
              </w:tc>
              <w:tc>
                <w:tcPr>
                  <w:tcW w:w="1815" w:type="dxa"/>
                  <w:tcBorders>
                    <w:tl2br w:val="nil"/>
                    <w:tr2bl w:val="nil"/>
                  </w:tcBorders>
                  <w:noWrap w:val="0"/>
                  <w:vAlign w:val="center"/>
                </w:tcPr>
                <w:p w14:paraId="2B5AFCCE">
                  <w:pPr>
                    <w:pStyle w:val="19"/>
                    <w:pBdr>
                      <w:bottom w:val="none" w:color="auto" w:sz="0" w:space="0"/>
                    </w:pBdr>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rPr>
                    <w:t>本项目无有毒有害污染物、二噁英、苯并芘、氰化物、氯气排放</w:t>
                  </w:r>
                  <w:r>
                    <w:rPr>
                      <w:rFonts w:hint="eastAsia" w:ascii="宋体" w:hAnsi="宋体" w:eastAsia="宋体" w:cs="宋体"/>
                      <w:color w:val="auto"/>
                      <w:kern w:val="0"/>
                      <w:sz w:val="21"/>
                      <w:szCs w:val="21"/>
                      <w:lang w:eastAsia="zh-CN"/>
                    </w:rPr>
                    <w:t>。</w:t>
                  </w:r>
                </w:p>
              </w:tc>
              <w:tc>
                <w:tcPr>
                  <w:tcW w:w="1276" w:type="dxa"/>
                  <w:tcBorders>
                    <w:tl2br w:val="nil"/>
                    <w:tr2bl w:val="nil"/>
                  </w:tcBorders>
                  <w:noWrap w:val="0"/>
                  <w:vAlign w:val="center"/>
                </w:tcPr>
                <w:p w14:paraId="6AD28117">
                  <w:pPr>
                    <w:pStyle w:val="19"/>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否</w:t>
                  </w:r>
                </w:p>
              </w:tc>
            </w:tr>
            <w:tr w14:paraId="3C9D4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6D0B3C1B">
                  <w:pPr>
                    <w:pStyle w:val="19"/>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地表水</w:t>
                  </w:r>
                </w:p>
              </w:tc>
              <w:tc>
                <w:tcPr>
                  <w:tcW w:w="2631" w:type="dxa"/>
                  <w:tcBorders>
                    <w:tl2br w:val="nil"/>
                    <w:tr2bl w:val="nil"/>
                  </w:tcBorders>
                  <w:noWrap w:val="0"/>
                  <w:vAlign w:val="center"/>
                </w:tcPr>
                <w:p w14:paraId="5E6B4A28">
                  <w:pPr>
                    <w:keepNext w:val="0"/>
                    <w:keepLines w:val="0"/>
                    <w:widowControl/>
                    <w:suppressLineNumbers w:val="0"/>
                    <w:jc w:val="both"/>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 xml:space="preserve">新增工业废水直排建设项目（槽罐车外送污水处理厂的除外）； </w:t>
                  </w:r>
                </w:p>
                <w:p w14:paraId="03114A89">
                  <w:pPr>
                    <w:keepNext w:val="0"/>
                    <w:keepLines w:val="0"/>
                    <w:widowControl/>
                    <w:suppressLineNumbers w:val="0"/>
                    <w:jc w:val="both"/>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新增废水直排的污水集中处理厂</w:t>
                  </w:r>
                </w:p>
              </w:tc>
              <w:tc>
                <w:tcPr>
                  <w:tcW w:w="1815" w:type="dxa"/>
                  <w:tcBorders>
                    <w:tl2br w:val="nil"/>
                    <w:tr2bl w:val="nil"/>
                  </w:tcBorders>
                  <w:noWrap w:val="0"/>
                  <w:vAlign w:val="center"/>
                </w:tcPr>
                <w:p w14:paraId="4222F6B7">
                  <w:pPr>
                    <w:pStyle w:val="19"/>
                    <w:pBdr>
                      <w:bottom w:val="none" w:color="auto" w:sz="0" w:space="0"/>
                    </w:pBdr>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rPr>
                    <w:t>本项目无生产废水</w:t>
                  </w:r>
                  <w:r>
                    <w:rPr>
                      <w:rFonts w:hint="eastAsia" w:ascii="宋体" w:hAnsi="宋体" w:cs="宋体"/>
                      <w:color w:val="auto"/>
                      <w:kern w:val="0"/>
                      <w:sz w:val="21"/>
                      <w:szCs w:val="21"/>
                      <w:lang w:val="en-US" w:eastAsia="zh-CN"/>
                    </w:rPr>
                    <w:t>直接</w:t>
                  </w:r>
                  <w:r>
                    <w:rPr>
                      <w:rFonts w:hint="eastAsia" w:ascii="宋体" w:hAnsi="宋体" w:eastAsia="宋体" w:cs="宋体"/>
                      <w:color w:val="auto"/>
                      <w:kern w:val="0"/>
                      <w:sz w:val="21"/>
                      <w:szCs w:val="21"/>
                    </w:rPr>
                    <w:t>排放</w:t>
                  </w:r>
                  <w:r>
                    <w:rPr>
                      <w:rFonts w:hint="eastAsia" w:ascii="宋体" w:hAnsi="宋体" w:eastAsia="宋体" w:cs="宋体"/>
                      <w:color w:val="auto"/>
                      <w:kern w:val="0"/>
                      <w:sz w:val="21"/>
                      <w:szCs w:val="21"/>
                      <w:lang w:eastAsia="zh-CN"/>
                    </w:rPr>
                    <w:t>。</w:t>
                  </w:r>
                </w:p>
              </w:tc>
              <w:tc>
                <w:tcPr>
                  <w:tcW w:w="1276" w:type="dxa"/>
                  <w:tcBorders>
                    <w:tl2br w:val="nil"/>
                    <w:tr2bl w:val="nil"/>
                  </w:tcBorders>
                  <w:noWrap w:val="0"/>
                  <w:vAlign w:val="center"/>
                </w:tcPr>
                <w:p w14:paraId="45A86CEB">
                  <w:pPr>
                    <w:pStyle w:val="19"/>
                    <w:pBdr>
                      <w:bottom w:val="none" w:color="auto" w:sz="0" w:space="0"/>
                    </w:pBd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否</w:t>
                  </w:r>
                </w:p>
              </w:tc>
            </w:tr>
            <w:tr w14:paraId="0C502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67EA27C8">
                  <w:pPr>
                    <w:pStyle w:val="19"/>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环境风险</w:t>
                  </w:r>
                </w:p>
              </w:tc>
              <w:tc>
                <w:tcPr>
                  <w:tcW w:w="2631" w:type="dxa"/>
                  <w:tcBorders>
                    <w:tl2br w:val="nil"/>
                    <w:tr2bl w:val="nil"/>
                  </w:tcBorders>
                  <w:noWrap w:val="0"/>
                  <w:vAlign w:val="center"/>
                </w:tcPr>
                <w:p w14:paraId="79714654">
                  <w:pPr>
                    <w:keepNext w:val="0"/>
                    <w:keepLines w:val="0"/>
                    <w:widowControl/>
                    <w:suppressLineNumbers w:val="0"/>
                    <w:jc w:val="both"/>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有毒有害和易燃易爆危险物质存储量超过临界量的建设项目</w:t>
                  </w:r>
                </w:p>
              </w:tc>
              <w:tc>
                <w:tcPr>
                  <w:tcW w:w="1815" w:type="dxa"/>
                  <w:tcBorders>
                    <w:tl2br w:val="nil"/>
                    <w:tr2bl w:val="nil"/>
                  </w:tcBorders>
                  <w:noWrap w:val="0"/>
                  <w:vAlign w:val="center"/>
                </w:tcPr>
                <w:p w14:paraId="4D2239B8">
                  <w:pPr>
                    <w:pStyle w:val="19"/>
                    <w:pBdr>
                      <w:bottom w:val="none" w:color="auto" w:sz="0" w:space="0"/>
                    </w:pBdr>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rPr>
                    <w:t>本项目无有毒有害及易燃易爆物质超过临界量</w:t>
                  </w:r>
                  <w:r>
                    <w:rPr>
                      <w:rFonts w:hint="eastAsia" w:ascii="宋体" w:hAnsi="宋体" w:eastAsia="宋体" w:cs="宋体"/>
                      <w:color w:val="auto"/>
                      <w:kern w:val="0"/>
                      <w:sz w:val="21"/>
                      <w:szCs w:val="21"/>
                      <w:lang w:eastAsia="zh-CN"/>
                    </w:rPr>
                    <w:t>。</w:t>
                  </w:r>
                </w:p>
              </w:tc>
              <w:tc>
                <w:tcPr>
                  <w:tcW w:w="1276" w:type="dxa"/>
                  <w:tcBorders>
                    <w:tl2br w:val="nil"/>
                    <w:tr2bl w:val="nil"/>
                  </w:tcBorders>
                  <w:noWrap w:val="0"/>
                  <w:vAlign w:val="center"/>
                </w:tcPr>
                <w:p w14:paraId="4C7DC18C">
                  <w:pPr>
                    <w:pStyle w:val="19"/>
                    <w:pBdr>
                      <w:bottom w:val="none" w:color="auto" w:sz="0" w:space="0"/>
                    </w:pBd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否</w:t>
                  </w:r>
                </w:p>
              </w:tc>
            </w:tr>
            <w:tr w14:paraId="25166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78989F19">
                  <w:pPr>
                    <w:pStyle w:val="19"/>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生态</w:t>
                  </w:r>
                </w:p>
              </w:tc>
              <w:tc>
                <w:tcPr>
                  <w:tcW w:w="2631" w:type="dxa"/>
                  <w:tcBorders>
                    <w:tl2br w:val="nil"/>
                    <w:tr2bl w:val="nil"/>
                  </w:tcBorders>
                  <w:noWrap w:val="0"/>
                  <w:vAlign w:val="center"/>
                </w:tcPr>
                <w:p w14:paraId="310D5D98">
                  <w:pPr>
                    <w:keepNext w:val="0"/>
                    <w:keepLines w:val="0"/>
                    <w:widowControl/>
                    <w:suppressLineNumbers w:val="0"/>
                    <w:jc w:val="both"/>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取水口下游500米范围内有重要水生生物的自然产卵场、索饵场、越冬场和洄游通道的新增河道取水的污染类建设项目</w:t>
                  </w:r>
                </w:p>
              </w:tc>
              <w:tc>
                <w:tcPr>
                  <w:tcW w:w="1815" w:type="dxa"/>
                  <w:tcBorders>
                    <w:tl2br w:val="nil"/>
                    <w:tr2bl w:val="nil"/>
                  </w:tcBorders>
                  <w:noWrap w:val="0"/>
                  <w:vAlign w:val="center"/>
                </w:tcPr>
                <w:p w14:paraId="46D964C3">
                  <w:pPr>
                    <w:pStyle w:val="19"/>
                    <w:pBdr>
                      <w:bottom w:val="none" w:color="auto" w:sz="0" w:space="0"/>
                    </w:pBd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项目位于园区内，不涉及生态专章。</w:t>
                  </w:r>
                </w:p>
              </w:tc>
              <w:tc>
                <w:tcPr>
                  <w:tcW w:w="1276" w:type="dxa"/>
                  <w:tcBorders>
                    <w:tl2br w:val="nil"/>
                    <w:tr2bl w:val="nil"/>
                  </w:tcBorders>
                  <w:noWrap w:val="0"/>
                  <w:vAlign w:val="center"/>
                </w:tcPr>
                <w:p w14:paraId="5B202E4F">
                  <w:pPr>
                    <w:pStyle w:val="19"/>
                    <w:pBdr>
                      <w:bottom w:val="none" w:color="auto" w:sz="0" w:space="0"/>
                    </w:pBd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否</w:t>
                  </w:r>
                </w:p>
              </w:tc>
            </w:tr>
            <w:tr w14:paraId="7F9D8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14:paraId="607040C6">
                  <w:pPr>
                    <w:pStyle w:val="19"/>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海洋</w:t>
                  </w:r>
                </w:p>
              </w:tc>
              <w:tc>
                <w:tcPr>
                  <w:tcW w:w="2631" w:type="dxa"/>
                  <w:tcBorders>
                    <w:tl2br w:val="nil"/>
                    <w:tr2bl w:val="nil"/>
                  </w:tcBorders>
                  <w:noWrap w:val="0"/>
                  <w:vAlign w:val="center"/>
                </w:tcPr>
                <w:p w14:paraId="44F79B4A">
                  <w:pPr>
                    <w:keepNext w:val="0"/>
                    <w:keepLines w:val="0"/>
                    <w:widowControl/>
                    <w:suppressLineNumbers w:val="0"/>
                    <w:jc w:val="both"/>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直接向海排放污染物的海洋工程建设项目</w:t>
                  </w:r>
                </w:p>
              </w:tc>
              <w:tc>
                <w:tcPr>
                  <w:tcW w:w="1815" w:type="dxa"/>
                  <w:tcBorders>
                    <w:tl2br w:val="nil"/>
                    <w:tr2bl w:val="nil"/>
                  </w:tcBorders>
                  <w:noWrap w:val="0"/>
                  <w:vAlign w:val="center"/>
                </w:tcPr>
                <w:p w14:paraId="4789BC89">
                  <w:pPr>
                    <w:pStyle w:val="19"/>
                    <w:pBdr>
                      <w:bottom w:val="none" w:color="auto" w:sz="0" w:space="0"/>
                    </w:pBd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项目不涉及海洋。</w:t>
                  </w:r>
                </w:p>
              </w:tc>
              <w:tc>
                <w:tcPr>
                  <w:tcW w:w="1276" w:type="dxa"/>
                  <w:tcBorders>
                    <w:tl2br w:val="nil"/>
                    <w:tr2bl w:val="nil"/>
                  </w:tcBorders>
                  <w:noWrap w:val="0"/>
                  <w:vAlign w:val="center"/>
                </w:tcPr>
                <w:p w14:paraId="34E67C51">
                  <w:pPr>
                    <w:pStyle w:val="19"/>
                    <w:pBdr>
                      <w:bottom w:val="none" w:color="auto" w:sz="0" w:space="0"/>
                    </w:pBd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否</w:t>
                  </w:r>
                </w:p>
              </w:tc>
            </w:tr>
          </w:tbl>
          <w:p w14:paraId="0D193F84">
            <w:pPr>
              <w:autoSpaceDE w:val="0"/>
              <w:autoSpaceDN w:val="0"/>
              <w:adjustRightInd w:val="0"/>
              <w:snapToGrid w:val="0"/>
              <w:jc w:val="both"/>
              <w:rPr>
                <w:rFonts w:hint="default" w:ascii="Times New Roman" w:hAnsi="Times New Roman" w:cs="Times New Roman"/>
                <w:kern w:val="0"/>
                <w:szCs w:val="21"/>
              </w:rPr>
            </w:pPr>
          </w:p>
        </w:tc>
      </w:tr>
      <w:tr w14:paraId="510F0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14:paraId="7B01CC3C">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规划情况</w:t>
            </w:r>
          </w:p>
        </w:tc>
        <w:tc>
          <w:tcPr>
            <w:tcW w:w="7106" w:type="dxa"/>
            <w:gridSpan w:val="3"/>
            <w:noWrap w:val="0"/>
            <w:vAlign w:val="center"/>
          </w:tcPr>
          <w:p w14:paraId="541E8C7A">
            <w:pPr>
              <w:autoSpaceDE w:val="0"/>
              <w:autoSpaceDN w:val="0"/>
              <w:adjustRightInd w:val="0"/>
              <w:spacing w:line="360" w:lineRule="auto"/>
              <w:ind w:left="1050" w:hanging="1050" w:hangingChars="500"/>
              <w:rPr>
                <w:rFonts w:hint="eastAsia" w:ascii="Times New Roman" w:hAnsi="Times New Roman" w:eastAsia="宋体" w:cs="Times New Roman"/>
                <w:color w:val="auto"/>
                <w:spacing w:val="0"/>
                <w:kern w:val="0"/>
                <w:sz w:val="21"/>
                <w:szCs w:val="21"/>
                <w:lang w:eastAsia="zh-CN"/>
              </w:rPr>
            </w:pPr>
            <w:r>
              <w:rPr>
                <w:rFonts w:hint="default" w:ascii="Times New Roman" w:hAnsi="Times New Roman" w:cs="Times New Roman"/>
                <w:color w:val="auto"/>
                <w:spacing w:val="0"/>
                <w:kern w:val="0"/>
                <w:sz w:val="21"/>
                <w:szCs w:val="21"/>
              </w:rPr>
              <w:t>规划名称：</w:t>
            </w:r>
            <w:r>
              <w:rPr>
                <w:rFonts w:hint="eastAsia" w:cs="Times New Roman"/>
                <w:color w:val="auto"/>
                <w:spacing w:val="0"/>
                <w:kern w:val="0"/>
                <w:sz w:val="21"/>
                <w:szCs w:val="21"/>
                <w:lang w:eastAsia="zh-CN"/>
              </w:rPr>
              <w:t>《</w:t>
            </w:r>
            <w:r>
              <w:rPr>
                <w:rFonts w:hint="default" w:ascii="Times New Roman" w:hAnsi="Times New Roman" w:cs="Times New Roman"/>
                <w:color w:val="auto"/>
                <w:spacing w:val="0"/>
                <w:kern w:val="0"/>
                <w:sz w:val="21"/>
                <w:szCs w:val="21"/>
              </w:rPr>
              <w:t>四川蓬溪经济开发区（上游片区）（暨蓬溪县上游工业园产业聚集区）产业规划</w:t>
            </w:r>
            <w:r>
              <w:rPr>
                <w:rFonts w:hint="eastAsia" w:cs="Times New Roman"/>
                <w:color w:val="auto"/>
                <w:spacing w:val="0"/>
                <w:kern w:val="0"/>
                <w:sz w:val="21"/>
                <w:szCs w:val="21"/>
                <w:lang w:eastAsia="zh-CN"/>
              </w:rPr>
              <w:t>》</w:t>
            </w:r>
          </w:p>
          <w:p w14:paraId="39B0C4C1">
            <w:pPr>
              <w:autoSpaceDE w:val="0"/>
              <w:autoSpaceDN w:val="0"/>
              <w:adjustRightInd w:val="0"/>
              <w:spacing w:line="360" w:lineRule="auto"/>
              <w:rPr>
                <w:rFonts w:hint="default" w:ascii="Times New Roman" w:hAnsi="Times New Roman" w:cs="Times New Roman"/>
                <w:color w:val="auto"/>
                <w:spacing w:val="0"/>
                <w:kern w:val="0"/>
                <w:sz w:val="21"/>
                <w:szCs w:val="21"/>
              </w:rPr>
            </w:pPr>
            <w:r>
              <w:rPr>
                <w:rFonts w:hint="default" w:ascii="Times New Roman" w:hAnsi="Times New Roman" w:cs="Times New Roman"/>
                <w:color w:val="auto"/>
                <w:spacing w:val="0"/>
                <w:kern w:val="0"/>
                <w:sz w:val="21"/>
                <w:szCs w:val="21"/>
              </w:rPr>
              <w:t>审批机关：四川省人民政府</w:t>
            </w:r>
          </w:p>
          <w:p w14:paraId="059ABC44">
            <w:pPr>
              <w:autoSpaceDE w:val="0"/>
              <w:autoSpaceDN w:val="0"/>
              <w:adjustRightInd w:val="0"/>
              <w:spacing w:line="360" w:lineRule="auto"/>
              <w:ind w:left="1200" w:hanging="1050" w:hangingChars="500"/>
              <w:rPr>
                <w:rFonts w:hint="default" w:ascii="Times New Roman" w:hAnsi="Times New Roman" w:cs="Times New Roman"/>
                <w:color w:val="auto"/>
                <w:spacing w:val="0"/>
                <w:kern w:val="0"/>
                <w:sz w:val="21"/>
                <w:szCs w:val="21"/>
              </w:rPr>
            </w:pPr>
            <w:r>
              <w:rPr>
                <w:rFonts w:hint="default" w:ascii="Times New Roman" w:hAnsi="Times New Roman" w:cs="Times New Roman"/>
                <w:color w:val="auto"/>
                <w:spacing w:val="0"/>
                <w:kern w:val="0"/>
                <w:sz w:val="21"/>
                <w:szCs w:val="21"/>
              </w:rPr>
              <w:t>审批文件：四川省人民政府《关于设立四川蒲江经济开发区等64家省级开发区的批复》</w:t>
            </w:r>
          </w:p>
          <w:p w14:paraId="4FC9D427">
            <w:pPr>
              <w:pStyle w:val="69"/>
              <w:spacing w:line="360" w:lineRule="auto"/>
              <w:ind w:firstLine="0" w:firstLineChars="0"/>
              <w:rPr>
                <w:rFonts w:hint="default" w:ascii="Times New Roman" w:hAnsi="Times New Roman" w:cs="Times New Roman"/>
                <w:color w:val="FF0000"/>
                <w:kern w:val="0"/>
                <w:sz w:val="21"/>
                <w:szCs w:val="21"/>
              </w:rPr>
            </w:pPr>
            <w:r>
              <w:rPr>
                <w:rFonts w:hint="default" w:ascii="Times New Roman" w:hAnsi="Times New Roman" w:cs="Times New Roman"/>
                <w:color w:val="auto"/>
                <w:spacing w:val="0"/>
                <w:kern w:val="0"/>
                <w:sz w:val="21"/>
                <w:szCs w:val="21"/>
              </w:rPr>
              <w:t>审批文号：川府函〔2019〕20号</w:t>
            </w:r>
          </w:p>
        </w:tc>
      </w:tr>
      <w:tr w14:paraId="6B55E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14:paraId="7CC92EF0">
            <w:pPr>
              <w:pStyle w:val="69"/>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规划环境影响</w:t>
            </w:r>
          </w:p>
          <w:p w14:paraId="0BFC26ED">
            <w:pPr>
              <w:pStyle w:val="69"/>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szCs w:val="21"/>
              </w:rPr>
              <w:t>评价情况</w:t>
            </w:r>
          </w:p>
        </w:tc>
        <w:tc>
          <w:tcPr>
            <w:tcW w:w="7106" w:type="dxa"/>
            <w:gridSpan w:val="3"/>
            <w:noWrap w:val="0"/>
            <w:vAlign w:val="center"/>
          </w:tcPr>
          <w:p w14:paraId="5C7F5A6D">
            <w:pPr>
              <w:pStyle w:val="69"/>
              <w:spacing w:line="360" w:lineRule="auto"/>
              <w:ind w:left="0" w:leftChars="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规划环评名称：《四川蓬溪经济开发区（上游片区）（暨蓬溪县上游工业园产业聚集区）规划修编环境影响报告书》</w:t>
            </w:r>
          </w:p>
          <w:p w14:paraId="6D630264">
            <w:pPr>
              <w:pStyle w:val="69"/>
              <w:spacing w:line="360" w:lineRule="auto"/>
              <w:ind w:left="0" w:leftChars="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审批机关：</w:t>
            </w:r>
            <w:r>
              <w:rPr>
                <w:rFonts w:hint="default" w:ascii="Times New Roman" w:hAnsi="Times New Roman" w:cs="Times New Roman"/>
                <w:color w:val="auto"/>
                <w:sz w:val="21"/>
                <w:szCs w:val="21"/>
                <w:lang w:val="en-US" w:eastAsia="zh-CN"/>
              </w:rPr>
              <w:t>遂宁市生态环境局</w:t>
            </w:r>
          </w:p>
          <w:p w14:paraId="47F1211D">
            <w:pPr>
              <w:pStyle w:val="69"/>
              <w:spacing w:line="360" w:lineRule="auto"/>
              <w:ind w:left="0" w:leftChars="0" w:firstLine="0" w:firstLineChars="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审查文件名称及文号：遂宁市生态环境局关于印发《四川蓬溪经济开发区(上游片区)(蓬溪县上游工业园产业聚集区)规划修编环境影响报告书》审查意见的函</w:t>
            </w:r>
            <w:r>
              <w:rPr>
                <w:rFonts w:hint="eastAsia" w:ascii="Times New Roman" w:hAnsi="Times New Roman" w:cs="Times New Roman"/>
                <w:color w:val="auto"/>
                <w:sz w:val="21"/>
                <w:szCs w:val="21"/>
                <w:lang w:val="en-US" w:eastAsia="zh-CN"/>
              </w:rPr>
              <w:t xml:space="preserve"> 遂环函〔2022〕67号</w:t>
            </w:r>
          </w:p>
        </w:tc>
      </w:tr>
      <w:tr w14:paraId="6BA77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861" w:type="dxa"/>
            <w:gridSpan w:val="4"/>
            <w:noWrap w:val="0"/>
            <w:vAlign w:val="center"/>
          </w:tcPr>
          <w:p w14:paraId="541266E0">
            <w:pPr>
              <w:autoSpaceDE w:val="0"/>
              <w:autoSpaceDN w:val="0"/>
              <w:adjustRightInd w:val="0"/>
              <w:snapToGrid w:val="0"/>
              <w:jc w:val="left"/>
              <w:rPr>
                <w:rFonts w:hint="default" w:ascii="Times New Roman" w:hAnsi="Times New Roman" w:cs="Times New Roman"/>
                <w:color w:val="auto"/>
                <w:kern w:val="0"/>
                <w:szCs w:val="21"/>
              </w:rPr>
            </w:pPr>
            <w:r>
              <w:rPr>
                <w:rFonts w:hint="default" w:ascii="Times New Roman" w:hAnsi="Times New Roman" w:cs="Times New Roman"/>
                <w:color w:val="auto"/>
                <w:kern w:val="0"/>
                <w:sz w:val="21"/>
                <w:szCs w:val="21"/>
              </w:rPr>
              <w:t>规划及规划环境影响评价符合性分析</w:t>
            </w:r>
          </w:p>
        </w:tc>
      </w:tr>
      <w:tr w14:paraId="3D505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1" w:type="dxa"/>
            <w:gridSpan w:val="4"/>
            <w:noWrap w:val="0"/>
            <w:vAlign w:val="center"/>
          </w:tcPr>
          <w:p w14:paraId="005FB92E">
            <w:pPr>
              <w:bidi w:val="0"/>
              <w:spacing w:line="360" w:lineRule="auto"/>
              <w:ind w:firstLine="422" w:firstLineChars="200"/>
              <w:rPr>
                <w:rFonts w:hint="default"/>
                <w:b/>
                <w:bCs/>
              </w:rPr>
            </w:pPr>
            <w:r>
              <w:rPr>
                <w:rFonts w:hint="eastAsia"/>
                <w:b/>
                <w:bCs/>
                <w:lang w:val="en-US" w:eastAsia="zh-CN"/>
              </w:rPr>
              <w:t>1、</w:t>
            </w:r>
            <w:r>
              <w:rPr>
                <w:rFonts w:hint="default"/>
                <w:b/>
                <w:bCs/>
              </w:rPr>
              <w:t>与四川蓬溪经济开发区（上游片区）规划及规划环评符合性分析</w:t>
            </w:r>
          </w:p>
          <w:p w14:paraId="684A0110">
            <w:pPr>
              <w:bidi w:val="0"/>
              <w:spacing w:line="360" w:lineRule="auto"/>
              <w:ind w:firstLine="422" w:firstLineChars="200"/>
              <w:rPr>
                <w:rFonts w:hint="eastAsia"/>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基本情况</w:t>
            </w:r>
          </w:p>
          <w:p w14:paraId="0C4CECB4">
            <w:pPr>
              <w:bidi w:val="0"/>
              <w:spacing w:line="360" w:lineRule="auto"/>
              <w:ind w:firstLine="420" w:firstLineChars="200"/>
              <w:rPr>
                <w:rFonts w:hint="default"/>
              </w:rPr>
            </w:pPr>
            <w:r>
              <w:rPr>
                <w:rFonts w:hint="eastAsia"/>
                <w:lang w:val="en-US" w:eastAsia="zh-CN"/>
              </w:rPr>
              <w:t>根据遂</w:t>
            </w:r>
            <w:r>
              <w:rPr>
                <w:rFonts w:hint="eastAsia" w:ascii="Times New Roman" w:hAnsi="Times New Roman" w:cs="Times New Roman"/>
                <w:color w:val="auto"/>
                <w:sz w:val="21"/>
                <w:szCs w:val="21"/>
                <w:lang w:val="en-US" w:eastAsia="zh-CN"/>
              </w:rPr>
              <w:t>环函〔2022〕67号</w:t>
            </w:r>
            <w:r>
              <w:rPr>
                <w:rFonts w:hint="eastAsia" w:cs="Times New Roman"/>
                <w:color w:val="auto"/>
                <w:sz w:val="21"/>
                <w:szCs w:val="21"/>
                <w:lang w:val="en-US" w:eastAsia="zh-CN"/>
              </w:rPr>
              <w:t>：</w:t>
            </w:r>
            <w:r>
              <w:rPr>
                <w:rFonts w:hint="default"/>
              </w:rPr>
              <w:t>2007年，蓬溪县人民政府决定成立蓬溪县上游工业集中发展区，规划面积约5.3km</w:t>
            </w:r>
            <w:r>
              <w:rPr>
                <w:rFonts w:hint="default"/>
                <w:vertAlign w:val="superscript"/>
              </w:rPr>
              <w:t>2</w:t>
            </w:r>
            <w:r>
              <w:rPr>
                <w:rFonts w:hint="default"/>
              </w:rPr>
              <w:t>，主导产业方向为纺织、轻化工业、食品加工、仓储物流。2008年取得了原遂宁市环境保护局出具的规划环评审查意见（遂环函</w:t>
            </w:r>
            <w:r>
              <w:rPr>
                <w:rFonts w:hint="eastAsia"/>
                <w:lang w:eastAsia="zh-CN"/>
              </w:rPr>
              <w:t>〔</w:t>
            </w:r>
            <w:r>
              <w:rPr>
                <w:rFonts w:hint="default"/>
              </w:rPr>
              <w:t>2008</w:t>
            </w:r>
            <w:r>
              <w:rPr>
                <w:rFonts w:hint="eastAsia"/>
                <w:lang w:eastAsia="zh-CN"/>
              </w:rPr>
              <w:t>〕</w:t>
            </w:r>
            <w:r>
              <w:rPr>
                <w:rFonts w:hint="default"/>
              </w:rPr>
              <w:t>4号）。</w:t>
            </w:r>
          </w:p>
          <w:p w14:paraId="1D44915E">
            <w:pPr>
              <w:bidi w:val="0"/>
              <w:spacing w:line="360" w:lineRule="auto"/>
              <w:ind w:firstLine="420" w:firstLineChars="200"/>
              <w:rPr>
                <w:rFonts w:hint="default"/>
              </w:rPr>
            </w:pPr>
            <w:r>
              <w:rPr>
                <w:rFonts w:hint="default"/>
              </w:rPr>
              <w:t>2012年，为解决主导产业导向问题，突出打造门业及配套产业，蓬溪县人民政府对上一轮规划进行了调整，编制了《蓬溪县上游工业集中发展区规划调整》（以下简称集中区规划），组织编制了规划环评并取得了原遂宁市环境保护局出具的批复（遂环函</w:t>
            </w:r>
            <w:r>
              <w:rPr>
                <w:rFonts w:hint="eastAsia"/>
                <w:lang w:eastAsia="zh-CN"/>
              </w:rPr>
              <w:t>〔</w:t>
            </w:r>
            <w:r>
              <w:rPr>
                <w:rFonts w:hint="default"/>
              </w:rPr>
              <w:t>2013</w:t>
            </w:r>
            <w:r>
              <w:rPr>
                <w:rFonts w:hint="eastAsia"/>
                <w:lang w:eastAsia="zh-CN"/>
              </w:rPr>
              <w:t>〕</w:t>
            </w:r>
            <w:r>
              <w:rPr>
                <w:rFonts w:hint="default"/>
              </w:rPr>
              <w:t>67号）。调整后规划总规划面积5.3km</w:t>
            </w:r>
            <w:r>
              <w:rPr>
                <w:rFonts w:hint="default"/>
                <w:vertAlign w:val="superscript"/>
              </w:rPr>
              <w:t>2</w:t>
            </w:r>
            <w:r>
              <w:rPr>
                <w:rFonts w:hint="default"/>
              </w:rPr>
              <w:t>，主导产业为门业及其配套、纺织产业、电子产业、食品产业、南部仓储物流。</w:t>
            </w:r>
          </w:p>
          <w:p w14:paraId="1E522E24">
            <w:pPr>
              <w:bidi w:val="0"/>
              <w:spacing w:line="360" w:lineRule="auto"/>
              <w:ind w:firstLine="420" w:firstLineChars="200"/>
              <w:rPr>
                <w:rFonts w:hint="default"/>
              </w:rPr>
            </w:pPr>
            <w:r>
              <w:rPr>
                <w:rFonts w:hint="default"/>
              </w:rPr>
              <w:t>2013年，为从园区长远发展考虑，拓展门业配套产业发展空间，蓬溪县人民政府编制了《蓬溪县上游工业集中发展区拓展区规划》（以下简称拓展区规划），组织编制了规划环评并取得了原四川省环境保护厅出具的审查意见（川环建函</w:t>
            </w:r>
            <w:r>
              <w:rPr>
                <w:rFonts w:hint="eastAsia"/>
                <w:lang w:eastAsia="zh-CN"/>
              </w:rPr>
              <w:t>〔</w:t>
            </w:r>
            <w:r>
              <w:rPr>
                <w:rFonts w:hint="default"/>
              </w:rPr>
              <w:t>2014</w:t>
            </w:r>
            <w:r>
              <w:rPr>
                <w:rFonts w:hint="eastAsia"/>
                <w:lang w:eastAsia="zh-CN"/>
              </w:rPr>
              <w:t>〕</w:t>
            </w:r>
            <w:r>
              <w:rPr>
                <w:rFonts w:hint="default"/>
              </w:rPr>
              <w:t>249号），规划面积3.78km</w:t>
            </w:r>
            <w:r>
              <w:rPr>
                <w:rFonts w:hint="default"/>
                <w:vertAlign w:val="superscript"/>
              </w:rPr>
              <w:t>2</w:t>
            </w:r>
            <w:r>
              <w:rPr>
                <w:rFonts w:hint="default"/>
              </w:rPr>
              <w:t>，主导产业为</w:t>
            </w:r>
            <w:r>
              <w:rPr>
                <w:rFonts w:hint="eastAsia"/>
                <w:lang w:eastAsia="zh-CN"/>
              </w:rPr>
              <w:t>家具</w:t>
            </w:r>
            <w:r>
              <w:rPr>
                <w:rFonts w:hint="default"/>
              </w:rPr>
              <w:t>制造（主要发展门业及门业配套产业）、化工（限定为与门业配套的油漆、涂料）等产业。</w:t>
            </w:r>
          </w:p>
          <w:p w14:paraId="69BA7F09">
            <w:pPr>
              <w:bidi w:val="0"/>
              <w:spacing w:line="360" w:lineRule="auto"/>
              <w:ind w:firstLine="420" w:firstLineChars="200"/>
              <w:rPr>
                <w:rFonts w:hint="default"/>
                <w:lang w:eastAsia="zh-CN"/>
              </w:rPr>
            </w:pPr>
            <w:r>
              <w:rPr>
                <w:rFonts w:hint="default"/>
              </w:rPr>
              <w:t>2019年1月，四川省人民政府出具《关于设立四川蒲江经济开发区等64家省级开发区的批复》（川府函〔2019〕20号），同意设立四川蓬溪经济开发区（以下简称蓬溪经开区）。蓬溪经开区以家具、服装、食品饮料为主导产业，核准面积5.7437 km</w:t>
            </w:r>
            <w:r>
              <w:rPr>
                <w:rFonts w:hint="default"/>
                <w:vertAlign w:val="superscript"/>
              </w:rPr>
              <w:t>2</w:t>
            </w:r>
            <w:r>
              <w:rPr>
                <w:rFonts w:hint="default"/>
              </w:rPr>
              <w:t>，其中上游片区2.6195 km</w:t>
            </w:r>
            <w:r>
              <w:rPr>
                <w:rFonts w:hint="default"/>
                <w:vertAlign w:val="superscript"/>
              </w:rPr>
              <w:t>2</w:t>
            </w:r>
            <w:r>
              <w:rPr>
                <w:rFonts w:hint="default"/>
              </w:rPr>
              <w:t>，重点发展门业家居、纺织服装等产业，金桥片区3.1242 km</w:t>
            </w:r>
            <w:r>
              <w:rPr>
                <w:rFonts w:hint="default"/>
                <w:vertAlign w:val="superscript"/>
              </w:rPr>
              <w:t>2</w:t>
            </w:r>
            <w:r>
              <w:rPr>
                <w:rFonts w:hint="default"/>
              </w:rPr>
              <w:t>，重点发展食品饮料等产业。为适应区域经济、社会、环境可持续发展的要求和贯彻《蓬溪县国民经济和社会发展第十四个五年规划和二〇三五年远景目标纲要》精神，四川蓬溪经开区管委会启动了园区修编工作，编制了《四川蓬溪经济开发区（上游片区）（暨蓬溪县上游工业园产业聚集区）产业规划》和《四川蓬溪经济开发区（上游片区）（暨蓬溪县上游工业园产业聚集区）控制性详细规划修编》</w:t>
            </w:r>
            <w:r>
              <w:rPr>
                <w:rFonts w:hint="default"/>
                <w:lang w:eastAsia="zh-CN"/>
              </w:rPr>
              <w:t>。</w:t>
            </w:r>
          </w:p>
          <w:p w14:paraId="101162E5">
            <w:pPr>
              <w:bidi w:val="0"/>
              <w:spacing w:line="360" w:lineRule="auto"/>
              <w:ind w:firstLine="420" w:firstLineChars="200"/>
              <w:rPr>
                <w:rFonts w:hint="default"/>
                <w:lang w:val="en-US" w:eastAsia="zh-CN"/>
              </w:rPr>
            </w:pPr>
            <w:r>
              <w:rPr>
                <w:rFonts w:hint="default"/>
                <w:lang w:val="en-US" w:eastAsia="zh-CN"/>
              </w:rPr>
              <w:t>本次修编后，</w:t>
            </w:r>
            <w:r>
              <w:rPr>
                <w:rFonts w:hint="default"/>
                <w:lang w:eastAsia="zh-CN"/>
              </w:rPr>
              <w:t>蓬溪县上游工业园产业聚集区位于遂宁市蓬溪县，规划面积约11.70 km</w:t>
            </w:r>
            <w:r>
              <w:rPr>
                <w:rFonts w:hint="default"/>
                <w:vertAlign w:val="superscript"/>
                <w:lang w:eastAsia="zh-CN"/>
              </w:rPr>
              <w:t>2</w:t>
            </w:r>
            <w:r>
              <w:rPr>
                <w:rFonts w:hint="default"/>
                <w:lang w:eastAsia="zh-CN"/>
              </w:rPr>
              <w:t>，四至范围为南至普安街道任家桥村5组，北至芝溪河南岸（沿河岸线退10m间距），东至鸣凤镇白猴村4组，西至赤城镇跃进村5组</w:t>
            </w:r>
            <w:r>
              <w:rPr>
                <w:rFonts w:hint="eastAsia"/>
                <w:lang w:eastAsia="zh-CN"/>
              </w:rPr>
              <w:t>，</w:t>
            </w:r>
            <w:r>
              <w:rPr>
                <w:rFonts w:hint="default"/>
                <w:lang w:val="en-US" w:eastAsia="zh-CN"/>
              </w:rPr>
              <w:t>主导产业为：门业及智能家居产业、线缆线束产业。</w:t>
            </w:r>
          </w:p>
          <w:p w14:paraId="459284F9">
            <w:pPr>
              <w:bidi w:val="0"/>
              <w:spacing w:line="360" w:lineRule="auto"/>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规划区采用雨、污分流制，汇集的雨水就近排入水体</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规划区内的废水全部进入经开区污水处理厂(处理规模2000m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/d)进行处理，尾水达《城镇污水处理厂污染物排放标准》GB18918-2002)一级A标准后排入芝溪河。</w:t>
            </w:r>
          </w:p>
          <w:p w14:paraId="7D86E1F5">
            <w:pPr>
              <w:pStyle w:val="69"/>
              <w:numPr>
                <w:ilvl w:val="0"/>
                <w:numId w:val="2"/>
              </w:numPr>
              <w:bidi w:val="0"/>
              <w:spacing w:line="360" w:lineRule="auto"/>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园区准入</w:t>
            </w:r>
          </w:p>
          <w:p w14:paraId="6ED80A56">
            <w:pPr>
              <w:pStyle w:val="69"/>
              <w:numPr>
                <w:ilvl w:val="0"/>
                <w:numId w:val="0"/>
              </w:numPr>
              <w:bidi w:val="0"/>
              <w:spacing w:line="360" w:lineRule="auto"/>
              <w:ind w:firstLine="420" w:firstLineChars="20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根据修编后规划环评，园区生态环境准入要求如下：</w:t>
            </w:r>
          </w:p>
          <w:p w14:paraId="6A995D98">
            <w:pPr>
              <w:spacing w:line="360" w:lineRule="auto"/>
              <w:jc w:val="center"/>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表1-</w:t>
            </w:r>
            <w:r>
              <w:rPr>
                <w:rFonts w:hint="default"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lang w:val="zh-CN"/>
              </w:rPr>
              <w:t>本项目与园区</w:t>
            </w:r>
            <w:r>
              <w:rPr>
                <w:rFonts w:hint="default" w:ascii="Times New Roman" w:hAnsi="Times New Roman" w:cs="Times New Roman"/>
                <w:b/>
                <w:bCs/>
                <w:color w:val="auto"/>
                <w:sz w:val="21"/>
                <w:szCs w:val="21"/>
                <w:lang w:val="en-US" w:eastAsia="zh-CN"/>
              </w:rPr>
              <w:t>规划修编环评</w:t>
            </w:r>
            <w:r>
              <w:rPr>
                <w:rFonts w:hint="default" w:ascii="Times New Roman" w:hAnsi="Times New Roman" w:cs="Times New Roman"/>
                <w:b/>
                <w:bCs/>
                <w:color w:val="auto"/>
                <w:sz w:val="21"/>
                <w:szCs w:val="21"/>
                <w:lang w:val="zh-CN"/>
              </w:rPr>
              <w:t>准入符合性对比</w:t>
            </w:r>
          </w:p>
          <w:tbl>
            <w:tblPr>
              <w:tblStyle w:val="2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5299"/>
              <w:gridCol w:w="1728"/>
            </w:tblGrid>
            <w:tr w14:paraId="5EF23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477" w:type="dxa"/>
                  <w:noWrap w:val="0"/>
                  <w:vAlign w:val="center"/>
                </w:tcPr>
                <w:p w14:paraId="63FF10E2">
                  <w:pPr>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准入类别</w:t>
                  </w:r>
                </w:p>
              </w:tc>
              <w:tc>
                <w:tcPr>
                  <w:tcW w:w="5299" w:type="dxa"/>
                  <w:noWrap w:val="0"/>
                  <w:vAlign w:val="center"/>
                </w:tcPr>
                <w:p w14:paraId="44D3F0BA">
                  <w:pPr>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准入要求</w:t>
                  </w:r>
                </w:p>
              </w:tc>
              <w:tc>
                <w:tcPr>
                  <w:tcW w:w="1728" w:type="dxa"/>
                  <w:noWrap w:val="0"/>
                  <w:vAlign w:val="center"/>
                </w:tcPr>
                <w:p w14:paraId="0DAED447">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符合性</w:t>
                  </w:r>
                </w:p>
              </w:tc>
            </w:tr>
            <w:tr w14:paraId="5467F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477" w:type="dxa"/>
                  <w:noWrap w:val="0"/>
                  <w:vAlign w:val="center"/>
                </w:tcPr>
                <w:p w14:paraId="2AECDF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总体要求</w:t>
                  </w:r>
                </w:p>
              </w:tc>
              <w:tc>
                <w:tcPr>
                  <w:tcW w:w="5299" w:type="dxa"/>
                  <w:noWrap w:val="0"/>
                  <w:vAlign w:val="center"/>
                </w:tcPr>
                <w:p w14:paraId="6309C67A">
                  <w:pPr>
                    <w:spacing w:line="240" w:lineRule="auto"/>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1、鼓励发展门业及智能家居产业、线缆线束产业及与主导产业相符的项目。</w:t>
                  </w:r>
                </w:p>
                <w:p w14:paraId="7C808B06">
                  <w:pPr>
                    <w:spacing w:line="240" w:lineRule="auto"/>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门业及智能家居产业：主要包括木门窗，金属门窗，木制家具，竹、藤家具，金属家具，塑料家具，其他家具等。</w:t>
                  </w:r>
                </w:p>
                <w:p w14:paraId="0067D83D">
                  <w:pPr>
                    <w:spacing w:line="240" w:lineRule="auto"/>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线缆线束产业：主要为电线、电缆制造。</w:t>
                  </w:r>
                </w:p>
                <w:p w14:paraId="38EF378A">
                  <w:pPr>
                    <w:spacing w:line="240" w:lineRule="auto"/>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2、鼓励其发展主导产业或重要项目的上下游企业，有利于区域实现循环经济和可持续发展的企业，若与规划区或片区主业发展不形成交叉影响。</w:t>
                  </w:r>
                </w:p>
              </w:tc>
              <w:tc>
                <w:tcPr>
                  <w:tcW w:w="1728" w:type="dxa"/>
                  <w:vMerge w:val="restart"/>
                  <w:noWrap w:val="0"/>
                  <w:vAlign w:val="center"/>
                </w:tcPr>
                <w:p w14:paraId="03A666E1">
                  <w:pPr>
                    <w:spacing w:line="240" w:lineRule="auto"/>
                    <w:jc w:val="left"/>
                    <w:rPr>
                      <w:rFonts w:hint="default" w:ascii="Times New Roman" w:hAnsi="Times New Roman" w:cs="Times New Roman"/>
                      <w:bCs/>
                      <w:color w:val="auto"/>
                      <w:sz w:val="21"/>
                      <w:szCs w:val="21"/>
                      <w:lang w:val="en-US"/>
                    </w:rPr>
                  </w:pPr>
                  <w:r>
                    <w:rPr>
                      <w:rFonts w:hint="default" w:ascii="Times New Roman" w:hAnsi="Times New Roman" w:cs="Times New Roman"/>
                      <w:bCs/>
                      <w:color w:val="auto"/>
                      <w:kern w:val="0"/>
                      <w:sz w:val="21"/>
                      <w:szCs w:val="21"/>
                    </w:rPr>
                    <w:t>本项目</w:t>
                  </w:r>
                  <w:r>
                    <w:rPr>
                      <w:rFonts w:hint="eastAsia" w:cs="Times New Roman"/>
                      <w:bCs/>
                      <w:color w:val="auto"/>
                      <w:kern w:val="0"/>
                      <w:sz w:val="21"/>
                      <w:szCs w:val="21"/>
                      <w:lang w:val="en-US" w:eastAsia="zh-CN"/>
                    </w:rPr>
                    <w:t>是汽车零配件生产</w:t>
                  </w:r>
                  <w:r>
                    <w:rPr>
                      <w:rFonts w:hint="eastAsia" w:ascii="Times New Roman" w:hAnsi="Times New Roman" w:cs="Times New Roman"/>
                      <w:bCs/>
                      <w:color w:val="auto"/>
                      <w:kern w:val="0"/>
                      <w:sz w:val="21"/>
                      <w:szCs w:val="21"/>
                      <w:lang w:val="en-US" w:eastAsia="zh-CN"/>
                    </w:rPr>
                    <w:t>的项目，</w:t>
                  </w:r>
                  <w:r>
                    <w:rPr>
                      <w:rFonts w:hint="eastAsia" w:cs="Times New Roman"/>
                      <w:bCs/>
                      <w:color w:val="auto"/>
                      <w:kern w:val="0"/>
                      <w:sz w:val="21"/>
                      <w:szCs w:val="21"/>
                      <w:lang w:val="en-US" w:eastAsia="zh-CN"/>
                    </w:rPr>
                    <w:t>不属于园区鼓励类、限制类、禁止类项目，</w:t>
                  </w:r>
                  <w:r>
                    <w:rPr>
                      <w:rFonts w:hint="eastAsia" w:ascii="Times New Roman" w:hAnsi="Times New Roman" w:cs="Times New Roman"/>
                      <w:bCs/>
                      <w:color w:val="auto"/>
                      <w:kern w:val="0"/>
                      <w:sz w:val="21"/>
                      <w:szCs w:val="21"/>
                      <w:lang w:val="en-US" w:eastAsia="zh-CN"/>
                    </w:rPr>
                    <w:t>因此本项目属于园区</w:t>
                  </w:r>
                  <w:r>
                    <w:rPr>
                      <w:rFonts w:hint="eastAsia" w:cs="Times New Roman"/>
                      <w:bCs/>
                      <w:color w:val="auto"/>
                      <w:kern w:val="0"/>
                      <w:sz w:val="21"/>
                      <w:szCs w:val="21"/>
                      <w:lang w:val="en-US" w:eastAsia="zh-CN"/>
                    </w:rPr>
                    <w:t>允许</w:t>
                  </w:r>
                  <w:r>
                    <w:rPr>
                      <w:rFonts w:hint="eastAsia" w:ascii="Times New Roman" w:hAnsi="Times New Roman" w:cs="Times New Roman"/>
                      <w:bCs/>
                      <w:color w:val="auto"/>
                      <w:kern w:val="0"/>
                      <w:sz w:val="21"/>
                      <w:szCs w:val="21"/>
                      <w:lang w:val="en-US" w:eastAsia="zh-CN"/>
                    </w:rPr>
                    <w:t>入园项目。</w:t>
                  </w:r>
                </w:p>
              </w:tc>
            </w:tr>
            <w:tr w14:paraId="5BA55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477" w:type="dxa"/>
                  <w:noWrap w:val="0"/>
                  <w:vAlign w:val="center"/>
                </w:tcPr>
                <w:p w14:paraId="57AEB7B0">
                  <w:pPr>
                    <w:spacing w:line="240" w:lineRule="auto"/>
                    <w:jc w:val="center"/>
                    <w:rPr>
                      <w:rFonts w:hint="default" w:ascii="Times New Roman" w:hAnsi="Times New Roman" w:cs="Times New Roman"/>
                      <w:b/>
                      <w:bCs/>
                      <w:color w:val="auto"/>
                      <w:sz w:val="21"/>
                      <w:szCs w:val="21"/>
                    </w:rPr>
                  </w:pPr>
                  <w:r>
                    <w:rPr>
                      <w:rFonts w:hint="default" w:ascii="Times New Roman" w:hAnsi="Times New Roman" w:eastAsia="宋体" w:cs="Times New Roman"/>
                      <w:b/>
                      <w:color w:val="auto"/>
                      <w:sz w:val="21"/>
                      <w:szCs w:val="21"/>
                      <w:lang w:val="en-US" w:eastAsia="zh-CN"/>
                    </w:rPr>
                    <w:t>分区管控要求</w:t>
                  </w:r>
                </w:p>
              </w:tc>
              <w:tc>
                <w:tcPr>
                  <w:tcW w:w="5299" w:type="dxa"/>
                  <w:noWrap w:val="0"/>
                  <w:vAlign w:val="center"/>
                </w:tcPr>
                <w:p w14:paraId="11406F4F">
                  <w:pPr>
                    <w:spacing w:line="240" w:lineRule="auto"/>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1、线缆线束产业园：禁止引入6千伏及以上（陆上用）干法交联电力电缆项目。</w:t>
                  </w:r>
                </w:p>
                <w:p w14:paraId="69CD025A">
                  <w:pPr>
                    <w:spacing w:line="240" w:lineRule="auto"/>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2、门业及智能家居产业园：禁止引入溶剂型涂料涂装的木质家具（高流量低压[HVLP]喷漆工艺除外）。</w:t>
                  </w:r>
                </w:p>
              </w:tc>
              <w:tc>
                <w:tcPr>
                  <w:tcW w:w="1728" w:type="dxa"/>
                  <w:vMerge w:val="continue"/>
                  <w:noWrap w:val="0"/>
                  <w:vAlign w:val="center"/>
                </w:tcPr>
                <w:p w14:paraId="2AFCCE49">
                  <w:pPr>
                    <w:spacing w:line="240" w:lineRule="auto"/>
                    <w:jc w:val="left"/>
                    <w:rPr>
                      <w:rFonts w:hint="default" w:ascii="Times New Roman" w:hAnsi="Times New Roman" w:cs="Times New Roman"/>
                      <w:bCs/>
                      <w:color w:val="auto"/>
                      <w:sz w:val="21"/>
                      <w:szCs w:val="21"/>
                    </w:rPr>
                  </w:pPr>
                </w:p>
              </w:tc>
            </w:tr>
            <w:tr w14:paraId="7FEAA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477" w:type="dxa"/>
                  <w:noWrap w:val="0"/>
                  <w:vAlign w:val="center"/>
                </w:tcPr>
                <w:p w14:paraId="0447091B">
                  <w:pPr>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color w:val="auto"/>
                      <w:sz w:val="21"/>
                      <w:szCs w:val="21"/>
                      <w:lang w:val="en-US" w:eastAsia="zh-CN"/>
                    </w:rPr>
                    <w:t>规划主导产业外</w:t>
                  </w:r>
                </w:p>
              </w:tc>
              <w:tc>
                <w:tcPr>
                  <w:tcW w:w="5299" w:type="dxa"/>
                  <w:noWrap w:val="0"/>
                  <w:vAlign w:val="center"/>
                </w:tcPr>
                <w:p w14:paraId="3DC155C6">
                  <w:pPr>
                    <w:spacing w:line="240" w:lineRule="auto"/>
                    <w:jc w:val="left"/>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禁止引入不符合法律法规、产业政策及相关环境管理要求的项目；</w:t>
                  </w:r>
                </w:p>
                <w:p w14:paraId="18B9DE93">
                  <w:pPr>
                    <w:spacing w:line="240" w:lineRule="auto"/>
                    <w:jc w:val="left"/>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禁止引入《</w:t>
                  </w:r>
                  <w:r>
                    <w:rPr>
                      <w:rFonts w:hint="default" w:ascii="Times New Roman" w:hAnsi="Times New Roman" w:eastAsia="宋体" w:cs="Times New Roman"/>
                      <w:bCs/>
                      <w:color w:val="auto"/>
                      <w:sz w:val="21"/>
                      <w:szCs w:val="21"/>
                    </w:rPr>
                    <w:t>环境保护综合名录</w:t>
                  </w:r>
                  <w:r>
                    <w:rPr>
                      <w:rFonts w:hint="eastAsia" w:ascii="Times New Roman" w:hAnsi="Times New Roman" w:eastAsia="宋体" w:cs="Times New Roman"/>
                      <w:bCs/>
                      <w:color w:val="auto"/>
                      <w:sz w:val="21"/>
                      <w:szCs w:val="21"/>
                    </w:rPr>
                    <w:t>》中涉及的</w:t>
                  </w:r>
                  <w:r>
                    <w:rPr>
                      <w:rFonts w:hint="default" w:ascii="Times New Roman" w:hAnsi="Times New Roman" w:eastAsia="宋体" w:cs="Times New Roman"/>
                      <w:bCs/>
                      <w:color w:val="auto"/>
                      <w:sz w:val="21"/>
                      <w:szCs w:val="21"/>
                    </w:rPr>
                    <w:t>“高污染、高环境风险”</w:t>
                  </w:r>
                  <w:r>
                    <w:rPr>
                      <w:rFonts w:hint="eastAsia" w:ascii="Times New Roman" w:hAnsi="Times New Roman" w:eastAsia="宋体" w:cs="Times New Roman"/>
                      <w:bCs/>
                      <w:color w:val="auto"/>
                      <w:sz w:val="21"/>
                      <w:szCs w:val="21"/>
                    </w:rPr>
                    <w:t>项目。</w:t>
                  </w:r>
                </w:p>
                <w:p w14:paraId="309FF552">
                  <w:pPr>
                    <w:spacing w:line="240" w:lineRule="auto"/>
                    <w:jc w:val="left"/>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禁止引入清洁生产水平不能达二级或国内先进水平的项目。</w:t>
                  </w:r>
                </w:p>
                <w:p w14:paraId="34547879">
                  <w:pPr>
                    <w:spacing w:line="240" w:lineRule="auto"/>
                    <w:jc w:val="left"/>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禁止新建医药、农药、制浆（含废纸制浆）、</w:t>
                  </w:r>
                  <w:r>
                    <w:rPr>
                      <w:rFonts w:hint="default" w:ascii="Times New Roman" w:hAnsi="Times New Roman" w:eastAsia="宋体" w:cs="Times New Roman"/>
                      <w:bCs/>
                      <w:color w:val="auto"/>
                      <w:sz w:val="21"/>
                      <w:szCs w:val="21"/>
                    </w:rPr>
                    <w:t>造纸、</w:t>
                  </w:r>
                  <w:r>
                    <w:rPr>
                      <w:rFonts w:hint="eastAsia" w:ascii="Times New Roman" w:hAnsi="Times New Roman" w:eastAsia="宋体" w:cs="Times New Roman"/>
                      <w:bCs/>
                      <w:color w:val="auto"/>
                      <w:sz w:val="21"/>
                      <w:szCs w:val="21"/>
                    </w:rPr>
                    <w:t>印染染整、制革、水泥、专业电镀、</w:t>
                  </w:r>
                  <w:r>
                    <w:rPr>
                      <w:rFonts w:hint="default" w:ascii="Times New Roman" w:hAnsi="Times New Roman" w:eastAsia="宋体" w:cs="Times New Roman"/>
                      <w:bCs/>
                      <w:color w:val="auto"/>
                      <w:sz w:val="21"/>
                      <w:szCs w:val="21"/>
                    </w:rPr>
                    <w:t>制革、洗选、</w:t>
                  </w:r>
                  <w:r>
                    <w:rPr>
                      <w:rFonts w:hint="eastAsia" w:ascii="Times New Roman" w:hAnsi="Times New Roman" w:eastAsia="宋体" w:cs="Times New Roman"/>
                      <w:bCs/>
                      <w:color w:val="auto"/>
                      <w:sz w:val="21"/>
                      <w:szCs w:val="21"/>
                    </w:rPr>
                    <w:t>含前工序的集成电路、</w:t>
                  </w:r>
                  <w:r>
                    <w:rPr>
                      <w:rFonts w:hint="default" w:ascii="Times New Roman" w:hAnsi="Times New Roman" w:eastAsia="宋体" w:cs="Times New Roman"/>
                      <w:bCs/>
                      <w:color w:val="auto"/>
                      <w:sz w:val="21"/>
                      <w:szCs w:val="21"/>
                    </w:rPr>
                    <w:t>平板玻璃、印制电路板、</w:t>
                  </w:r>
                  <w:r>
                    <w:rPr>
                      <w:rFonts w:hint="eastAsia" w:ascii="Times New Roman" w:hAnsi="Times New Roman" w:eastAsia="宋体" w:cs="Times New Roman"/>
                      <w:bCs/>
                      <w:color w:val="auto"/>
                      <w:sz w:val="21"/>
                      <w:szCs w:val="21"/>
                    </w:rPr>
                    <w:t>石墨及</w:t>
                  </w:r>
                  <w:r>
                    <w:rPr>
                      <w:rFonts w:hint="eastAsia" w:cs="Times New Roman"/>
                      <w:bCs/>
                      <w:color w:val="auto"/>
                      <w:sz w:val="21"/>
                      <w:szCs w:val="21"/>
                      <w:lang w:eastAsia="zh-CN"/>
                    </w:rPr>
                    <w:t>碳素制品</w:t>
                  </w:r>
                  <w:r>
                    <w:rPr>
                      <w:rFonts w:hint="eastAsia" w:ascii="Times New Roman" w:hAnsi="Times New Roman" w:eastAsia="宋体" w:cs="Times New Roman"/>
                      <w:bCs/>
                      <w:color w:val="auto"/>
                      <w:sz w:val="21"/>
                      <w:szCs w:val="21"/>
                    </w:rPr>
                    <w:t>、有色金属冶炼（钒、钛除外）等与主导产业环境不相容或不属于主导产业的高污染行业。</w:t>
                  </w:r>
                </w:p>
                <w:p w14:paraId="430C3A6E">
                  <w:pPr>
                    <w:spacing w:line="240" w:lineRule="auto"/>
                    <w:jc w:val="left"/>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禁止引入酒精饮料及酒类制造、屠宰、粮食及饲料加工、农产品加工等废水排放大的行业。</w:t>
                  </w:r>
                </w:p>
              </w:tc>
              <w:tc>
                <w:tcPr>
                  <w:tcW w:w="1728" w:type="dxa"/>
                  <w:vMerge w:val="continue"/>
                  <w:noWrap w:val="0"/>
                  <w:vAlign w:val="center"/>
                </w:tcPr>
                <w:p w14:paraId="27CEEB61">
                  <w:pPr>
                    <w:spacing w:line="240" w:lineRule="auto"/>
                    <w:jc w:val="left"/>
                    <w:rPr>
                      <w:rFonts w:hint="default" w:ascii="Times New Roman" w:hAnsi="Times New Roman" w:cs="Times New Roman"/>
                      <w:bCs/>
                      <w:color w:val="auto"/>
                      <w:sz w:val="21"/>
                      <w:szCs w:val="21"/>
                    </w:rPr>
                  </w:pPr>
                </w:p>
              </w:tc>
            </w:tr>
          </w:tbl>
          <w:p w14:paraId="0022121D">
            <w:pPr>
              <w:pStyle w:val="69"/>
              <w:spacing w:line="360" w:lineRule="auto"/>
              <w:ind w:firstLine="48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因此本项目属于园区</w:t>
            </w:r>
            <w:r>
              <w:rPr>
                <w:rFonts w:hint="eastAsia" w:ascii="Times New Roman" w:hAnsi="Times New Roman" w:cs="Times New Roman"/>
                <w:color w:val="auto"/>
                <w:sz w:val="21"/>
                <w:szCs w:val="21"/>
                <w:lang w:val="en-US" w:eastAsia="zh-CN"/>
              </w:rPr>
              <w:t>允许</w:t>
            </w:r>
            <w:r>
              <w:rPr>
                <w:rFonts w:hint="default" w:ascii="Times New Roman" w:hAnsi="Times New Roman" w:cs="Times New Roman"/>
                <w:color w:val="auto"/>
                <w:sz w:val="21"/>
                <w:szCs w:val="21"/>
                <w:lang w:val="en-US" w:eastAsia="zh-CN"/>
              </w:rPr>
              <w:t>入园项目，</w:t>
            </w:r>
            <w:r>
              <w:rPr>
                <w:rFonts w:hint="eastAsia" w:ascii="Times New Roman" w:hAnsi="Times New Roman" w:cs="Times New Roman"/>
                <w:color w:val="auto"/>
                <w:sz w:val="21"/>
                <w:szCs w:val="21"/>
                <w:lang w:val="en-US" w:eastAsia="zh-CN"/>
              </w:rPr>
              <w:t>且本项目已取得入园证明，</w:t>
            </w:r>
            <w:r>
              <w:rPr>
                <w:rFonts w:hint="default" w:ascii="Times New Roman" w:hAnsi="Times New Roman" w:cs="Times New Roman"/>
                <w:color w:val="auto"/>
                <w:sz w:val="21"/>
                <w:szCs w:val="21"/>
                <w:lang w:val="en-US" w:eastAsia="zh-CN"/>
              </w:rPr>
              <w:t>项目的建设符合四川蓬溪经济开发区（上游片区）规划及规划环评的相关要求。</w:t>
            </w:r>
          </w:p>
          <w:p w14:paraId="013C1B36">
            <w:pPr>
              <w:keepNext w:val="0"/>
              <w:keepLines w:val="0"/>
              <w:pageBreakBefore w:val="0"/>
              <w:kinsoku/>
              <w:wordWrap/>
              <w:overflowPunct/>
              <w:topLinePunct w:val="0"/>
              <w:autoSpaceDE w:val="0"/>
              <w:autoSpaceDN w:val="0"/>
              <w:bidi w:val="0"/>
              <w:adjustRightInd w:val="0"/>
              <w:snapToGrid w:val="0"/>
              <w:spacing w:line="360" w:lineRule="auto"/>
              <w:ind w:left="0" w:leftChars="0" w:firstLine="422" w:firstLineChars="200"/>
              <w:jc w:val="left"/>
              <w:rPr>
                <w:rFonts w:hint="eastAsia" w:ascii="Times New Roman" w:hAnsi="Times New Roman"/>
                <w:b/>
                <w:bCs/>
                <w:kern w:val="0"/>
                <w:sz w:val="21"/>
                <w:szCs w:val="21"/>
              </w:rPr>
            </w:pPr>
            <w:r>
              <w:rPr>
                <w:rFonts w:hint="eastAsia" w:ascii="Times New Roman" w:hAnsi="Times New Roman"/>
                <w:b/>
                <w:bCs/>
                <w:kern w:val="0"/>
                <w:sz w:val="21"/>
                <w:szCs w:val="21"/>
                <w:lang w:eastAsia="zh-CN"/>
              </w:rPr>
              <w:t>（</w:t>
            </w:r>
            <w:r>
              <w:rPr>
                <w:rFonts w:hint="eastAsia" w:ascii="Times New Roman" w:hAnsi="Times New Roman"/>
                <w:b/>
                <w:bCs/>
                <w:kern w:val="0"/>
                <w:sz w:val="21"/>
                <w:szCs w:val="21"/>
                <w:lang w:val="en-US" w:eastAsia="zh-CN"/>
              </w:rPr>
              <w:t>3</w:t>
            </w:r>
            <w:r>
              <w:rPr>
                <w:rFonts w:hint="eastAsia" w:ascii="Times New Roman" w:hAnsi="Times New Roman"/>
                <w:b/>
                <w:bCs/>
                <w:kern w:val="0"/>
                <w:sz w:val="21"/>
                <w:szCs w:val="21"/>
                <w:lang w:eastAsia="zh-CN"/>
              </w:rPr>
              <w:t>）</w:t>
            </w:r>
            <w:r>
              <w:rPr>
                <w:rFonts w:hint="eastAsia" w:ascii="Times New Roman" w:hAnsi="Times New Roman"/>
                <w:b/>
                <w:bCs/>
                <w:kern w:val="0"/>
                <w:sz w:val="21"/>
                <w:szCs w:val="21"/>
              </w:rPr>
              <w:t>园区关于大气污染防治措施的要求</w:t>
            </w:r>
          </w:p>
          <w:p w14:paraId="3EC9F58A">
            <w:pPr>
              <w:pStyle w:val="78"/>
              <w:keepNext w:val="0"/>
              <w:keepLines w:val="0"/>
              <w:pageBreakBefore w:val="0"/>
              <w:kinsoku/>
              <w:wordWrap/>
              <w:overflowPunct/>
              <w:topLinePunct w:val="0"/>
              <w:bidi w:val="0"/>
              <w:adjustRightInd w:val="0"/>
              <w:snapToGrid w:val="0"/>
              <w:spacing w:line="360" w:lineRule="auto"/>
              <w:ind w:left="0" w:leftChars="0" w:right="0" w:firstLine="420" w:firstLineChars="200"/>
              <w:jc w:val="both"/>
              <w:rPr>
                <w:rFonts w:hint="eastAsia" w:ascii="Times New Roman" w:hAnsi="Times New Roman"/>
                <w:sz w:val="21"/>
                <w:szCs w:val="21"/>
              </w:rPr>
            </w:pPr>
            <w:r>
              <w:rPr>
                <w:rFonts w:hint="eastAsia" w:ascii="Times New Roman" w:hAnsi="Times New Roman"/>
                <w:sz w:val="21"/>
                <w:szCs w:val="21"/>
              </w:rPr>
              <w:t>四川蓬溪经济开发区（上游片区）（暨蓬溪县上游工业园产业聚集区）规划修编中提出：加强建设项目VOCs排放管理，加强工艺废气治理，新建、改扩建涉及VOCs排放工业企业入园，必须采取有效治理措施，确保有机废气收集效率不低于90%，实现达标排放。新、改、扩建涉及VOCs排放项目，加强全过程控制，从原辅材料和工艺过程鼓励使用低（无）VOCs含量的涂料、有机溶剂、油墨等原辅材料，替代比例达到60%以上；全面使用水性胶黏剂；推广先进涂装工艺技术，优化喷漆工艺与设备；家具相关产业生产企业车间建设除尘系统，严格控制粉尘排放量，必须达标排放；规划区位于大气污染防治重点区域，应严格落实《四川省固定污染源大气挥发性有机物排放标准》</w:t>
            </w:r>
            <w:r>
              <w:rPr>
                <w:rFonts w:hint="eastAsia" w:ascii="Times New Roman" w:hAnsi="Times New Roman"/>
                <w:sz w:val="21"/>
                <w:szCs w:val="21"/>
                <w:lang w:eastAsia="zh-CN"/>
              </w:rPr>
              <w:t>（</w:t>
            </w:r>
            <w:r>
              <w:rPr>
                <w:rFonts w:hint="eastAsia" w:ascii="Times New Roman" w:hAnsi="Times New Roman"/>
                <w:sz w:val="21"/>
                <w:szCs w:val="21"/>
                <w:lang w:val="en-US" w:eastAsia="zh-CN"/>
              </w:rPr>
              <w:t>DB51/2377-2017</w:t>
            </w:r>
            <w:r>
              <w:rPr>
                <w:rFonts w:hint="eastAsia" w:ascii="Times New Roman" w:hAnsi="Times New Roman"/>
                <w:sz w:val="21"/>
                <w:szCs w:val="21"/>
                <w:lang w:eastAsia="zh-CN"/>
              </w:rPr>
              <w:t>）、</w:t>
            </w:r>
            <w:r>
              <w:rPr>
                <w:rFonts w:hint="eastAsia" w:ascii="Times New Roman" w:hAnsi="Times New Roman"/>
                <w:sz w:val="21"/>
                <w:szCs w:val="21"/>
              </w:rPr>
              <w:t>《挥发性有机物无组织排放控制标准》（GB37822-2019）。</w:t>
            </w:r>
          </w:p>
          <w:p w14:paraId="5D18157C">
            <w:pPr>
              <w:keepNext w:val="0"/>
              <w:keepLines w:val="0"/>
              <w:pageBreakBefore w:val="0"/>
              <w:widowControl/>
              <w:kinsoku/>
              <w:wordWrap/>
              <w:overflowPunct/>
              <w:topLinePunct w:val="0"/>
              <w:bidi w:val="0"/>
              <w:adjustRightInd w:val="0"/>
              <w:snapToGrid w:val="0"/>
              <w:spacing w:line="360" w:lineRule="auto"/>
              <w:ind w:left="0" w:leftChars="0" w:firstLine="422" w:firstLineChars="200"/>
              <w:rPr>
                <w:rFonts w:ascii="Times New Roman" w:hAnsi="Times New Roman"/>
                <w:b/>
                <w:bCs/>
                <w:color w:val="auto"/>
                <w:kern w:val="0"/>
                <w:sz w:val="21"/>
                <w:szCs w:val="21"/>
                <w:highlight w:val="none"/>
              </w:rPr>
            </w:pPr>
            <w:r>
              <w:rPr>
                <w:rFonts w:hint="eastAsia" w:ascii="Times New Roman" w:hAnsi="Times New Roman"/>
                <w:b/>
                <w:bCs/>
                <w:color w:val="auto"/>
                <w:kern w:val="0"/>
                <w:sz w:val="21"/>
                <w:szCs w:val="21"/>
                <w:highlight w:val="none"/>
              </w:rPr>
              <w:t>本项目位于园区内，</w:t>
            </w:r>
            <w:r>
              <w:rPr>
                <w:rFonts w:hint="eastAsia" w:ascii="Times New Roman" w:hAnsi="Times New Roman"/>
                <w:b/>
                <w:bCs/>
                <w:color w:val="auto"/>
                <w:kern w:val="0"/>
                <w:sz w:val="21"/>
                <w:szCs w:val="21"/>
                <w:highlight w:val="none"/>
                <w:lang w:val="en-US" w:eastAsia="zh-CN"/>
              </w:rPr>
              <w:t>项目喷漆工序使用底漆、面漆和</w:t>
            </w:r>
            <w:r>
              <w:rPr>
                <w:rFonts w:hint="eastAsia"/>
                <w:b/>
                <w:bCs/>
                <w:color w:val="auto"/>
                <w:kern w:val="0"/>
                <w:sz w:val="21"/>
                <w:szCs w:val="21"/>
                <w:highlight w:val="none"/>
                <w:lang w:val="en-US" w:eastAsia="zh-CN"/>
              </w:rPr>
              <w:t>清</w:t>
            </w:r>
            <w:r>
              <w:rPr>
                <w:rFonts w:hint="eastAsia" w:ascii="Times New Roman" w:hAnsi="Times New Roman"/>
                <w:b/>
                <w:bCs/>
                <w:color w:val="auto"/>
                <w:kern w:val="0"/>
                <w:sz w:val="21"/>
                <w:szCs w:val="21"/>
                <w:highlight w:val="none"/>
                <w:lang w:val="en-US" w:eastAsia="zh-CN"/>
              </w:rPr>
              <w:t>漆</w:t>
            </w:r>
            <w:r>
              <w:rPr>
                <w:rFonts w:hint="eastAsia" w:ascii="Times New Roman" w:hAnsi="Times New Roman"/>
                <w:b/>
                <w:bCs/>
                <w:color w:val="auto"/>
                <w:kern w:val="0"/>
                <w:sz w:val="21"/>
                <w:szCs w:val="21"/>
                <w:highlight w:val="none"/>
              </w:rPr>
              <w:t>，在</w:t>
            </w:r>
            <w:r>
              <w:rPr>
                <w:rFonts w:hint="eastAsia" w:ascii="Times New Roman" w:hAnsi="Times New Roman"/>
                <w:b/>
                <w:bCs/>
                <w:color w:val="auto"/>
                <w:kern w:val="0"/>
                <w:sz w:val="21"/>
                <w:szCs w:val="21"/>
                <w:highlight w:val="none"/>
                <w:lang w:val="en-US" w:eastAsia="zh-CN"/>
              </w:rPr>
              <w:t>喷漆、</w:t>
            </w:r>
            <w:r>
              <w:rPr>
                <w:rFonts w:hint="eastAsia"/>
                <w:b/>
                <w:bCs/>
                <w:color w:val="auto"/>
                <w:kern w:val="0"/>
                <w:sz w:val="21"/>
                <w:szCs w:val="21"/>
                <w:highlight w:val="none"/>
                <w:lang w:val="en-US" w:eastAsia="zh-CN"/>
              </w:rPr>
              <w:t>注塑</w:t>
            </w:r>
            <w:r>
              <w:rPr>
                <w:rFonts w:hint="eastAsia" w:ascii="Times New Roman" w:hAnsi="Times New Roman"/>
                <w:b/>
                <w:bCs/>
                <w:color w:val="auto"/>
                <w:kern w:val="0"/>
                <w:sz w:val="21"/>
                <w:szCs w:val="21"/>
                <w:highlight w:val="none"/>
                <w:lang w:val="en-US" w:eastAsia="zh-CN"/>
              </w:rPr>
              <w:t>等</w:t>
            </w:r>
            <w:r>
              <w:rPr>
                <w:rFonts w:hint="eastAsia" w:ascii="Times New Roman" w:hAnsi="Times New Roman"/>
                <w:b/>
                <w:bCs/>
                <w:color w:val="auto"/>
                <w:kern w:val="0"/>
                <w:sz w:val="21"/>
                <w:szCs w:val="21"/>
                <w:highlight w:val="none"/>
              </w:rPr>
              <w:t>生产环节</w:t>
            </w:r>
            <w:r>
              <w:rPr>
                <w:rFonts w:hint="eastAsia" w:ascii="Times New Roman" w:hAnsi="Times New Roman"/>
                <w:b/>
                <w:bCs/>
                <w:color w:val="auto"/>
                <w:kern w:val="0"/>
                <w:sz w:val="21"/>
                <w:szCs w:val="21"/>
                <w:highlight w:val="none"/>
                <w:lang w:val="en-US" w:eastAsia="zh-CN"/>
              </w:rPr>
              <w:t>会</w:t>
            </w:r>
            <w:r>
              <w:rPr>
                <w:rFonts w:hint="eastAsia" w:ascii="Times New Roman" w:hAnsi="Times New Roman"/>
                <w:b/>
                <w:bCs/>
                <w:color w:val="auto"/>
                <w:kern w:val="0"/>
                <w:sz w:val="21"/>
                <w:szCs w:val="21"/>
                <w:highlight w:val="none"/>
              </w:rPr>
              <w:t>产生VOCs，</w:t>
            </w:r>
            <w:r>
              <w:rPr>
                <w:rFonts w:hint="eastAsia" w:ascii="Times New Roman" w:hAnsi="Times New Roman"/>
                <w:b/>
                <w:bCs/>
                <w:color w:val="auto"/>
                <w:kern w:val="0"/>
                <w:sz w:val="21"/>
                <w:szCs w:val="21"/>
                <w:highlight w:val="none"/>
                <w:lang w:val="en-US" w:eastAsia="zh-CN"/>
              </w:rPr>
              <w:t>采用密闭管道或负压抽风进行收集，</w:t>
            </w:r>
            <w:r>
              <w:rPr>
                <w:rFonts w:hint="eastAsia" w:ascii="Times New Roman" w:hAnsi="Times New Roman"/>
                <w:b/>
                <w:bCs/>
                <w:color w:val="auto"/>
                <w:kern w:val="0"/>
                <w:sz w:val="21"/>
                <w:szCs w:val="21"/>
                <w:highlight w:val="none"/>
              </w:rPr>
              <w:t>收集效率大于90%，</w:t>
            </w:r>
            <w:r>
              <w:rPr>
                <w:rFonts w:hint="eastAsia" w:ascii="Times New Roman" w:hAnsi="Times New Roman"/>
                <w:b/>
                <w:bCs/>
                <w:color w:val="auto"/>
                <w:kern w:val="0"/>
                <w:sz w:val="21"/>
                <w:szCs w:val="21"/>
                <w:highlight w:val="none"/>
                <w:lang w:val="en-US" w:eastAsia="zh-CN"/>
              </w:rPr>
              <w:t>1#</w:t>
            </w:r>
            <w:r>
              <w:rPr>
                <w:rFonts w:hint="eastAsia"/>
                <w:b/>
                <w:bCs/>
                <w:color w:val="auto"/>
                <w:kern w:val="0"/>
                <w:sz w:val="21"/>
                <w:szCs w:val="21"/>
                <w:highlight w:val="none"/>
                <w:lang w:val="en-US" w:eastAsia="zh-CN"/>
              </w:rPr>
              <w:t>喷涂车间</w:t>
            </w:r>
            <w:r>
              <w:rPr>
                <w:rFonts w:hint="eastAsia" w:ascii="Times New Roman" w:hAnsi="Times New Roman"/>
                <w:b/>
                <w:bCs/>
                <w:color w:val="auto"/>
                <w:kern w:val="0"/>
                <w:sz w:val="21"/>
                <w:szCs w:val="21"/>
                <w:highlight w:val="none"/>
                <w:lang w:val="en-US" w:eastAsia="zh-CN"/>
              </w:rPr>
              <w:t>收集的</w:t>
            </w:r>
            <w:r>
              <w:rPr>
                <w:rFonts w:hint="eastAsia" w:ascii="Times New Roman" w:hAnsi="Times New Roman"/>
                <w:b/>
                <w:bCs/>
                <w:color w:val="auto"/>
                <w:kern w:val="0"/>
                <w:sz w:val="21"/>
                <w:szCs w:val="21"/>
                <w:highlight w:val="none"/>
              </w:rPr>
              <w:t>VOCs通过</w:t>
            </w:r>
            <w:r>
              <w:rPr>
                <w:rFonts w:hint="eastAsia" w:ascii="Times New Roman" w:hAnsi="Times New Roman"/>
                <w:b/>
                <w:bCs/>
                <w:color w:val="auto"/>
                <w:kern w:val="0"/>
                <w:sz w:val="21"/>
                <w:szCs w:val="21"/>
                <w:highlight w:val="none"/>
                <w:lang w:val="en-US" w:eastAsia="zh-CN"/>
              </w:rPr>
              <w:t>水帘柜+过滤棉+</w:t>
            </w:r>
            <w:r>
              <w:rPr>
                <w:rFonts w:hint="eastAsia" w:ascii="Times New Roman" w:hAnsi="Times New Roman"/>
                <w:b/>
                <w:bCs/>
                <w:color w:val="auto"/>
                <w:kern w:val="0"/>
                <w:sz w:val="21"/>
                <w:szCs w:val="21"/>
                <w:highlight w:val="none"/>
              </w:rPr>
              <w:t>二级活性炭处理后通过</w:t>
            </w:r>
            <w:r>
              <w:rPr>
                <w:rFonts w:hint="eastAsia"/>
                <w:b/>
                <w:bCs/>
                <w:color w:val="auto"/>
                <w:kern w:val="0"/>
                <w:sz w:val="21"/>
                <w:szCs w:val="21"/>
                <w:highlight w:val="none"/>
                <w:lang w:val="en-US" w:eastAsia="zh-CN"/>
              </w:rPr>
              <w:t>15</w:t>
            </w:r>
            <w:r>
              <w:rPr>
                <w:rFonts w:hint="eastAsia" w:ascii="Times New Roman" w:hAnsi="Times New Roman"/>
                <w:b/>
                <w:bCs/>
                <w:color w:val="auto"/>
                <w:kern w:val="0"/>
                <w:sz w:val="21"/>
                <w:szCs w:val="21"/>
                <w:highlight w:val="none"/>
                <w:lang w:eastAsia="zh-CN"/>
              </w:rPr>
              <w:t>m排气筒</w:t>
            </w:r>
            <w:r>
              <w:rPr>
                <w:rFonts w:hint="eastAsia" w:ascii="Times New Roman" w:hAnsi="Times New Roman"/>
                <w:b/>
                <w:bCs/>
                <w:color w:val="auto"/>
                <w:kern w:val="0"/>
                <w:sz w:val="21"/>
                <w:szCs w:val="21"/>
                <w:highlight w:val="none"/>
              </w:rPr>
              <w:t>排放（</w:t>
            </w:r>
            <w:r>
              <w:rPr>
                <w:rFonts w:hint="eastAsia" w:ascii="Times New Roman" w:hAnsi="Times New Roman"/>
                <w:b/>
                <w:bCs/>
                <w:color w:val="auto"/>
                <w:kern w:val="0"/>
                <w:sz w:val="21"/>
                <w:szCs w:val="21"/>
                <w:highlight w:val="none"/>
                <w:lang w:eastAsia="zh-CN"/>
              </w:rPr>
              <w:t>DA00</w:t>
            </w:r>
            <w:r>
              <w:rPr>
                <w:rFonts w:hint="eastAsia"/>
                <w:b/>
                <w:bCs/>
                <w:color w:val="auto"/>
                <w:kern w:val="0"/>
                <w:sz w:val="21"/>
                <w:szCs w:val="21"/>
                <w:highlight w:val="none"/>
                <w:lang w:val="en-US" w:eastAsia="zh-CN"/>
              </w:rPr>
              <w:t>2~</w:t>
            </w:r>
            <w:r>
              <w:rPr>
                <w:rFonts w:hint="eastAsia" w:ascii="Times New Roman" w:hAnsi="Times New Roman"/>
                <w:b/>
                <w:bCs/>
                <w:color w:val="auto"/>
                <w:kern w:val="0"/>
                <w:sz w:val="21"/>
                <w:szCs w:val="21"/>
                <w:highlight w:val="none"/>
                <w:lang w:eastAsia="zh-CN"/>
              </w:rPr>
              <w:t>DA00</w:t>
            </w:r>
            <w:r>
              <w:rPr>
                <w:rFonts w:hint="eastAsia"/>
                <w:b/>
                <w:bCs/>
                <w:color w:val="auto"/>
                <w:kern w:val="0"/>
                <w:sz w:val="21"/>
                <w:szCs w:val="21"/>
                <w:highlight w:val="none"/>
                <w:lang w:val="en-US" w:eastAsia="zh-CN"/>
              </w:rPr>
              <w:t>7</w:t>
            </w:r>
            <w:r>
              <w:rPr>
                <w:rFonts w:hint="eastAsia" w:ascii="Times New Roman" w:hAnsi="Times New Roman"/>
                <w:b/>
                <w:bCs/>
                <w:color w:val="auto"/>
                <w:kern w:val="0"/>
                <w:sz w:val="21"/>
                <w:szCs w:val="21"/>
                <w:highlight w:val="none"/>
              </w:rPr>
              <w:t>）；</w:t>
            </w:r>
            <w:r>
              <w:rPr>
                <w:rFonts w:hint="eastAsia" w:ascii="Times New Roman" w:hAnsi="Times New Roman"/>
                <w:b/>
                <w:bCs/>
                <w:color w:val="auto"/>
                <w:kern w:val="0"/>
                <w:sz w:val="21"/>
                <w:szCs w:val="21"/>
                <w:highlight w:val="none"/>
                <w:lang w:val="en-US" w:eastAsia="zh-CN"/>
              </w:rPr>
              <w:t>2#</w:t>
            </w:r>
            <w:r>
              <w:rPr>
                <w:rFonts w:hint="eastAsia"/>
                <w:b/>
                <w:bCs/>
                <w:color w:val="auto"/>
                <w:kern w:val="0"/>
                <w:sz w:val="21"/>
                <w:szCs w:val="21"/>
                <w:highlight w:val="none"/>
                <w:lang w:val="en-US" w:eastAsia="zh-CN"/>
              </w:rPr>
              <w:t>注塑车间</w:t>
            </w:r>
            <w:r>
              <w:rPr>
                <w:rFonts w:hint="eastAsia" w:ascii="Times New Roman" w:hAnsi="Times New Roman"/>
                <w:b/>
                <w:bCs/>
                <w:color w:val="auto"/>
                <w:kern w:val="0"/>
                <w:sz w:val="21"/>
                <w:szCs w:val="21"/>
                <w:highlight w:val="none"/>
                <w:lang w:val="en-US" w:eastAsia="zh-CN"/>
              </w:rPr>
              <w:t>收集的</w:t>
            </w:r>
            <w:r>
              <w:rPr>
                <w:rFonts w:hint="eastAsia" w:ascii="Times New Roman" w:hAnsi="Times New Roman"/>
                <w:b/>
                <w:bCs/>
                <w:color w:val="auto"/>
                <w:kern w:val="0"/>
                <w:sz w:val="21"/>
                <w:szCs w:val="21"/>
                <w:highlight w:val="none"/>
              </w:rPr>
              <w:t>VOCs</w:t>
            </w:r>
            <w:r>
              <w:rPr>
                <w:rFonts w:hint="eastAsia" w:ascii="Times New Roman" w:hAnsi="Times New Roman"/>
                <w:b/>
                <w:bCs/>
                <w:color w:val="auto"/>
                <w:kern w:val="0"/>
                <w:sz w:val="21"/>
                <w:szCs w:val="21"/>
                <w:highlight w:val="none"/>
                <w:lang w:val="en-US" w:eastAsia="zh-CN"/>
              </w:rPr>
              <w:t>通过</w:t>
            </w:r>
            <w:r>
              <w:rPr>
                <w:rFonts w:hint="eastAsia" w:ascii="Times New Roman" w:hAnsi="Times New Roman"/>
                <w:b/>
                <w:bCs/>
                <w:color w:val="auto"/>
                <w:kern w:val="0"/>
                <w:sz w:val="21"/>
                <w:szCs w:val="21"/>
                <w:highlight w:val="none"/>
              </w:rPr>
              <w:t>二级活性炭处理后通过</w:t>
            </w:r>
            <w:r>
              <w:rPr>
                <w:rFonts w:hint="eastAsia"/>
                <w:b/>
                <w:bCs/>
                <w:color w:val="auto"/>
                <w:kern w:val="0"/>
                <w:sz w:val="21"/>
                <w:szCs w:val="21"/>
                <w:highlight w:val="none"/>
                <w:lang w:val="en-US" w:eastAsia="zh-CN"/>
              </w:rPr>
              <w:t>15</w:t>
            </w:r>
            <w:r>
              <w:rPr>
                <w:rFonts w:hint="eastAsia" w:ascii="Times New Roman" w:hAnsi="Times New Roman"/>
                <w:b/>
                <w:bCs/>
                <w:color w:val="auto"/>
                <w:kern w:val="0"/>
                <w:sz w:val="21"/>
                <w:szCs w:val="21"/>
                <w:highlight w:val="none"/>
                <w:lang w:eastAsia="zh-CN"/>
              </w:rPr>
              <w:t>m排气筒</w:t>
            </w:r>
            <w:r>
              <w:rPr>
                <w:rFonts w:hint="eastAsia" w:ascii="Times New Roman" w:hAnsi="Times New Roman"/>
                <w:b/>
                <w:bCs/>
                <w:color w:val="auto"/>
                <w:kern w:val="0"/>
                <w:sz w:val="21"/>
                <w:szCs w:val="21"/>
                <w:highlight w:val="none"/>
              </w:rPr>
              <w:t>排放（</w:t>
            </w:r>
            <w:r>
              <w:rPr>
                <w:rFonts w:hint="eastAsia" w:ascii="Times New Roman" w:hAnsi="Times New Roman"/>
                <w:b/>
                <w:bCs/>
                <w:color w:val="auto"/>
                <w:kern w:val="0"/>
                <w:sz w:val="21"/>
                <w:szCs w:val="21"/>
                <w:highlight w:val="none"/>
                <w:lang w:val="en-US" w:eastAsia="zh-CN"/>
              </w:rPr>
              <w:t>DA00</w:t>
            </w:r>
            <w:r>
              <w:rPr>
                <w:rFonts w:hint="eastAsia"/>
                <w:b/>
                <w:bCs/>
                <w:color w:val="auto"/>
                <w:kern w:val="0"/>
                <w:sz w:val="21"/>
                <w:szCs w:val="21"/>
                <w:highlight w:val="none"/>
                <w:lang w:val="en-US" w:eastAsia="zh-CN"/>
              </w:rPr>
              <w:t>1</w:t>
            </w:r>
            <w:r>
              <w:rPr>
                <w:rFonts w:hint="eastAsia" w:ascii="Times New Roman" w:hAnsi="Times New Roman"/>
                <w:b/>
                <w:bCs/>
                <w:color w:val="auto"/>
                <w:kern w:val="0"/>
                <w:sz w:val="21"/>
                <w:szCs w:val="21"/>
                <w:highlight w:val="none"/>
              </w:rPr>
              <w:t>）；</w:t>
            </w:r>
            <w:r>
              <w:rPr>
                <w:rFonts w:hint="eastAsia" w:ascii="Times New Roman" w:hAnsi="Times New Roman"/>
                <w:b/>
                <w:bCs/>
                <w:color w:val="auto"/>
                <w:kern w:val="0"/>
                <w:sz w:val="21"/>
                <w:szCs w:val="21"/>
                <w:highlight w:val="none"/>
                <w:lang w:val="en-US" w:eastAsia="zh-CN"/>
              </w:rPr>
              <w:t>本项目设置</w:t>
            </w:r>
            <w:r>
              <w:rPr>
                <w:rFonts w:hint="eastAsia"/>
                <w:b/>
                <w:bCs/>
                <w:color w:val="auto"/>
                <w:kern w:val="0"/>
                <w:sz w:val="21"/>
                <w:szCs w:val="21"/>
                <w:highlight w:val="none"/>
                <w:lang w:val="en-US" w:eastAsia="zh-CN"/>
              </w:rPr>
              <w:t>布袋</w:t>
            </w:r>
            <w:r>
              <w:rPr>
                <w:rFonts w:hint="eastAsia" w:ascii="Times New Roman" w:hAnsi="Times New Roman"/>
                <w:b/>
                <w:bCs/>
                <w:color w:val="auto"/>
                <w:kern w:val="0"/>
                <w:sz w:val="21"/>
                <w:szCs w:val="21"/>
                <w:highlight w:val="none"/>
                <w:lang w:val="en-US" w:eastAsia="zh-CN"/>
              </w:rPr>
              <w:t>除尘器处理</w:t>
            </w:r>
            <w:r>
              <w:rPr>
                <w:rFonts w:hint="eastAsia"/>
                <w:b/>
                <w:bCs/>
                <w:color w:val="auto"/>
                <w:kern w:val="0"/>
                <w:sz w:val="21"/>
                <w:szCs w:val="21"/>
                <w:highlight w:val="none"/>
                <w:lang w:val="en-US" w:eastAsia="zh-CN"/>
              </w:rPr>
              <w:t>破碎</w:t>
            </w:r>
            <w:r>
              <w:rPr>
                <w:rFonts w:hint="eastAsia" w:ascii="Times New Roman" w:hAnsi="Times New Roman"/>
                <w:b/>
                <w:bCs/>
                <w:color w:val="auto"/>
                <w:kern w:val="0"/>
                <w:sz w:val="21"/>
                <w:szCs w:val="21"/>
                <w:highlight w:val="none"/>
                <w:lang w:val="en-US" w:eastAsia="zh-CN"/>
              </w:rPr>
              <w:t>工序生产过程中产生的粉尘，处理后</w:t>
            </w:r>
            <w:r>
              <w:rPr>
                <w:rFonts w:hint="eastAsia"/>
                <w:b/>
                <w:bCs/>
                <w:color w:val="auto"/>
                <w:kern w:val="0"/>
                <w:sz w:val="21"/>
                <w:szCs w:val="21"/>
                <w:highlight w:val="none"/>
                <w:lang w:val="en-US" w:eastAsia="zh-CN"/>
              </w:rPr>
              <w:t>并入排气筒</w:t>
            </w:r>
            <w:r>
              <w:rPr>
                <w:rFonts w:hint="eastAsia" w:ascii="Times New Roman" w:hAnsi="Times New Roman"/>
                <w:b/>
                <w:bCs/>
                <w:color w:val="auto"/>
                <w:kern w:val="0"/>
                <w:sz w:val="21"/>
                <w:szCs w:val="21"/>
                <w:highlight w:val="none"/>
                <w:lang w:val="en-US" w:eastAsia="zh-CN"/>
              </w:rPr>
              <w:t>DA00</w:t>
            </w:r>
            <w:r>
              <w:rPr>
                <w:rFonts w:hint="eastAsia"/>
                <w:b/>
                <w:bCs/>
                <w:color w:val="auto"/>
                <w:kern w:val="0"/>
                <w:sz w:val="21"/>
                <w:szCs w:val="21"/>
                <w:highlight w:val="none"/>
                <w:lang w:val="en-US" w:eastAsia="zh-CN"/>
              </w:rPr>
              <w:t>1排放</w:t>
            </w:r>
            <w:r>
              <w:rPr>
                <w:rFonts w:hint="eastAsia" w:ascii="Times New Roman" w:hAnsi="Times New Roman"/>
                <w:b/>
                <w:bCs/>
                <w:color w:val="auto"/>
                <w:kern w:val="0"/>
                <w:sz w:val="21"/>
                <w:szCs w:val="21"/>
                <w:highlight w:val="none"/>
              </w:rPr>
              <w:t>。</w:t>
            </w:r>
          </w:p>
          <w:p w14:paraId="60A3BF3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22" w:firstLineChars="200"/>
              <w:textAlignment w:val="auto"/>
              <w:rPr>
                <w:rFonts w:hint="default" w:ascii="Times New Roman" w:hAnsi="Times New Roman" w:eastAsia="宋体"/>
                <w:b/>
                <w:bCs/>
                <w:sz w:val="21"/>
                <w:szCs w:val="21"/>
                <w:lang w:val="en-US" w:eastAsia="zh-CN"/>
              </w:rPr>
            </w:pPr>
            <w:r>
              <w:rPr>
                <w:rFonts w:hint="eastAsia" w:ascii="Times New Roman" w:hAnsi="Times New Roman"/>
                <w:b/>
                <w:bCs/>
                <w:sz w:val="21"/>
                <w:szCs w:val="21"/>
                <w:lang w:val="en-US" w:eastAsia="zh-CN"/>
              </w:rPr>
              <w:t>根据建设单位提供原辅材料成分检验报告，经对比《低挥发性有机化合物含量涂料产品技术要求》（GB/T38597-2020）中相关含量要求，本项目所使用涂料均属于低挥发性有机物涂料，低VOCs原辅料替代比例达到100%，大于60%。</w:t>
            </w:r>
          </w:p>
          <w:p w14:paraId="4067FCE0">
            <w:pPr>
              <w:pStyle w:val="69"/>
              <w:spacing w:line="360" w:lineRule="auto"/>
              <w:ind w:firstLine="480"/>
              <w:rPr>
                <w:rFonts w:hint="default" w:ascii="Times New Roman" w:hAnsi="Times New Roman" w:cs="Times New Roman"/>
                <w:color w:val="auto"/>
                <w:sz w:val="21"/>
                <w:szCs w:val="21"/>
                <w:lang w:val="en-US" w:eastAsia="zh-CN"/>
              </w:rPr>
            </w:pPr>
            <w:r>
              <w:rPr>
                <w:rFonts w:hint="eastAsia" w:ascii="Times New Roman" w:hAnsi="Times New Roman"/>
                <w:sz w:val="21"/>
                <w:szCs w:val="21"/>
                <w:lang w:val="en-US" w:eastAsia="zh-CN"/>
              </w:rPr>
              <w:t>因此，</w:t>
            </w:r>
            <w:r>
              <w:rPr>
                <w:rFonts w:hint="eastAsia" w:ascii="Times New Roman" w:hAnsi="Times New Roman"/>
                <w:sz w:val="21"/>
                <w:szCs w:val="21"/>
              </w:rPr>
              <w:t>本项目符合园区规划环评中提出的要求</w:t>
            </w:r>
            <w:r>
              <w:rPr>
                <w:rFonts w:hint="default" w:ascii="Times New Roman" w:hAnsi="Times New Roman" w:cs="Times New Roman"/>
                <w:color w:val="auto"/>
                <w:spacing w:val="0"/>
                <w:sz w:val="21"/>
                <w:szCs w:val="21"/>
              </w:rPr>
              <w:t>。</w:t>
            </w:r>
          </w:p>
        </w:tc>
      </w:tr>
      <w:tr w14:paraId="3E4A8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61" w:type="dxa"/>
            <w:gridSpan w:val="4"/>
            <w:noWrap w:val="0"/>
            <w:vAlign w:val="center"/>
          </w:tcPr>
          <w:p w14:paraId="3CB02F92">
            <w:pPr>
              <w:pStyle w:val="69"/>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b/>
                <w:bCs/>
                <w:sz w:val="21"/>
                <w:szCs w:val="21"/>
              </w:rPr>
              <w:t>其他符合性分析</w:t>
            </w:r>
          </w:p>
        </w:tc>
      </w:tr>
      <w:tr w14:paraId="0A055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8861" w:type="dxa"/>
            <w:gridSpan w:val="4"/>
            <w:noWrap w:val="0"/>
            <w:vAlign w:val="center"/>
          </w:tcPr>
          <w:p w14:paraId="0320A60C">
            <w:pPr>
              <w:pStyle w:val="69"/>
              <w:ind w:firstLine="482"/>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（1）产业政策符合性分析</w:t>
            </w:r>
          </w:p>
          <w:p w14:paraId="6049DE78">
            <w:pPr>
              <w:bidi w:val="0"/>
              <w:spacing w:line="360" w:lineRule="auto"/>
              <w:ind w:firstLine="420" w:firstLineChars="200"/>
              <w:rPr>
                <w:rFonts w:hint="default"/>
              </w:rPr>
            </w:pPr>
            <w:r>
              <w:rPr>
                <w:rFonts w:hint="default"/>
              </w:rPr>
              <w:t>根据《国民经济行业分类》（GB/T4754-2017）（2019修正），本项目属于</w:t>
            </w:r>
            <w:r>
              <w:rPr>
                <w:rFonts w:hint="eastAsia"/>
                <w:lang w:eastAsia="zh-CN"/>
              </w:rPr>
              <w:t>“</w:t>
            </w:r>
            <w:r>
              <w:rPr>
                <w:rFonts w:hint="default"/>
                <w:lang w:val="en-US" w:eastAsia="zh-CN"/>
              </w:rPr>
              <w:t>C2929 塑料零件及其他塑料制品制造；C3670</w:t>
            </w:r>
            <w:r>
              <w:rPr>
                <w:rFonts w:hint="default"/>
              </w:rPr>
              <w:t>汽车零部件及配件制造</w:t>
            </w:r>
            <w:r>
              <w:rPr>
                <w:rFonts w:hint="eastAsia"/>
                <w:lang w:eastAsia="zh-CN"/>
              </w:rPr>
              <w:t>”</w:t>
            </w:r>
            <w:r>
              <w:rPr>
                <w:rFonts w:hint="default"/>
              </w:rPr>
              <w:t>。项目原料、规模、工艺、设备和产品不属于《产业结构调整指导目录（20</w:t>
            </w:r>
            <w:r>
              <w:rPr>
                <w:rFonts w:hint="eastAsia"/>
                <w:lang w:val="en-US" w:eastAsia="zh-CN"/>
              </w:rPr>
              <w:t>24</w:t>
            </w:r>
            <w:r>
              <w:rPr>
                <w:rFonts w:hint="default"/>
              </w:rPr>
              <w:t>年本）》中的“限制类</w:t>
            </w:r>
            <w:r>
              <w:rPr>
                <w:rFonts w:hint="eastAsia"/>
                <w:lang w:eastAsia="zh-CN"/>
              </w:rPr>
              <w:t>”“</w:t>
            </w:r>
            <w:r>
              <w:rPr>
                <w:rFonts w:hint="default"/>
              </w:rPr>
              <w:t>淘汰</w:t>
            </w:r>
            <w:r>
              <w:rPr>
                <w:rFonts w:hint="eastAsia"/>
                <w:lang w:val="en-US" w:eastAsia="zh-CN"/>
              </w:rPr>
              <w:t>类”</w:t>
            </w:r>
            <w:r>
              <w:rPr>
                <w:rFonts w:hint="default"/>
              </w:rPr>
              <w:t>和</w:t>
            </w:r>
            <w:r>
              <w:rPr>
                <w:rFonts w:hint="eastAsia"/>
                <w:lang w:eastAsia="zh-CN"/>
              </w:rPr>
              <w:t>“</w:t>
            </w:r>
            <w:r>
              <w:rPr>
                <w:rFonts w:hint="default"/>
              </w:rPr>
              <w:t>鼓励类</w:t>
            </w:r>
            <w:r>
              <w:rPr>
                <w:rFonts w:hint="eastAsia"/>
                <w:lang w:eastAsia="zh-CN"/>
              </w:rPr>
              <w:t>”</w:t>
            </w:r>
            <w:r>
              <w:rPr>
                <w:rFonts w:hint="default"/>
              </w:rPr>
              <w:t>。依据国务院关于发布实施《促进产业结构调整暂行规定》的决定（国发〔2005〕40号）第十三条《产业结构调整指导目录》由鼓励、限制和淘汰三类目录组成，不属于鼓励类、限制类和淘汰类但符合国家有关</w:t>
            </w:r>
            <w:r>
              <w:rPr>
                <w:rFonts w:hint="eastAsia"/>
                <w:lang w:eastAsia="zh-CN"/>
              </w:rPr>
              <w:t>法律法规</w:t>
            </w:r>
            <w:r>
              <w:rPr>
                <w:rFonts w:hint="default"/>
              </w:rPr>
              <w:t>和政策规定的可视为允许类，允许类不列入《产业结构调整指导目录》。因此，本项目可视为允许类，项目的建设符合国家产业政策。</w:t>
            </w:r>
          </w:p>
          <w:p w14:paraId="036892AB">
            <w:pPr>
              <w:bidi w:val="0"/>
              <w:spacing w:line="360" w:lineRule="auto"/>
              <w:ind w:firstLine="420" w:firstLineChars="200"/>
              <w:rPr>
                <w:rFonts w:hint="default"/>
              </w:rPr>
            </w:pPr>
            <w:r>
              <w:rPr>
                <w:rFonts w:hint="default"/>
              </w:rPr>
              <w:t>202</w:t>
            </w:r>
            <w:r>
              <w:rPr>
                <w:rFonts w:hint="eastAsia"/>
                <w:lang w:val="en-US" w:eastAsia="zh-CN"/>
              </w:rPr>
              <w:t>4</w:t>
            </w:r>
            <w:r>
              <w:rPr>
                <w:rFonts w:hint="default"/>
              </w:rPr>
              <w:t>年</w:t>
            </w:r>
            <w:r>
              <w:rPr>
                <w:rFonts w:hint="eastAsia"/>
                <w:lang w:val="en-US" w:eastAsia="zh-CN"/>
              </w:rPr>
              <w:t>8</w:t>
            </w:r>
            <w:r>
              <w:rPr>
                <w:rFonts w:hint="default"/>
              </w:rPr>
              <w:t>月</w:t>
            </w:r>
            <w:r>
              <w:rPr>
                <w:rFonts w:hint="eastAsia"/>
                <w:lang w:val="en-US" w:eastAsia="zh-CN"/>
              </w:rPr>
              <w:t>14</w:t>
            </w:r>
            <w:r>
              <w:rPr>
                <w:rFonts w:hint="default"/>
              </w:rPr>
              <w:t>日蓬溪县行政审批局以</w:t>
            </w:r>
            <w:r>
              <w:rPr>
                <w:rFonts w:hint="eastAsia"/>
                <w:lang w:eastAsia="zh-CN"/>
              </w:rPr>
              <w:t>川投资备【2408-510921-99-01-523065】FGQB-0274号</w:t>
            </w:r>
            <w:r>
              <w:rPr>
                <w:rFonts w:hint="default"/>
              </w:rPr>
              <w:t>项目备案表对本项目进行了备案支持（附件2）。</w:t>
            </w:r>
          </w:p>
          <w:p w14:paraId="003FA7B0">
            <w:pPr>
              <w:pStyle w:val="69"/>
              <w:ind w:firstLine="482"/>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w:t>
            </w:r>
            <w:r>
              <w:rPr>
                <w:rFonts w:hint="default" w:ascii="Times New Roman" w:hAnsi="Times New Roman" w:cs="Times New Roman"/>
                <w:b/>
                <w:bCs/>
                <w:sz w:val="21"/>
                <w:szCs w:val="21"/>
              </w:rPr>
              <w:t>2</w:t>
            </w:r>
            <w:r>
              <w:rPr>
                <w:rFonts w:hint="default" w:ascii="Times New Roman" w:hAnsi="Times New Roman" w:cs="Times New Roman"/>
                <w:b/>
                <w:bCs/>
                <w:sz w:val="21"/>
                <w:szCs w:val="21"/>
                <w:lang w:val="zh-CN"/>
              </w:rPr>
              <w:t>）与《长江经济带发展负面指南试行（</w:t>
            </w:r>
            <w:r>
              <w:rPr>
                <w:rFonts w:hint="default" w:ascii="Times New Roman" w:hAnsi="Times New Roman" w:cs="Times New Roman"/>
                <w:b/>
                <w:bCs/>
                <w:sz w:val="21"/>
                <w:szCs w:val="21"/>
              </w:rPr>
              <w:t>2022版</w:t>
            </w:r>
            <w:r>
              <w:rPr>
                <w:rFonts w:hint="default" w:ascii="Times New Roman" w:hAnsi="Times New Roman" w:cs="Times New Roman"/>
                <w:b/>
                <w:bCs/>
                <w:sz w:val="21"/>
                <w:szCs w:val="21"/>
                <w:lang w:val="zh-CN"/>
              </w:rPr>
              <w:t>）》符合性分析</w:t>
            </w:r>
          </w:p>
          <w:p w14:paraId="2AFE0E89">
            <w:pPr>
              <w:bidi w:val="0"/>
              <w:spacing w:line="360" w:lineRule="auto"/>
              <w:ind w:firstLine="420" w:firstLineChars="200"/>
              <w:rPr>
                <w:rFonts w:hint="eastAsia"/>
                <w:lang w:val="zh-CN"/>
              </w:rPr>
            </w:pPr>
            <w:r>
              <w:rPr>
                <w:rFonts w:hint="default"/>
              </w:rPr>
              <w:t>20</w:t>
            </w:r>
            <w:r>
              <w:rPr>
                <w:rFonts w:hint="default"/>
                <w:lang w:val="en-US" w:eastAsia="zh-CN"/>
              </w:rPr>
              <w:t>22</w:t>
            </w:r>
            <w:r>
              <w:rPr>
                <w:rFonts w:hint="default"/>
              </w:rPr>
              <w:t>年</w:t>
            </w:r>
            <w:r>
              <w:rPr>
                <w:rFonts w:hint="default"/>
                <w:lang w:val="en-US" w:eastAsia="zh-CN"/>
              </w:rPr>
              <w:t>1</w:t>
            </w:r>
            <w:r>
              <w:rPr>
                <w:rFonts w:hint="default"/>
              </w:rPr>
              <w:t>月2</w:t>
            </w:r>
            <w:r>
              <w:rPr>
                <w:rFonts w:hint="default"/>
                <w:lang w:val="en-US" w:eastAsia="zh-CN"/>
              </w:rPr>
              <w:t>9</w:t>
            </w:r>
            <w:r>
              <w:rPr>
                <w:rFonts w:hint="default"/>
              </w:rPr>
              <w:t>日推动长江经济带发展领导小组</w:t>
            </w:r>
            <w:r>
              <w:rPr>
                <w:rFonts w:hint="default"/>
                <w:lang w:eastAsia="zh-CN"/>
              </w:rPr>
              <w:t>办公室</w:t>
            </w:r>
            <w:r>
              <w:rPr>
                <w:rFonts w:hint="default"/>
              </w:rPr>
              <w:t>发布了</w:t>
            </w:r>
            <w:r>
              <w:rPr>
                <w:rFonts w:hint="default"/>
                <w:lang w:val="zh-CN"/>
              </w:rPr>
              <w:t>《长江经济带发展负面指南试行（</w:t>
            </w:r>
            <w:r>
              <w:rPr>
                <w:rFonts w:hint="default"/>
                <w:lang w:val="en-US" w:eastAsia="zh-CN"/>
              </w:rPr>
              <w:t>2022版</w:t>
            </w:r>
            <w:r>
              <w:rPr>
                <w:rFonts w:hint="default"/>
                <w:lang w:val="zh-CN"/>
              </w:rPr>
              <w:t>）》（长江办〔</w:t>
            </w:r>
            <w:r>
              <w:rPr>
                <w:rFonts w:hint="default"/>
              </w:rPr>
              <w:t>20</w:t>
            </w:r>
            <w:r>
              <w:rPr>
                <w:rFonts w:hint="default"/>
                <w:lang w:val="en-US" w:eastAsia="zh-CN"/>
              </w:rPr>
              <w:t>22</w:t>
            </w:r>
            <w:r>
              <w:rPr>
                <w:rFonts w:hint="default"/>
                <w:lang w:val="zh-CN"/>
              </w:rPr>
              <w:t>〕</w:t>
            </w:r>
            <w:r>
              <w:rPr>
                <w:rFonts w:hint="default"/>
                <w:lang w:val="en-US" w:eastAsia="zh-CN"/>
              </w:rPr>
              <w:t>7</w:t>
            </w:r>
            <w:r>
              <w:rPr>
                <w:rFonts w:hint="default"/>
              </w:rPr>
              <w:t>号</w:t>
            </w:r>
            <w:r>
              <w:rPr>
                <w:rFonts w:hint="default"/>
                <w:lang w:val="zh-CN"/>
              </w:rPr>
              <w:t>）</w:t>
            </w:r>
            <w:r>
              <w:rPr>
                <w:rFonts w:hint="default"/>
                <w:lang w:val="en-US" w:eastAsia="zh-CN"/>
              </w:rPr>
              <w:t>，2022年8月25日四川省及重庆市推动长江经济带发展领导小组办公室发布了</w:t>
            </w:r>
            <w:r>
              <w:rPr>
                <w:rFonts w:hint="default"/>
                <w:lang w:val="zh-CN"/>
              </w:rPr>
              <w:t>《</w:t>
            </w:r>
            <w:r>
              <w:rPr>
                <w:rFonts w:hint="default"/>
                <w:lang w:val="en-US" w:eastAsia="zh-CN"/>
              </w:rPr>
              <w:t>四川省、重庆市</w:t>
            </w:r>
            <w:r>
              <w:rPr>
                <w:rFonts w:hint="default"/>
                <w:lang w:val="zh-CN"/>
              </w:rPr>
              <w:t>长江经济带发展负面</w:t>
            </w:r>
            <w:r>
              <w:rPr>
                <w:rFonts w:hint="default"/>
                <w:lang w:val="en-US" w:eastAsia="zh-CN"/>
              </w:rPr>
              <w:t>清单实施细则</w:t>
            </w:r>
            <w:r>
              <w:rPr>
                <w:rFonts w:hint="default"/>
                <w:lang w:val="zh-CN"/>
              </w:rPr>
              <w:t>（</w:t>
            </w:r>
            <w:r>
              <w:rPr>
                <w:rFonts w:hint="default"/>
                <w:lang w:val="en-US" w:eastAsia="zh-CN"/>
              </w:rPr>
              <w:t>试行，</w:t>
            </w:r>
            <w:r>
              <w:rPr>
                <w:rFonts w:hint="default"/>
              </w:rPr>
              <w:t>2022版</w:t>
            </w:r>
            <w:r>
              <w:rPr>
                <w:rFonts w:hint="default"/>
                <w:lang w:val="zh-CN"/>
              </w:rPr>
              <w:t>）》（</w:t>
            </w:r>
            <w:r>
              <w:rPr>
                <w:rFonts w:hint="default"/>
                <w:lang w:val="en-US" w:eastAsia="zh-CN"/>
              </w:rPr>
              <w:t>川长江办</w:t>
            </w:r>
            <w:r>
              <w:rPr>
                <w:rFonts w:hint="default"/>
                <w:lang w:val="zh-CN"/>
              </w:rPr>
              <w:t>〔</w:t>
            </w:r>
            <w:r>
              <w:rPr>
                <w:rFonts w:hint="default"/>
              </w:rPr>
              <w:t>2022</w:t>
            </w:r>
            <w:r>
              <w:rPr>
                <w:rFonts w:hint="default"/>
                <w:lang w:val="zh-CN"/>
              </w:rPr>
              <w:t>〕</w:t>
            </w:r>
            <w:r>
              <w:rPr>
                <w:rFonts w:hint="default"/>
                <w:lang w:val="en-US" w:eastAsia="zh-CN"/>
              </w:rPr>
              <w:t>1</w:t>
            </w:r>
            <w:r>
              <w:rPr>
                <w:rFonts w:hint="default"/>
              </w:rPr>
              <w:t>7号</w:t>
            </w:r>
            <w:r>
              <w:rPr>
                <w:rFonts w:hint="default"/>
                <w:lang w:val="zh-CN"/>
              </w:rPr>
              <w:t>）。根据文</w:t>
            </w:r>
            <w:r>
              <w:rPr>
                <w:rFonts w:hint="eastAsia"/>
                <w:lang w:val="zh-CN"/>
              </w:rPr>
              <w:t>件精神，本项目符合性分析如下：</w:t>
            </w:r>
          </w:p>
          <w:p w14:paraId="5DD4C9C4">
            <w:pPr>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表1-2 项目长《长江经济带发展负面指南试行（2022版）》符合性分析</w:t>
            </w:r>
          </w:p>
          <w:tbl>
            <w:tblPr>
              <w:tblStyle w:val="2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59"/>
              <w:gridCol w:w="2145"/>
            </w:tblGrid>
            <w:tr w14:paraId="1005F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359" w:type="dxa"/>
                  <w:noWrap w:val="0"/>
                  <w:vAlign w:val="center"/>
                </w:tcPr>
                <w:p w14:paraId="49864795">
                  <w:pPr>
                    <w:pStyle w:val="69"/>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政策要求</w:t>
                  </w:r>
                </w:p>
              </w:tc>
              <w:tc>
                <w:tcPr>
                  <w:tcW w:w="2145" w:type="dxa"/>
                  <w:noWrap w:val="0"/>
                  <w:vAlign w:val="center"/>
                </w:tcPr>
                <w:p w14:paraId="73DA0779">
                  <w:pPr>
                    <w:pStyle w:val="69"/>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本项目情况及符合性</w:t>
                  </w:r>
                </w:p>
              </w:tc>
            </w:tr>
            <w:tr w14:paraId="2E168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14:paraId="0F3E5901">
                  <w:pPr>
                    <w:pStyle w:val="69"/>
                    <w:spacing w:line="24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禁止建设不符合全国和省级港口布局规划以及港口总体规划的码头项目，禁止建设不符合《长江干线过江通道布局规划》的过江通道项目。</w:t>
                  </w:r>
                </w:p>
              </w:tc>
              <w:tc>
                <w:tcPr>
                  <w:tcW w:w="2145" w:type="dxa"/>
                  <w:noWrap w:val="0"/>
                  <w:vAlign w:val="center"/>
                </w:tcPr>
                <w:p w14:paraId="24B66D1A">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14:paraId="7868C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14:paraId="6335CA59">
                  <w:pPr>
                    <w:pStyle w:val="69"/>
                    <w:spacing w:line="24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2145" w:type="dxa"/>
                  <w:noWrap w:val="0"/>
                  <w:vAlign w:val="center"/>
                </w:tcPr>
                <w:p w14:paraId="5964995E">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14:paraId="66AFD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14:paraId="08A50F76">
                  <w:pPr>
                    <w:pStyle w:val="69"/>
                    <w:spacing w:line="24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145" w:type="dxa"/>
                  <w:noWrap w:val="0"/>
                  <w:vAlign w:val="center"/>
                </w:tcPr>
                <w:p w14:paraId="4761C7D7">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14:paraId="5F4A0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14:paraId="051B0065">
                  <w:pPr>
                    <w:pStyle w:val="69"/>
                    <w:spacing w:line="24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145" w:type="dxa"/>
                  <w:noWrap w:val="0"/>
                  <w:vAlign w:val="center"/>
                </w:tcPr>
                <w:p w14:paraId="22F81F91">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14:paraId="43340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14:paraId="65414657">
                  <w:pPr>
                    <w:pStyle w:val="69"/>
                    <w:spacing w:line="24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145" w:type="dxa"/>
                  <w:noWrap w:val="0"/>
                  <w:vAlign w:val="center"/>
                </w:tcPr>
                <w:p w14:paraId="6B7A28BB">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14:paraId="666A1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14:paraId="20E7EF61">
                  <w:pPr>
                    <w:pStyle w:val="69"/>
                    <w:spacing w:line="24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禁止未经许可在长江</w:t>
                  </w:r>
                  <w:r>
                    <w:rPr>
                      <w:rFonts w:hint="eastAsia" w:ascii="Times New Roman" w:hAnsi="Times New Roman" w:cs="Times New Roman"/>
                      <w:sz w:val="21"/>
                      <w:szCs w:val="21"/>
                      <w:lang w:eastAsia="zh-CN"/>
                    </w:rPr>
                    <w:t>干支流</w:t>
                  </w:r>
                  <w:r>
                    <w:rPr>
                      <w:rFonts w:hint="default" w:ascii="Times New Roman" w:hAnsi="Times New Roman" w:cs="Times New Roman"/>
                      <w:sz w:val="21"/>
                      <w:szCs w:val="21"/>
                    </w:rPr>
                    <w:t>及湖泊新设、改设或扩大排污口。</w:t>
                  </w:r>
                </w:p>
              </w:tc>
              <w:tc>
                <w:tcPr>
                  <w:tcW w:w="2145" w:type="dxa"/>
                  <w:noWrap w:val="0"/>
                  <w:vAlign w:val="center"/>
                </w:tcPr>
                <w:p w14:paraId="6C009CD7">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14:paraId="78462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14:paraId="5F856B42">
                  <w:pPr>
                    <w:pStyle w:val="69"/>
                    <w:spacing w:line="24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禁止在“一江一口两湖七河”和332个水生生物保护区开展生产性捕捞。</w:t>
                  </w:r>
                </w:p>
              </w:tc>
              <w:tc>
                <w:tcPr>
                  <w:tcW w:w="2145" w:type="dxa"/>
                  <w:noWrap w:val="0"/>
                  <w:vAlign w:val="center"/>
                </w:tcPr>
                <w:p w14:paraId="03C9B7D2">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14:paraId="13EF1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14:paraId="7A8D86C2">
                  <w:pPr>
                    <w:pStyle w:val="69"/>
                    <w:spacing w:line="24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禁止在长江</w:t>
                  </w:r>
                  <w:r>
                    <w:rPr>
                      <w:rFonts w:hint="eastAsia" w:ascii="Times New Roman" w:hAnsi="Times New Roman" w:cs="Times New Roman"/>
                      <w:sz w:val="21"/>
                      <w:szCs w:val="21"/>
                      <w:lang w:eastAsia="zh-CN"/>
                    </w:rPr>
                    <w:t>干支流</w:t>
                  </w:r>
                  <w:r>
                    <w:rPr>
                      <w:rFonts w:hint="default" w:ascii="Times New Roman" w:hAnsi="Times New Roman" w:cs="Times New Roman"/>
                      <w:sz w:val="21"/>
                      <w:szCs w:val="21"/>
                    </w:rPr>
                    <w:t>、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145" w:type="dxa"/>
                  <w:noWrap w:val="0"/>
                  <w:vAlign w:val="center"/>
                </w:tcPr>
                <w:p w14:paraId="5F8D5C84">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14:paraId="5302C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14:paraId="3A4BA69F">
                  <w:pPr>
                    <w:pStyle w:val="69"/>
                    <w:spacing w:line="24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禁止在合规园区外新建、扩建钢铁、石化、化工、焦化、建材、有色、制浆造纸等高污染项目。</w:t>
                  </w:r>
                </w:p>
              </w:tc>
              <w:tc>
                <w:tcPr>
                  <w:tcW w:w="2145" w:type="dxa"/>
                  <w:noWrap w:val="0"/>
                  <w:vAlign w:val="center"/>
                </w:tcPr>
                <w:p w14:paraId="2A1D83E8">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w:t>
                  </w:r>
                  <w:r>
                    <w:rPr>
                      <w:rFonts w:hint="default" w:ascii="Times New Roman" w:hAnsi="Times New Roman" w:cs="Times New Roman"/>
                      <w:sz w:val="21"/>
                      <w:szCs w:val="21"/>
                      <w:lang w:val="en-US" w:eastAsia="zh-CN"/>
                    </w:rPr>
                    <w:t>不属于高污染行业</w:t>
                  </w:r>
                </w:p>
              </w:tc>
            </w:tr>
            <w:tr w14:paraId="1E18F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14:paraId="0112A86B">
                  <w:pPr>
                    <w:pStyle w:val="69"/>
                    <w:spacing w:line="24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禁止新建、扩建不符合国家石化、现代煤化工等产业布局规划的项目。</w:t>
                  </w:r>
                </w:p>
              </w:tc>
              <w:tc>
                <w:tcPr>
                  <w:tcW w:w="2145" w:type="dxa"/>
                  <w:noWrap w:val="0"/>
                  <w:vAlign w:val="center"/>
                </w:tcPr>
                <w:p w14:paraId="1D973DC9">
                  <w:pPr>
                    <w:pStyle w:val="6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14:paraId="7A468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14:paraId="15BA8562">
                  <w:pPr>
                    <w:pStyle w:val="69"/>
                    <w:spacing w:line="24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2145" w:type="dxa"/>
                  <w:noWrap w:val="0"/>
                  <w:vAlign w:val="center"/>
                </w:tcPr>
                <w:p w14:paraId="51C66C9E">
                  <w:pPr>
                    <w:pStyle w:val="69"/>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本项目</w:t>
                  </w:r>
                  <w:r>
                    <w:rPr>
                      <w:rFonts w:hint="default" w:ascii="Times New Roman" w:hAnsi="Times New Roman" w:cs="Times New Roman"/>
                      <w:sz w:val="21"/>
                      <w:szCs w:val="21"/>
                      <w:lang w:val="en-US" w:eastAsia="zh-CN"/>
                    </w:rPr>
                    <w:t>不属于淘汰的落后产能</w:t>
                  </w:r>
                </w:p>
              </w:tc>
            </w:tr>
          </w:tbl>
          <w:p w14:paraId="2CA1F399">
            <w:pPr>
              <w:pStyle w:val="69"/>
              <w:spacing w:line="360" w:lineRule="auto"/>
              <w:ind w:firstLine="480"/>
              <w:rPr>
                <w:rFonts w:hint="default" w:ascii="Times New Roman" w:hAnsi="Times New Roman" w:cs="Times New Roman"/>
                <w:sz w:val="21"/>
                <w:szCs w:val="21"/>
                <w:lang w:val="zh-CN"/>
              </w:rPr>
            </w:pPr>
            <w:r>
              <w:rPr>
                <w:rFonts w:hint="default" w:ascii="Times New Roman" w:hAnsi="Times New Roman" w:cs="Times New Roman"/>
                <w:sz w:val="21"/>
                <w:szCs w:val="21"/>
              </w:rPr>
              <w:t>根据以上分析，</w:t>
            </w:r>
            <w:r>
              <w:rPr>
                <w:rFonts w:hint="default" w:ascii="Times New Roman" w:hAnsi="Times New Roman" w:cs="Times New Roman"/>
                <w:sz w:val="21"/>
                <w:szCs w:val="21"/>
                <w:lang w:val="zh-CN"/>
              </w:rPr>
              <w:t>本项目的建设符合《长江经济带发展负面指南试行（</w:t>
            </w:r>
            <w:r>
              <w:rPr>
                <w:rFonts w:hint="default" w:ascii="Times New Roman" w:hAnsi="Times New Roman" w:cs="Times New Roman"/>
                <w:sz w:val="21"/>
                <w:szCs w:val="21"/>
              </w:rPr>
              <w:t>2022版</w:t>
            </w:r>
            <w:r>
              <w:rPr>
                <w:rFonts w:hint="default" w:ascii="Times New Roman" w:hAnsi="Times New Roman" w:cs="Times New Roman"/>
                <w:sz w:val="21"/>
                <w:szCs w:val="21"/>
                <w:lang w:val="zh-CN"/>
              </w:rPr>
              <w:t>）》（长江办〔</w:t>
            </w:r>
            <w:r>
              <w:rPr>
                <w:rFonts w:hint="default" w:ascii="Times New Roman" w:hAnsi="Times New Roman" w:cs="Times New Roman"/>
                <w:sz w:val="21"/>
                <w:szCs w:val="21"/>
              </w:rPr>
              <w:t>2022</w:t>
            </w:r>
            <w:r>
              <w:rPr>
                <w:rFonts w:hint="default" w:ascii="Times New Roman" w:hAnsi="Times New Roman" w:cs="Times New Roman"/>
                <w:sz w:val="21"/>
                <w:szCs w:val="21"/>
                <w:lang w:val="zh-CN"/>
              </w:rPr>
              <w:t>〕</w:t>
            </w:r>
            <w:r>
              <w:rPr>
                <w:rFonts w:hint="default" w:ascii="Times New Roman" w:hAnsi="Times New Roman" w:cs="Times New Roman"/>
                <w:sz w:val="21"/>
                <w:szCs w:val="21"/>
              </w:rPr>
              <w:t>7号</w:t>
            </w:r>
            <w:r>
              <w:rPr>
                <w:rFonts w:hint="default" w:ascii="Times New Roman" w:hAnsi="Times New Roman" w:cs="Times New Roman"/>
                <w:sz w:val="21"/>
                <w:szCs w:val="21"/>
                <w:lang w:val="zh-CN"/>
              </w:rPr>
              <w:t>）的政策要求。</w:t>
            </w:r>
          </w:p>
          <w:p w14:paraId="2FEE7E0C">
            <w:pPr>
              <w:jc w:val="center"/>
              <w:rPr>
                <w:rFonts w:hint="eastAsia" w:ascii="宋体" w:hAnsi="宋体" w:eastAsia="宋体" w:cs="宋体"/>
                <w:b/>
                <w:bCs/>
                <w:color w:val="000000"/>
                <w:sz w:val="21"/>
                <w:szCs w:val="21"/>
                <w:lang w:val="zh-CN"/>
              </w:rPr>
            </w:pPr>
            <w:r>
              <w:rPr>
                <w:rFonts w:hint="eastAsia" w:ascii="宋体" w:hAnsi="宋体" w:eastAsia="宋体" w:cs="宋体"/>
                <w:b/>
                <w:bCs/>
                <w:color w:val="000000"/>
                <w:sz w:val="21"/>
                <w:szCs w:val="21"/>
                <w:lang w:val="zh-CN"/>
              </w:rPr>
              <w:t>表</w:t>
            </w:r>
            <w:r>
              <w:rPr>
                <w:rFonts w:hint="default" w:ascii="Times New Roman" w:hAnsi="Times New Roman" w:eastAsia="宋体" w:cs="Times New Roman"/>
                <w:b/>
                <w:bCs/>
                <w:color w:val="000000"/>
                <w:sz w:val="21"/>
                <w:szCs w:val="21"/>
                <w:lang w:val="zh-CN"/>
              </w:rPr>
              <w:t>1-</w:t>
            </w:r>
            <w:r>
              <w:rPr>
                <w:rFonts w:hint="default" w:ascii="Times New Roman" w:hAnsi="Times New Roman" w:eastAsia="宋体" w:cs="Times New Roman"/>
                <w:b/>
                <w:bCs/>
                <w:color w:val="000000"/>
                <w:sz w:val="21"/>
                <w:szCs w:val="21"/>
                <w:lang w:val="en-US" w:eastAsia="zh-CN"/>
              </w:rPr>
              <w:t>3</w:t>
            </w:r>
            <w:r>
              <w:rPr>
                <w:rFonts w:hint="eastAsia" w:ascii="宋体" w:hAnsi="宋体" w:eastAsia="宋体" w:cs="宋体"/>
                <w:b/>
                <w:bCs/>
                <w:color w:val="000000"/>
                <w:sz w:val="21"/>
                <w:szCs w:val="21"/>
                <w:lang w:val="zh-CN"/>
              </w:rPr>
              <w:t>项目与《四川省、重庆市长江经济带发展负面清单实施细则（试行，</w:t>
            </w:r>
            <w:r>
              <w:rPr>
                <w:rFonts w:hint="default" w:ascii="Times New Roman" w:hAnsi="Times New Roman" w:eastAsia="宋体" w:cs="Times New Roman"/>
                <w:b/>
                <w:bCs/>
                <w:color w:val="000000"/>
                <w:sz w:val="21"/>
                <w:szCs w:val="21"/>
                <w:lang w:val="zh-CN"/>
              </w:rPr>
              <w:t>2022</w:t>
            </w:r>
            <w:r>
              <w:rPr>
                <w:rFonts w:hint="eastAsia" w:ascii="宋体" w:hAnsi="宋体" w:eastAsia="宋体" w:cs="宋体"/>
                <w:b/>
                <w:bCs/>
                <w:color w:val="000000"/>
                <w:sz w:val="21"/>
                <w:szCs w:val="21"/>
                <w:lang w:val="zh-CN"/>
              </w:rPr>
              <w:t>版）》符合性分析</w:t>
            </w:r>
          </w:p>
          <w:tbl>
            <w:tblPr>
              <w:tblStyle w:val="27"/>
              <w:tblW w:w="84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9"/>
              <w:gridCol w:w="1479"/>
            </w:tblGrid>
            <w:tr w14:paraId="003A0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989" w:type="dxa"/>
                  <w:noWrap w:val="0"/>
                  <w:vAlign w:val="center"/>
                </w:tcPr>
                <w:p w14:paraId="01DDF3C0">
                  <w:pPr>
                    <w:bidi w:val="0"/>
                    <w:jc w:val="center"/>
                    <w:rPr>
                      <w:rFonts w:hint="default"/>
                      <w:b/>
                      <w:bCs/>
                    </w:rPr>
                  </w:pPr>
                  <w:r>
                    <w:rPr>
                      <w:rFonts w:hint="default"/>
                      <w:b/>
                      <w:bCs/>
                      <w:lang w:val="en-US" w:eastAsia="zh-CN"/>
                    </w:rPr>
                    <w:t>川</w:t>
                  </w:r>
                  <w:r>
                    <w:rPr>
                      <w:rFonts w:hint="default"/>
                      <w:b/>
                      <w:bCs/>
                      <w:lang w:val="zh-CN"/>
                    </w:rPr>
                    <w:t>长江办〔2022〕</w:t>
                  </w:r>
                  <w:r>
                    <w:rPr>
                      <w:rFonts w:hint="default"/>
                      <w:b/>
                      <w:bCs/>
                      <w:lang w:val="en-US" w:eastAsia="zh-CN"/>
                    </w:rPr>
                    <w:t>1</w:t>
                  </w:r>
                  <w:r>
                    <w:rPr>
                      <w:rFonts w:hint="default"/>
                      <w:b/>
                      <w:bCs/>
                      <w:lang w:val="zh-CN"/>
                    </w:rPr>
                    <w:t>7号</w:t>
                  </w:r>
                  <w:r>
                    <w:rPr>
                      <w:rFonts w:hint="default"/>
                      <w:b/>
                      <w:bCs/>
                      <w:lang w:val="en-US" w:eastAsia="zh-CN"/>
                    </w:rPr>
                    <w:t>文件</w:t>
                  </w:r>
                  <w:r>
                    <w:rPr>
                      <w:rFonts w:hint="default"/>
                      <w:b/>
                      <w:bCs/>
                    </w:rPr>
                    <w:t>要求</w:t>
                  </w:r>
                </w:p>
              </w:tc>
              <w:tc>
                <w:tcPr>
                  <w:tcW w:w="1479" w:type="dxa"/>
                  <w:noWrap w:val="0"/>
                  <w:vAlign w:val="center"/>
                </w:tcPr>
                <w:p w14:paraId="6B099907">
                  <w:pPr>
                    <w:bidi w:val="0"/>
                    <w:jc w:val="center"/>
                    <w:rPr>
                      <w:rFonts w:hint="eastAsia"/>
                      <w:b/>
                      <w:bCs/>
                    </w:rPr>
                  </w:pPr>
                  <w:r>
                    <w:rPr>
                      <w:rFonts w:hint="eastAsia"/>
                      <w:b/>
                      <w:bCs/>
                    </w:rPr>
                    <w:t>本项目</w:t>
                  </w:r>
                  <w:r>
                    <w:rPr>
                      <w:rFonts w:hint="eastAsia"/>
                      <w:b/>
                      <w:bCs/>
                      <w:lang w:val="en-US" w:eastAsia="zh-CN"/>
                    </w:rPr>
                    <w:t>衔接情况</w:t>
                  </w:r>
                </w:p>
              </w:tc>
            </w:tr>
            <w:tr w14:paraId="2B643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463197BC">
                  <w:pPr>
                    <w:bidi w:val="0"/>
                    <w:rPr>
                      <w:rFonts w:hint="default"/>
                    </w:rPr>
                  </w:pPr>
                  <w:r>
                    <w:rPr>
                      <w:rFonts w:hint="default"/>
                      <w:lang w:val="en-US" w:eastAsia="zh-CN"/>
                    </w:rPr>
                    <w:t>第五条</w:t>
                  </w:r>
                  <w:r>
                    <w:rPr>
                      <w:rFonts w:hint="default"/>
                    </w:rPr>
                    <w:t>禁止新建、改建和扩建不符合全国港口布局规划，以及《四川省内河水运发展规划》《泸州—宜宾—乐山港口群布局规划》《重庆港总体规划</w:t>
                  </w:r>
                  <w:r>
                    <w:rPr>
                      <w:rFonts w:hint="default"/>
                      <w:lang w:eastAsia="zh-CN"/>
                    </w:rPr>
                    <w:t>（</w:t>
                  </w:r>
                  <w:r>
                    <w:rPr>
                      <w:rFonts w:hint="default"/>
                    </w:rPr>
                    <w:t>2035年</w:t>
                  </w:r>
                  <w:r>
                    <w:rPr>
                      <w:rFonts w:hint="default"/>
                      <w:lang w:eastAsia="zh-CN"/>
                    </w:rPr>
                    <w:t>）</w:t>
                  </w:r>
                  <w:r>
                    <w:rPr>
                      <w:rFonts w:hint="default"/>
                    </w:rPr>
                    <w:t>》等省级港口布局规划及市级港口总体规划的码头项目。</w:t>
                  </w:r>
                </w:p>
              </w:tc>
              <w:tc>
                <w:tcPr>
                  <w:tcW w:w="1479" w:type="dxa"/>
                  <w:noWrap w:val="0"/>
                  <w:vAlign w:val="center"/>
                </w:tcPr>
                <w:p w14:paraId="292AE823">
                  <w:pPr>
                    <w:bidi w:val="0"/>
                    <w:rPr>
                      <w:rFonts w:hint="eastAsia"/>
                    </w:rPr>
                  </w:pPr>
                  <w:r>
                    <w:rPr>
                      <w:rFonts w:hint="eastAsia"/>
                    </w:rPr>
                    <w:t>本项目不涉及</w:t>
                  </w:r>
                </w:p>
              </w:tc>
            </w:tr>
            <w:tr w14:paraId="26859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7C57CEED">
                  <w:pPr>
                    <w:bidi w:val="0"/>
                    <w:rPr>
                      <w:rFonts w:hint="default"/>
                    </w:rPr>
                  </w:pPr>
                  <w:r>
                    <w:rPr>
                      <w:rFonts w:hint="default"/>
                      <w:lang w:val="en-US" w:eastAsia="zh-CN"/>
                    </w:rPr>
                    <w:t>第六条</w:t>
                  </w:r>
                  <w:r>
                    <w:rPr>
                      <w:rFonts w:hint="default"/>
                    </w:rPr>
                    <w:t>禁止新建、改建和扩建不符合《长江干线过江通道布局规划</w:t>
                  </w:r>
                  <w:r>
                    <w:rPr>
                      <w:rFonts w:hint="default"/>
                      <w:lang w:eastAsia="zh-CN"/>
                    </w:rPr>
                    <w:t>（</w:t>
                  </w:r>
                  <w:r>
                    <w:rPr>
                      <w:rFonts w:hint="default"/>
                    </w:rPr>
                    <w:t>2020——2035年</w:t>
                  </w:r>
                  <w:r>
                    <w:rPr>
                      <w:rFonts w:hint="default"/>
                      <w:lang w:eastAsia="zh-CN"/>
                    </w:rPr>
                    <w:t>）</w:t>
                  </w:r>
                  <w:r>
                    <w:rPr>
                      <w:rFonts w:hint="default"/>
                    </w:rPr>
                    <w:t>》的过长江通道项目</w:t>
                  </w:r>
                  <w:r>
                    <w:rPr>
                      <w:rFonts w:hint="default"/>
                      <w:lang w:eastAsia="zh-CN"/>
                    </w:rPr>
                    <w:t>（</w:t>
                  </w:r>
                  <w:r>
                    <w:rPr>
                      <w:rFonts w:hint="default"/>
                    </w:rPr>
                    <w:t>含桥梁、隧道</w:t>
                  </w:r>
                  <w:r>
                    <w:rPr>
                      <w:rFonts w:hint="default"/>
                      <w:lang w:eastAsia="zh-CN"/>
                    </w:rPr>
                    <w:t>）</w:t>
                  </w:r>
                  <w:r>
                    <w:rPr>
                      <w:rFonts w:hint="default"/>
                    </w:rPr>
                    <w:t>，国家发展改革委同意过长江通道线位调整的除外。</w:t>
                  </w:r>
                </w:p>
              </w:tc>
              <w:tc>
                <w:tcPr>
                  <w:tcW w:w="1479" w:type="dxa"/>
                  <w:noWrap w:val="0"/>
                  <w:vAlign w:val="center"/>
                </w:tcPr>
                <w:p w14:paraId="1A2F41F5">
                  <w:pPr>
                    <w:bidi w:val="0"/>
                    <w:rPr>
                      <w:rFonts w:hint="eastAsia"/>
                    </w:rPr>
                  </w:pPr>
                  <w:r>
                    <w:rPr>
                      <w:rFonts w:hint="eastAsia"/>
                    </w:rPr>
                    <w:t>本项目不涉及</w:t>
                  </w:r>
                </w:p>
              </w:tc>
            </w:tr>
            <w:tr w14:paraId="39BA9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46086495">
                  <w:pPr>
                    <w:bidi w:val="0"/>
                    <w:rPr>
                      <w:rFonts w:hint="default"/>
                    </w:rPr>
                  </w:pPr>
                  <w:r>
                    <w:rPr>
                      <w:rFonts w:hint="default"/>
                    </w:rPr>
                    <w:t>第七条禁止在自然保护区核心区、缓冲区的岸线和河段范围内投资建设旅游和生产经营项目。自然保护区的内部未分区的，依照核心区和缓冲区的规定管控。</w:t>
                  </w:r>
                </w:p>
              </w:tc>
              <w:tc>
                <w:tcPr>
                  <w:tcW w:w="1479" w:type="dxa"/>
                  <w:noWrap w:val="0"/>
                  <w:vAlign w:val="center"/>
                </w:tcPr>
                <w:p w14:paraId="10F065E0">
                  <w:pPr>
                    <w:bidi w:val="0"/>
                    <w:rPr>
                      <w:rFonts w:hint="eastAsia"/>
                    </w:rPr>
                  </w:pPr>
                  <w:r>
                    <w:rPr>
                      <w:rFonts w:hint="eastAsia"/>
                    </w:rPr>
                    <w:t>本项目不涉及</w:t>
                  </w:r>
                </w:p>
              </w:tc>
            </w:tr>
            <w:tr w14:paraId="6FD11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2BAA4DD6">
                  <w:pPr>
                    <w:bidi w:val="0"/>
                    <w:rPr>
                      <w:rFonts w:hint="eastAsia"/>
                    </w:rPr>
                  </w:pPr>
                  <w:r>
                    <w:rPr>
                      <w:rFonts w:hint="eastAsia"/>
                    </w:rPr>
                    <w:t>第八条禁止违反风景名胜区规划，在风景名胜区内设立各类开发区。禁止在风景名胜区核心景区的岸线和河段范围内建设宾馆、招待所、培训中心、疗养院以及与风景名</w:t>
                  </w:r>
                  <w:r>
                    <w:rPr>
                      <w:rFonts w:hint="eastAsia"/>
                      <w:lang w:eastAsia="zh-CN"/>
                    </w:rPr>
                    <w:t>胜区</w:t>
                  </w:r>
                  <w:r>
                    <w:rPr>
                      <w:rFonts w:hint="eastAsia"/>
                    </w:rPr>
                    <w:t>资源保护无关的项目。</w:t>
                  </w:r>
                </w:p>
              </w:tc>
              <w:tc>
                <w:tcPr>
                  <w:tcW w:w="1479" w:type="dxa"/>
                  <w:noWrap w:val="0"/>
                  <w:vAlign w:val="center"/>
                </w:tcPr>
                <w:p w14:paraId="5F88AB23">
                  <w:pPr>
                    <w:bidi w:val="0"/>
                    <w:rPr>
                      <w:rFonts w:hint="eastAsia"/>
                    </w:rPr>
                  </w:pPr>
                  <w:r>
                    <w:rPr>
                      <w:rFonts w:hint="eastAsia"/>
                    </w:rPr>
                    <w:t>本项目不涉及</w:t>
                  </w:r>
                </w:p>
              </w:tc>
            </w:tr>
            <w:tr w14:paraId="7FC5A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54A7B891">
                  <w:pPr>
                    <w:bidi w:val="0"/>
                    <w:rPr>
                      <w:rFonts w:hint="eastAsia"/>
                    </w:rPr>
                  </w:pPr>
                  <w:r>
                    <w:rPr>
                      <w:rFonts w:hint="eastAsia"/>
                    </w:rPr>
                    <w:t>第九条禁止在饮用水水源准保护区的岸线和河段范围内新建、扩建对水体污染严重的建设项目，禁止改建增加排污量的建设项目。</w:t>
                  </w:r>
                </w:p>
              </w:tc>
              <w:tc>
                <w:tcPr>
                  <w:tcW w:w="1479" w:type="dxa"/>
                  <w:noWrap w:val="0"/>
                  <w:vAlign w:val="center"/>
                </w:tcPr>
                <w:p w14:paraId="49AB0C9D">
                  <w:pPr>
                    <w:bidi w:val="0"/>
                    <w:rPr>
                      <w:rFonts w:hint="eastAsia"/>
                    </w:rPr>
                  </w:pPr>
                  <w:r>
                    <w:rPr>
                      <w:rFonts w:hint="eastAsia"/>
                    </w:rPr>
                    <w:t>本项目不涉及</w:t>
                  </w:r>
                </w:p>
              </w:tc>
            </w:tr>
            <w:tr w14:paraId="4817C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4EE3C55E">
                  <w:pPr>
                    <w:bidi w:val="0"/>
                    <w:rPr>
                      <w:rFonts w:hint="eastAsia"/>
                    </w:rPr>
                  </w:pPr>
                  <w:r>
                    <w:rPr>
                      <w:rFonts w:hint="eastAsia"/>
                    </w:rPr>
                    <w:t>第十条饮用水水源二级保护区的岸线和河段范围内，除遵守准保护区规定外，禁止新建、改建、扩建排放污染物的投资建设项目</w:t>
                  </w:r>
                  <w:r>
                    <w:rPr>
                      <w:rFonts w:hint="eastAsia"/>
                      <w:lang w:eastAsia="zh-CN"/>
                    </w:rPr>
                    <w:t>；</w:t>
                  </w:r>
                  <w:r>
                    <w:rPr>
                      <w:rFonts w:hint="eastAsia"/>
                    </w:rPr>
                    <w:t>禁止从事对水体有污染的水产养殖等活动。</w:t>
                  </w:r>
                </w:p>
              </w:tc>
              <w:tc>
                <w:tcPr>
                  <w:tcW w:w="1479" w:type="dxa"/>
                  <w:noWrap w:val="0"/>
                  <w:vAlign w:val="center"/>
                </w:tcPr>
                <w:p w14:paraId="102A97C3">
                  <w:pPr>
                    <w:bidi w:val="0"/>
                    <w:rPr>
                      <w:rFonts w:hint="eastAsia"/>
                    </w:rPr>
                  </w:pPr>
                  <w:r>
                    <w:rPr>
                      <w:rFonts w:hint="eastAsia"/>
                    </w:rPr>
                    <w:t>本项目不涉及</w:t>
                  </w:r>
                </w:p>
              </w:tc>
            </w:tr>
            <w:tr w14:paraId="25A70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584C20DB">
                  <w:pPr>
                    <w:bidi w:val="0"/>
                    <w:rPr>
                      <w:rFonts w:hint="eastAsia"/>
                    </w:rPr>
                  </w:pPr>
                  <w:r>
                    <w:rPr>
                      <w:rFonts w:hint="eastAsia"/>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479" w:type="dxa"/>
                  <w:noWrap w:val="0"/>
                  <w:vAlign w:val="center"/>
                </w:tcPr>
                <w:p w14:paraId="7CF30F73">
                  <w:pPr>
                    <w:bidi w:val="0"/>
                    <w:rPr>
                      <w:rFonts w:hint="eastAsia"/>
                    </w:rPr>
                  </w:pPr>
                  <w:r>
                    <w:rPr>
                      <w:rFonts w:hint="eastAsia"/>
                    </w:rPr>
                    <w:t>本项目不涉及</w:t>
                  </w:r>
                </w:p>
              </w:tc>
            </w:tr>
            <w:tr w14:paraId="015E7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4657EBDA">
                  <w:pPr>
                    <w:bidi w:val="0"/>
                    <w:rPr>
                      <w:rFonts w:hint="eastAsia"/>
                    </w:rPr>
                  </w:pPr>
                  <w:r>
                    <w:rPr>
                      <w:rFonts w:hint="eastAsia"/>
                    </w:rPr>
                    <w:t>第十二条禁止在水产种质资源保护区岸线和河段范围内新建围湖造田、围湖造地或挖沙采石等投资建设项目。</w:t>
                  </w:r>
                </w:p>
              </w:tc>
              <w:tc>
                <w:tcPr>
                  <w:tcW w:w="1479" w:type="dxa"/>
                  <w:noWrap w:val="0"/>
                  <w:vAlign w:val="center"/>
                </w:tcPr>
                <w:p w14:paraId="017EA35F">
                  <w:pPr>
                    <w:bidi w:val="0"/>
                    <w:rPr>
                      <w:rFonts w:hint="eastAsia"/>
                    </w:rPr>
                  </w:pPr>
                  <w:r>
                    <w:rPr>
                      <w:rFonts w:hint="eastAsia"/>
                    </w:rPr>
                    <w:t>本项目不涉及</w:t>
                  </w:r>
                </w:p>
              </w:tc>
            </w:tr>
            <w:tr w14:paraId="1533F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5E2D9AAE">
                  <w:pPr>
                    <w:bidi w:val="0"/>
                    <w:rPr>
                      <w:rFonts w:hint="eastAsia"/>
                    </w:rPr>
                  </w:pPr>
                  <w:r>
                    <w:rPr>
                      <w:rFonts w:hint="eastAsia"/>
                    </w:rPr>
                    <w:t>第十三条禁止在国家湿地公园的岸线和河段范围内开</w:t>
                  </w:r>
                  <w:r>
                    <w:rPr>
                      <w:rFonts w:hint="eastAsia"/>
                      <w:lang w:eastAsia="zh-CN"/>
                    </w:rPr>
                    <w:t>（</w:t>
                  </w:r>
                  <w:r>
                    <w:rPr>
                      <w:rFonts w:hint="eastAsia"/>
                    </w:rPr>
                    <w:t>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lang w:eastAsia="zh-CN"/>
                    </w:rPr>
                    <w:t>洄游</w:t>
                  </w:r>
                  <w:r>
                    <w:rPr>
                      <w:rFonts w:hint="eastAsia"/>
                    </w:rPr>
                    <w:t>通道。</w:t>
                  </w:r>
                </w:p>
              </w:tc>
              <w:tc>
                <w:tcPr>
                  <w:tcW w:w="1479" w:type="dxa"/>
                  <w:noWrap w:val="0"/>
                  <w:vAlign w:val="center"/>
                </w:tcPr>
                <w:p w14:paraId="258D0A7D">
                  <w:pPr>
                    <w:bidi w:val="0"/>
                    <w:rPr>
                      <w:rFonts w:hint="eastAsia"/>
                    </w:rPr>
                  </w:pPr>
                  <w:r>
                    <w:rPr>
                      <w:rFonts w:hint="eastAsia"/>
                    </w:rPr>
                    <w:t>本项目不涉及</w:t>
                  </w:r>
                </w:p>
              </w:tc>
            </w:tr>
            <w:tr w14:paraId="2C750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0742ACE8">
                  <w:pPr>
                    <w:bidi w:val="0"/>
                    <w:rPr>
                      <w:rFonts w:hint="eastAsia"/>
                    </w:rPr>
                  </w:pPr>
                  <w:r>
                    <w:rPr>
                      <w:rFonts w:hint="eastAsia"/>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479" w:type="dxa"/>
                  <w:noWrap w:val="0"/>
                  <w:vAlign w:val="center"/>
                </w:tcPr>
                <w:p w14:paraId="17D4A3F7">
                  <w:pPr>
                    <w:bidi w:val="0"/>
                    <w:rPr>
                      <w:rFonts w:hint="eastAsia"/>
                    </w:rPr>
                  </w:pPr>
                  <w:r>
                    <w:rPr>
                      <w:rFonts w:hint="eastAsia"/>
                    </w:rPr>
                    <w:t>本项目不涉及</w:t>
                  </w:r>
                </w:p>
              </w:tc>
            </w:tr>
            <w:tr w14:paraId="702A4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464F657E">
                  <w:pPr>
                    <w:bidi w:val="0"/>
                    <w:rPr>
                      <w:rFonts w:hint="eastAsia"/>
                    </w:rPr>
                  </w:pPr>
                  <w:r>
                    <w:rPr>
                      <w:rFonts w:hint="eastAsia"/>
                    </w:rPr>
                    <w:t>第十五条禁止在《全国重要江河湖泊水功能区划》划定的河段及湖泊保护区、保留区内投资建设不利于水资源及自然生态保护的项目。</w:t>
                  </w:r>
                </w:p>
              </w:tc>
              <w:tc>
                <w:tcPr>
                  <w:tcW w:w="1479" w:type="dxa"/>
                  <w:noWrap w:val="0"/>
                  <w:vAlign w:val="center"/>
                </w:tcPr>
                <w:p w14:paraId="78FC4484">
                  <w:pPr>
                    <w:bidi w:val="0"/>
                    <w:rPr>
                      <w:rFonts w:hint="eastAsia"/>
                    </w:rPr>
                  </w:pPr>
                  <w:r>
                    <w:rPr>
                      <w:rFonts w:hint="eastAsia"/>
                    </w:rPr>
                    <w:t>本项目不涉及</w:t>
                  </w:r>
                </w:p>
              </w:tc>
            </w:tr>
            <w:tr w14:paraId="57522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07D5BF83">
                  <w:pPr>
                    <w:bidi w:val="0"/>
                    <w:rPr>
                      <w:rFonts w:hint="eastAsia"/>
                    </w:rPr>
                  </w:pPr>
                  <w:r>
                    <w:rPr>
                      <w:rFonts w:hint="eastAsia"/>
                    </w:rPr>
                    <w:t>第十六条禁止在长江流域江河、湖泊新设、改设或者扩大排污口，经有管辖权的生态环境主管部门或者长江流域生态环境监督管理机构同意的除外。</w:t>
                  </w:r>
                </w:p>
              </w:tc>
              <w:tc>
                <w:tcPr>
                  <w:tcW w:w="1479" w:type="dxa"/>
                  <w:noWrap w:val="0"/>
                  <w:vAlign w:val="center"/>
                </w:tcPr>
                <w:p w14:paraId="1FBA02D9">
                  <w:pPr>
                    <w:bidi w:val="0"/>
                    <w:rPr>
                      <w:rFonts w:hint="eastAsia"/>
                    </w:rPr>
                  </w:pPr>
                  <w:r>
                    <w:rPr>
                      <w:rFonts w:hint="eastAsia"/>
                    </w:rPr>
                    <w:t>本项目不涉及</w:t>
                  </w:r>
                </w:p>
              </w:tc>
            </w:tr>
            <w:tr w14:paraId="221E3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3E353CF5">
                  <w:pPr>
                    <w:bidi w:val="0"/>
                    <w:rPr>
                      <w:rFonts w:hint="default"/>
                    </w:rPr>
                  </w:pPr>
                  <w:r>
                    <w:rPr>
                      <w:rFonts w:hint="default"/>
                    </w:rPr>
                    <w:t>第十七条禁止在长江干流、大渡河、岷江、赤水河、沱江、嘉陵江、乌江、汉江和51个（四川省45个、重庆市6个）水生生物保护区开展生产性捕捞。</w:t>
                  </w:r>
                </w:p>
              </w:tc>
              <w:tc>
                <w:tcPr>
                  <w:tcW w:w="1479" w:type="dxa"/>
                  <w:noWrap w:val="0"/>
                  <w:vAlign w:val="center"/>
                </w:tcPr>
                <w:p w14:paraId="4FFBE553">
                  <w:pPr>
                    <w:bidi w:val="0"/>
                    <w:rPr>
                      <w:rFonts w:hint="eastAsia"/>
                    </w:rPr>
                  </w:pPr>
                  <w:r>
                    <w:rPr>
                      <w:rFonts w:hint="eastAsia"/>
                    </w:rPr>
                    <w:t>本项目不涉及</w:t>
                  </w:r>
                </w:p>
              </w:tc>
            </w:tr>
            <w:tr w14:paraId="4149B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6C2FB53C">
                  <w:pPr>
                    <w:bidi w:val="0"/>
                    <w:rPr>
                      <w:rFonts w:hint="default"/>
                    </w:rPr>
                  </w:pPr>
                  <w:r>
                    <w:rPr>
                      <w:rFonts w:hint="default"/>
                    </w:rPr>
                    <w:t>第十八条禁止在长江干支流、重要湖泊岸线一公里范围内新建、扩建化工园区和化工项目。</w:t>
                  </w:r>
                </w:p>
              </w:tc>
              <w:tc>
                <w:tcPr>
                  <w:tcW w:w="1479" w:type="dxa"/>
                  <w:noWrap w:val="0"/>
                  <w:vAlign w:val="center"/>
                </w:tcPr>
                <w:p w14:paraId="2378BB92">
                  <w:pPr>
                    <w:bidi w:val="0"/>
                    <w:rPr>
                      <w:rFonts w:hint="eastAsia"/>
                    </w:rPr>
                  </w:pPr>
                  <w:r>
                    <w:rPr>
                      <w:rFonts w:hint="eastAsia"/>
                    </w:rPr>
                    <w:t>本项目不涉及</w:t>
                  </w:r>
                </w:p>
              </w:tc>
            </w:tr>
            <w:tr w14:paraId="1D32B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643FBF21">
                  <w:pPr>
                    <w:bidi w:val="0"/>
                    <w:rPr>
                      <w:rFonts w:hint="default"/>
                    </w:rPr>
                  </w:pPr>
                  <w:r>
                    <w:rPr>
                      <w:rFonts w:hint="default"/>
                    </w:rPr>
                    <w:t>第十九条禁止在长江干流岸线三公里范围内和重要支流岸线一公里范围内新建、改建、扩建尾矿库、冶炼渣库、磷石膏库，以提升安全、生态环境保护水平为</w:t>
                  </w:r>
                  <w:r>
                    <w:rPr>
                      <w:rFonts w:hint="default"/>
                      <w:lang w:val="en-US" w:eastAsia="zh-CN"/>
                    </w:rPr>
                    <w:t>符合</w:t>
                  </w:r>
                  <w:r>
                    <w:rPr>
                      <w:rFonts w:hint="default"/>
                    </w:rPr>
                    <w:t>目的的改建除外。</w:t>
                  </w:r>
                </w:p>
              </w:tc>
              <w:tc>
                <w:tcPr>
                  <w:tcW w:w="1479" w:type="dxa"/>
                  <w:noWrap w:val="0"/>
                  <w:vAlign w:val="center"/>
                </w:tcPr>
                <w:p w14:paraId="62EB5FDD">
                  <w:pPr>
                    <w:bidi w:val="0"/>
                    <w:rPr>
                      <w:rFonts w:hint="eastAsia"/>
                    </w:rPr>
                  </w:pPr>
                  <w:r>
                    <w:rPr>
                      <w:rFonts w:hint="eastAsia"/>
                    </w:rPr>
                    <w:t>本项目不涉及</w:t>
                  </w:r>
                </w:p>
              </w:tc>
            </w:tr>
            <w:tr w14:paraId="11355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7C794D75">
                  <w:pPr>
                    <w:bidi w:val="0"/>
                    <w:rPr>
                      <w:rFonts w:hint="eastAsia"/>
                    </w:rPr>
                  </w:pPr>
                  <w:r>
                    <w:rPr>
                      <w:rFonts w:hint="eastAsia"/>
                    </w:rPr>
                    <w:t>第二十条禁止在生态保护红线区域、永久基本农田集中区域和其他需要特别保护的区域内选址建设尾矿库﹑冶炼渣库、磷石膏库。</w:t>
                  </w:r>
                </w:p>
              </w:tc>
              <w:tc>
                <w:tcPr>
                  <w:tcW w:w="1479" w:type="dxa"/>
                  <w:noWrap w:val="0"/>
                  <w:vAlign w:val="center"/>
                </w:tcPr>
                <w:p w14:paraId="1E9EAFEB">
                  <w:pPr>
                    <w:bidi w:val="0"/>
                    <w:rPr>
                      <w:rFonts w:hint="eastAsia"/>
                    </w:rPr>
                  </w:pPr>
                  <w:r>
                    <w:rPr>
                      <w:rFonts w:hint="eastAsia"/>
                    </w:rPr>
                    <w:t>本项目不涉及</w:t>
                  </w:r>
                </w:p>
              </w:tc>
            </w:tr>
            <w:tr w14:paraId="43257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center"/>
                </w:tcPr>
                <w:p w14:paraId="197F0305">
                  <w:pPr>
                    <w:bidi w:val="0"/>
                    <w:rPr>
                      <w:rFonts w:hint="eastAsia"/>
                    </w:rPr>
                  </w:pPr>
                  <w:r>
                    <w:rPr>
                      <w:rFonts w:hint="eastAsia"/>
                    </w:rPr>
                    <w:t>第二十一条禁止在合规园区外新建、扩建钢铁、石化、化工、焦化、建材、有色、制浆造纸等高污染项目。</w:t>
                  </w:r>
                </w:p>
              </w:tc>
              <w:tc>
                <w:tcPr>
                  <w:tcW w:w="1479" w:type="dxa"/>
                  <w:noWrap w:val="0"/>
                  <w:vAlign w:val="center"/>
                </w:tcPr>
                <w:p w14:paraId="58E59A95">
                  <w:pPr>
                    <w:bidi w:val="0"/>
                    <w:rPr>
                      <w:rFonts w:hint="eastAsia"/>
                      <w:lang w:val="en-US" w:eastAsia="zh-CN"/>
                    </w:rPr>
                  </w:pPr>
                  <w:r>
                    <w:rPr>
                      <w:rFonts w:hint="eastAsia"/>
                      <w:lang w:val="en-US" w:eastAsia="zh-CN"/>
                    </w:rPr>
                    <w:t>本项目不属于禁止建设的高污染项目</w:t>
                  </w:r>
                </w:p>
              </w:tc>
            </w:tr>
            <w:tr w14:paraId="6D5F3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190AFD6C">
                  <w:pPr>
                    <w:bidi w:val="0"/>
                    <w:rPr>
                      <w:rFonts w:hint="eastAsia"/>
                    </w:rPr>
                  </w:pPr>
                  <w:r>
                    <w:rPr>
                      <w:rFonts w:hint="eastAsia"/>
                    </w:rPr>
                    <w:t>第二十二条禁止新建、扩建不符合国家石化、现代煤化工等产业布局规划的项目。</w:t>
                  </w:r>
                </w:p>
                <w:p w14:paraId="46382868">
                  <w:pPr>
                    <w:bidi w:val="0"/>
                    <w:rPr>
                      <w:rFonts w:hint="eastAsia"/>
                    </w:rPr>
                  </w:pPr>
                  <w:r>
                    <w:rPr>
                      <w:rFonts w:hint="eastAsia"/>
                      <w:lang w:eastAsia="zh-CN"/>
                    </w:rPr>
                    <w:t>（</w:t>
                  </w:r>
                  <w:r>
                    <w:rPr>
                      <w:rFonts w:hint="eastAsia"/>
                    </w:rPr>
                    <w:t>一</w:t>
                  </w:r>
                  <w:r>
                    <w:rPr>
                      <w:rFonts w:hint="eastAsia"/>
                      <w:lang w:eastAsia="zh-CN"/>
                    </w:rPr>
                    <w:t>）</w:t>
                  </w:r>
                  <w:r>
                    <w:rPr>
                      <w:rFonts w:hint="eastAsia"/>
                    </w:rPr>
                    <w:t>严格控制新增炼油产能，未列入《石化产业规划布局方案（修订版</w:t>
                  </w:r>
                  <w:r>
                    <w:rPr>
                      <w:rFonts w:hint="eastAsia"/>
                      <w:lang w:eastAsia="zh-CN"/>
                    </w:rPr>
                    <w:t>）</w:t>
                  </w:r>
                  <w:r>
                    <w:rPr>
                      <w:rFonts w:hint="eastAsia"/>
                    </w:rPr>
                    <w:t>》的新增炼油产能一律不得建设。</w:t>
                  </w:r>
                </w:p>
                <w:p w14:paraId="6629F255">
                  <w:pPr>
                    <w:bidi w:val="0"/>
                    <w:rPr>
                      <w:rFonts w:hint="eastAsia"/>
                    </w:rPr>
                  </w:pPr>
                  <w:r>
                    <w:rPr>
                      <w:rFonts w:hint="eastAsia"/>
                      <w:lang w:eastAsia="zh-CN"/>
                    </w:rPr>
                    <w:t>（</w:t>
                  </w:r>
                  <w:r>
                    <w:rPr>
                      <w:rFonts w:hint="eastAsia"/>
                    </w:rPr>
                    <w:t>二）新建煤制烯经、煤制芳经项目必须列入《现代煤化工产业创新发展布局方案》，必须符合《现代煤化工建设项目环境准入条件（试行</w:t>
                  </w:r>
                  <w:r>
                    <w:rPr>
                      <w:rFonts w:hint="eastAsia"/>
                      <w:lang w:eastAsia="zh-CN"/>
                    </w:rPr>
                    <w:t>）</w:t>
                  </w:r>
                  <w:r>
                    <w:rPr>
                      <w:rFonts w:hint="eastAsia"/>
                    </w:rPr>
                    <w:t>》要求。</w:t>
                  </w:r>
                </w:p>
              </w:tc>
              <w:tc>
                <w:tcPr>
                  <w:tcW w:w="1479" w:type="dxa"/>
                  <w:noWrap w:val="0"/>
                  <w:vAlign w:val="center"/>
                </w:tcPr>
                <w:p w14:paraId="7CAEE59F">
                  <w:pPr>
                    <w:bidi w:val="0"/>
                    <w:rPr>
                      <w:rFonts w:hint="eastAsia"/>
                    </w:rPr>
                  </w:pPr>
                  <w:r>
                    <w:rPr>
                      <w:rFonts w:hint="eastAsia"/>
                      <w:lang w:val="en-US" w:eastAsia="zh-CN"/>
                    </w:rPr>
                    <w:t>本项目不属于石化及煤化工</w:t>
                  </w:r>
                </w:p>
              </w:tc>
            </w:tr>
            <w:tr w14:paraId="20C22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2DC3D5CB">
                  <w:pPr>
                    <w:bidi w:val="0"/>
                    <w:rPr>
                      <w:rFonts w:hint="eastAsia"/>
                    </w:rPr>
                  </w:pPr>
                  <w:r>
                    <w:rPr>
                      <w:rFonts w:hint="eastAsia"/>
                    </w:rPr>
                    <w:t>第二十三条禁止新建、扩建法律法规和相关政策明令禁止的落后产能项目。对《产业结构调整指导目录》中淘汰类项目，禁止投资</w:t>
                  </w:r>
                  <w:r>
                    <w:rPr>
                      <w:rFonts w:hint="eastAsia"/>
                      <w:lang w:eastAsia="zh-CN"/>
                    </w:rPr>
                    <w:t>；</w:t>
                  </w:r>
                  <w:r>
                    <w:rPr>
                      <w:rFonts w:hint="eastAsia"/>
                    </w:rPr>
                    <w:t>限制类的新建项目，禁止投资，对属于限制类的现有生产能力，允许企业在一定期限内采取措施改造升级。</w:t>
                  </w:r>
                </w:p>
              </w:tc>
              <w:tc>
                <w:tcPr>
                  <w:tcW w:w="1479" w:type="dxa"/>
                  <w:noWrap w:val="0"/>
                  <w:vAlign w:val="center"/>
                </w:tcPr>
                <w:p w14:paraId="6E95FBF2">
                  <w:pPr>
                    <w:bidi w:val="0"/>
                    <w:rPr>
                      <w:rFonts w:hint="eastAsia"/>
                    </w:rPr>
                  </w:pPr>
                  <w:r>
                    <w:rPr>
                      <w:rFonts w:hint="eastAsia"/>
                      <w:lang w:val="en-US" w:eastAsia="zh-CN"/>
                    </w:rPr>
                    <w:t>根据</w:t>
                  </w:r>
                  <w:r>
                    <w:rPr>
                      <w:rFonts w:hint="eastAsia"/>
                    </w:rPr>
                    <w:t>《产业结构调整指导目录》</w:t>
                  </w:r>
                  <w:r>
                    <w:rPr>
                      <w:rFonts w:hint="eastAsia"/>
                      <w:lang w:val="en-US" w:eastAsia="zh-CN"/>
                    </w:rPr>
                    <w:t>本项目属于允许类</w:t>
                  </w:r>
                </w:p>
              </w:tc>
            </w:tr>
            <w:tr w14:paraId="0CAB2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33550EA0">
                  <w:pPr>
                    <w:bidi w:val="0"/>
                    <w:rPr>
                      <w:rFonts w:hint="eastAsia"/>
                    </w:rPr>
                  </w:pPr>
                  <w:r>
                    <w:rPr>
                      <w:rFonts w:hint="eastAsia"/>
                    </w:rPr>
                    <w:t>第二十四条禁止新建、扩建不符合国家产能置换要求的严重过剩产能行业的项目。对于不符合国家产能置换要求的严重过剩产能行业，不得以其他任何名义、任何方式备案新增产能项目。</w:t>
                  </w:r>
                </w:p>
              </w:tc>
              <w:tc>
                <w:tcPr>
                  <w:tcW w:w="1479" w:type="dxa"/>
                  <w:noWrap w:val="0"/>
                  <w:vAlign w:val="center"/>
                </w:tcPr>
                <w:p w14:paraId="30E99357">
                  <w:pPr>
                    <w:bidi w:val="0"/>
                    <w:rPr>
                      <w:rFonts w:hint="eastAsia"/>
                    </w:rPr>
                  </w:pPr>
                  <w:r>
                    <w:rPr>
                      <w:rFonts w:hint="eastAsia"/>
                      <w:lang w:val="en-US" w:eastAsia="zh-CN"/>
                    </w:rPr>
                    <w:t>本项目不涉及</w:t>
                  </w:r>
                </w:p>
              </w:tc>
            </w:tr>
            <w:tr w14:paraId="7A5B1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6C62D4F9">
                  <w:pPr>
                    <w:bidi w:val="0"/>
                    <w:rPr>
                      <w:rFonts w:hint="eastAsia"/>
                    </w:rPr>
                  </w:pPr>
                  <w:r>
                    <w:rPr>
                      <w:rFonts w:hint="eastAsia"/>
                    </w:rPr>
                    <w:t>第二十五条禁止建设以下燃油汽车投资项目（不在中国境内销售产品的投资项目除外</w:t>
                  </w:r>
                  <w:r>
                    <w:rPr>
                      <w:rFonts w:hint="eastAsia"/>
                      <w:lang w:eastAsia="zh-CN"/>
                    </w:rPr>
                    <w:t>）：</w:t>
                  </w:r>
                </w:p>
                <w:p w14:paraId="61DB3A11">
                  <w:pPr>
                    <w:bidi w:val="0"/>
                    <w:rPr>
                      <w:rFonts w:hint="eastAsia"/>
                    </w:rPr>
                  </w:pPr>
                  <w:r>
                    <w:rPr>
                      <w:rFonts w:hint="eastAsia"/>
                      <w:lang w:eastAsia="zh-CN"/>
                    </w:rPr>
                    <w:t>（</w:t>
                  </w:r>
                  <w:r>
                    <w:rPr>
                      <w:rFonts w:hint="eastAsia"/>
                    </w:rPr>
                    <w:t>一）新建独立燃油汽车企业</w:t>
                  </w:r>
                  <w:r>
                    <w:rPr>
                      <w:rFonts w:hint="eastAsia"/>
                      <w:lang w:eastAsia="zh-CN"/>
                    </w:rPr>
                    <w:t>；</w:t>
                  </w:r>
                </w:p>
                <w:p w14:paraId="330DBF2F">
                  <w:pPr>
                    <w:bidi w:val="0"/>
                    <w:rPr>
                      <w:rFonts w:hint="eastAsia"/>
                    </w:rPr>
                  </w:pPr>
                  <w:r>
                    <w:rPr>
                      <w:rFonts w:hint="eastAsia"/>
                      <w:lang w:eastAsia="zh-CN"/>
                    </w:rPr>
                    <w:t>（</w:t>
                  </w:r>
                  <w:r>
                    <w:rPr>
                      <w:rFonts w:hint="eastAsia"/>
                    </w:rPr>
                    <w:t>二）现有汽车企业跨乘用车、商用车类别建设燃油汽车生产能力</w:t>
                  </w:r>
                  <w:r>
                    <w:rPr>
                      <w:rFonts w:hint="eastAsia"/>
                      <w:lang w:eastAsia="zh-CN"/>
                    </w:rPr>
                    <w:t>；</w:t>
                  </w:r>
                </w:p>
                <w:p w14:paraId="38D5D34E">
                  <w:pPr>
                    <w:bidi w:val="0"/>
                    <w:rPr>
                      <w:rFonts w:hint="eastAsia"/>
                    </w:rPr>
                  </w:pPr>
                  <w:r>
                    <w:rPr>
                      <w:rFonts w:hint="eastAsia"/>
                      <w:lang w:eastAsia="zh-CN"/>
                    </w:rPr>
                    <w:t>（</w:t>
                  </w:r>
                  <w:r>
                    <w:rPr>
                      <w:rFonts w:hint="eastAsia"/>
                    </w:rPr>
                    <w:t>三）外省现有燃油汽车企业整体搬迁至本省（列入国家级区域发展规划或不改变企业股权结构的项目除外</w:t>
                  </w:r>
                  <w:r>
                    <w:rPr>
                      <w:rFonts w:hint="eastAsia"/>
                      <w:lang w:eastAsia="zh-CN"/>
                    </w:rPr>
                    <w:t>）；</w:t>
                  </w:r>
                </w:p>
                <w:p w14:paraId="16899794">
                  <w:pPr>
                    <w:bidi w:val="0"/>
                    <w:rPr>
                      <w:rFonts w:hint="eastAsia"/>
                    </w:rPr>
                  </w:pPr>
                  <w:r>
                    <w:rPr>
                      <w:rFonts w:hint="eastAsia"/>
                      <w:lang w:eastAsia="zh-CN"/>
                    </w:rPr>
                    <w:t>（</w:t>
                  </w:r>
                  <w:r>
                    <w:rPr>
                      <w:rFonts w:hint="eastAsia"/>
                    </w:rPr>
                    <w:t>四）对行业管理部门特别公示的燃油汽车企业进行投资企业原有股东投资或将该企业转为非独立法人的投资项目除</w:t>
                  </w:r>
                  <w:r>
                    <w:rPr>
                      <w:rFonts w:hint="eastAsia"/>
                      <w:lang w:val="en-US" w:eastAsia="zh-CN"/>
                    </w:rPr>
                    <w:t>外。</w:t>
                  </w:r>
                </w:p>
              </w:tc>
              <w:tc>
                <w:tcPr>
                  <w:tcW w:w="1479" w:type="dxa"/>
                  <w:noWrap w:val="0"/>
                  <w:vAlign w:val="center"/>
                </w:tcPr>
                <w:p w14:paraId="19A33DE6">
                  <w:pPr>
                    <w:bidi w:val="0"/>
                    <w:rPr>
                      <w:rFonts w:hint="eastAsia"/>
                    </w:rPr>
                  </w:pPr>
                  <w:r>
                    <w:rPr>
                      <w:rFonts w:hint="eastAsia"/>
                      <w:lang w:val="en-US" w:eastAsia="zh-CN"/>
                    </w:rPr>
                    <w:t>本项目不涉及</w:t>
                  </w:r>
                </w:p>
              </w:tc>
            </w:tr>
            <w:tr w14:paraId="2589C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9" w:type="dxa"/>
                  <w:noWrap w:val="0"/>
                  <w:vAlign w:val="top"/>
                </w:tcPr>
                <w:p w14:paraId="3405F7BA">
                  <w:pPr>
                    <w:bidi w:val="0"/>
                    <w:rPr>
                      <w:rFonts w:hint="eastAsia"/>
                    </w:rPr>
                  </w:pPr>
                  <w:r>
                    <w:rPr>
                      <w:rFonts w:hint="eastAsia"/>
                    </w:rPr>
                    <w:t>第二十六条﹐禁止新建、扩建不符合要求的高耗能、高排放、低水平项目。</w:t>
                  </w:r>
                </w:p>
              </w:tc>
              <w:tc>
                <w:tcPr>
                  <w:tcW w:w="1479" w:type="dxa"/>
                  <w:noWrap w:val="0"/>
                  <w:vAlign w:val="center"/>
                </w:tcPr>
                <w:p w14:paraId="1074FC6D">
                  <w:pPr>
                    <w:bidi w:val="0"/>
                    <w:rPr>
                      <w:rFonts w:hint="eastAsia"/>
                    </w:rPr>
                  </w:pPr>
                  <w:r>
                    <w:rPr>
                      <w:rFonts w:hint="eastAsia"/>
                      <w:lang w:val="en-US" w:eastAsia="zh-CN"/>
                    </w:rPr>
                    <w:t>本项目不涉及</w:t>
                  </w:r>
                </w:p>
              </w:tc>
            </w:tr>
          </w:tbl>
          <w:p w14:paraId="0D7189E4">
            <w:pPr>
              <w:pStyle w:val="69"/>
              <w:ind w:firstLine="480"/>
              <w:rPr>
                <w:rFonts w:hint="eastAsia" w:ascii="宋体" w:hAnsi="宋体" w:eastAsia="宋体" w:cs="宋体"/>
                <w:color w:val="auto"/>
                <w:sz w:val="21"/>
                <w:szCs w:val="21"/>
                <w:lang w:val="zh-CN"/>
              </w:rPr>
            </w:pPr>
            <w:r>
              <w:rPr>
                <w:rFonts w:hint="eastAsia" w:ascii="宋体" w:hAnsi="宋体" w:eastAsia="宋体" w:cs="宋体"/>
                <w:color w:val="000000"/>
                <w:sz w:val="21"/>
                <w:szCs w:val="21"/>
                <w:lang w:val="en-US" w:eastAsia="zh-CN"/>
              </w:rPr>
              <w:t>因此</w:t>
            </w:r>
            <w:r>
              <w:rPr>
                <w:rFonts w:hint="eastAsia" w:ascii="宋体" w:hAnsi="宋体" w:eastAsia="宋体" w:cs="宋体"/>
                <w:color w:val="000000"/>
                <w:sz w:val="21"/>
                <w:szCs w:val="21"/>
              </w:rPr>
              <w:t>，</w:t>
            </w:r>
            <w:r>
              <w:rPr>
                <w:rFonts w:hint="eastAsia" w:ascii="宋体" w:hAnsi="宋体" w:eastAsia="宋体" w:cs="宋体"/>
                <w:color w:val="000000"/>
                <w:sz w:val="21"/>
                <w:szCs w:val="21"/>
                <w:lang w:val="zh-CN"/>
              </w:rPr>
              <w:t>本项目</w:t>
            </w:r>
            <w:r>
              <w:rPr>
                <w:rFonts w:hint="default" w:ascii="Times New Roman" w:hAnsi="Times New Roman" w:eastAsia="宋体" w:cs="Times New Roman"/>
                <w:color w:val="000000"/>
                <w:sz w:val="21"/>
                <w:szCs w:val="21"/>
                <w:lang w:val="zh-CN"/>
              </w:rPr>
              <w:t>的建设符合</w:t>
            </w:r>
            <w:r>
              <w:rPr>
                <w:rFonts w:hint="default" w:ascii="Times New Roman" w:hAnsi="Times New Roman" w:eastAsia="宋体" w:cs="Times New Roman"/>
                <w:b w:val="0"/>
                <w:bCs w:val="0"/>
                <w:color w:val="000000"/>
                <w:sz w:val="21"/>
                <w:szCs w:val="21"/>
                <w:lang w:val="zh-CN"/>
              </w:rPr>
              <w:t>《</w:t>
            </w:r>
            <w:r>
              <w:rPr>
                <w:rFonts w:hint="default" w:ascii="Times New Roman" w:hAnsi="Times New Roman" w:eastAsia="宋体" w:cs="Times New Roman"/>
                <w:b w:val="0"/>
                <w:bCs w:val="0"/>
                <w:color w:val="000000"/>
                <w:sz w:val="21"/>
                <w:szCs w:val="21"/>
                <w:lang w:val="en-US" w:eastAsia="zh-CN"/>
              </w:rPr>
              <w:t>四川省、重庆市</w:t>
            </w:r>
            <w:r>
              <w:rPr>
                <w:rFonts w:hint="default" w:ascii="Times New Roman" w:hAnsi="Times New Roman" w:eastAsia="宋体" w:cs="Times New Roman"/>
                <w:b w:val="0"/>
                <w:bCs w:val="0"/>
                <w:color w:val="000000"/>
                <w:sz w:val="21"/>
                <w:szCs w:val="21"/>
                <w:lang w:val="zh-CN"/>
              </w:rPr>
              <w:t>长江经济带发展负面</w:t>
            </w:r>
            <w:r>
              <w:rPr>
                <w:rFonts w:hint="default" w:ascii="Times New Roman" w:hAnsi="Times New Roman" w:eastAsia="宋体" w:cs="Times New Roman"/>
                <w:b w:val="0"/>
                <w:bCs w:val="0"/>
                <w:color w:val="000000"/>
                <w:sz w:val="21"/>
                <w:szCs w:val="21"/>
                <w:lang w:val="en-US" w:eastAsia="zh-CN"/>
              </w:rPr>
              <w:t>清单实施细则</w:t>
            </w:r>
            <w:r>
              <w:rPr>
                <w:rFonts w:hint="default" w:ascii="Times New Roman" w:hAnsi="Times New Roman" w:eastAsia="宋体" w:cs="Times New Roman"/>
                <w:b w:val="0"/>
                <w:bCs w:val="0"/>
                <w:color w:val="000000"/>
                <w:sz w:val="21"/>
                <w:szCs w:val="21"/>
                <w:lang w:val="zh-CN"/>
              </w:rPr>
              <w:t>（</w:t>
            </w:r>
            <w:r>
              <w:rPr>
                <w:rFonts w:hint="default" w:ascii="Times New Roman" w:hAnsi="Times New Roman" w:eastAsia="宋体" w:cs="Times New Roman"/>
                <w:b w:val="0"/>
                <w:bCs w:val="0"/>
                <w:color w:val="000000"/>
                <w:sz w:val="21"/>
                <w:szCs w:val="21"/>
                <w:lang w:val="en-US" w:eastAsia="zh-CN"/>
              </w:rPr>
              <w:t>试行，</w:t>
            </w:r>
            <w:r>
              <w:rPr>
                <w:rFonts w:hint="default" w:ascii="Times New Roman" w:hAnsi="Times New Roman" w:eastAsia="宋体" w:cs="Times New Roman"/>
                <w:b w:val="0"/>
                <w:bCs w:val="0"/>
                <w:color w:val="000000"/>
                <w:sz w:val="21"/>
                <w:szCs w:val="21"/>
              </w:rPr>
              <w:t>2022版</w:t>
            </w:r>
            <w:r>
              <w:rPr>
                <w:rFonts w:hint="default" w:ascii="Times New Roman" w:hAnsi="Times New Roman" w:eastAsia="宋体" w:cs="Times New Roman"/>
                <w:b w:val="0"/>
                <w:bCs w:val="0"/>
                <w:color w:val="000000"/>
                <w:sz w:val="21"/>
                <w:szCs w:val="21"/>
                <w:lang w:val="zh-CN"/>
              </w:rPr>
              <w:t>）》（</w:t>
            </w:r>
            <w:r>
              <w:rPr>
                <w:rFonts w:hint="default" w:ascii="Times New Roman" w:hAnsi="Times New Roman" w:eastAsia="宋体" w:cs="Times New Roman"/>
                <w:b w:val="0"/>
                <w:bCs w:val="0"/>
                <w:color w:val="000000"/>
                <w:sz w:val="21"/>
                <w:szCs w:val="21"/>
                <w:lang w:val="en-US" w:eastAsia="zh-CN"/>
              </w:rPr>
              <w:t>川长江办</w:t>
            </w:r>
            <w:r>
              <w:rPr>
                <w:rFonts w:hint="default" w:ascii="Times New Roman" w:hAnsi="Times New Roman" w:eastAsia="宋体" w:cs="Times New Roman"/>
                <w:b w:val="0"/>
                <w:bCs w:val="0"/>
                <w:color w:val="000000"/>
                <w:sz w:val="21"/>
                <w:szCs w:val="21"/>
                <w:lang w:val="zh-CN"/>
              </w:rPr>
              <w:t>〔2022〕</w:t>
            </w:r>
            <w:r>
              <w:rPr>
                <w:rFonts w:hint="default" w:ascii="Times New Roman" w:hAnsi="Times New Roman" w:eastAsia="宋体" w:cs="Times New Roman"/>
                <w:b w:val="0"/>
                <w:bCs w:val="0"/>
                <w:color w:val="000000"/>
                <w:sz w:val="21"/>
                <w:szCs w:val="21"/>
                <w:lang w:val="en-US" w:eastAsia="zh-CN"/>
              </w:rPr>
              <w:t>1</w:t>
            </w:r>
            <w:r>
              <w:rPr>
                <w:rFonts w:hint="default" w:ascii="Times New Roman" w:hAnsi="Times New Roman" w:eastAsia="宋体" w:cs="Times New Roman"/>
                <w:b w:val="0"/>
                <w:bCs w:val="0"/>
                <w:color w:val="000000"/>
                <w:sz w:val="21"/>
                <w:szCs w:val="21"/>
                <w:lang w:val="zh-CN"/>
              </w:rPr>
              <w:t>7号）的</w:t>
            </w:r>
            <w:r>
              <w:rPr>
                <w:rFonts w:hint="default" w:ascii="Times New Roman" w:hAnsi="Times New Roman" w:eastAsia="宋体" w:cs="Times New Roman"/>
                <w:b w:val="0"/>
                <w:bCs w:val="0"/>
                <w:color w:val="000000"/>
                <w:sz w:val="21"/>
                <w:szCs w:val="21"/>
                <w:lang w:val="en-US" w:eastAsia="zh-CN"/>
              </w:rPr>
              <w:t>文件</w:t>
            </w:r>
            <w:r>
              <w:rPr>
                <w:rFonts w:hint="default" w:ascii="Times New Roman" w:hAnsi="Times New Roman" w:eastAsia="宋体" w:cs="Times New Roman"/>
                <w:b w:val="0"/>
                <w:bCs w:val="0"/>
                <w:color w:val="000000"/>
                <w:sz w:val="21"/>
                <w:szCs w:val="21"/>
                <w:lang w:val="zh-CN"/>
              </w:rPr>
              <w:t>要求。</w:t>
            </w:r>
          </w:p>
          <w:p w14:paraId="7470984B">
            <w:pPr>
              <w:numPr>
                <w:ilvl w:val="0"/>
                <w:numId w:val="3"/>
              </w:numPr>
              <w:bidi w:val="0"/>
              <w:spacing w:line="360" w:lineRule="auto"/>
              <w:rPr>
                <w:rFonts w:hint="default"/>
                <w:b/>
                <w:bCs/>
              </w:rPr>
            </w:pPr>
            <w:r>
              <w:rPr>
                <w:rFonts w:hint="eastAsia"/>
                <w:b/>
                <w:bCs/>
                <w:lang w:val="en-US" w:eastAsia="zh-CN"/>
              </w:rPr>
              <w:t>生态环境分区管控</w:t>
            </w:r>
            <w:r>
              <w:rPr>
                <w:rFonts w:hint="default"/>
                <w:b/>
                <w:bCs/>
              </w:rPr>
              <w:t>符合性分析</w:t>
            </w:r>
          </w:p>
          <w:p w14:paraId="49B81583">
            <w:pPr>
              <w:numPr>
                <w:ilvl w:val="0"/>
                <w:numId w:val="0"/>
              </w:numPr>
              <w:bidi w:val="0"/>
              <w:spacing w:line="360" w:lineRule="auto"/>
              <w:ind w:firstLine="420" w:firstLineChars="200"/>
              <w:rPr>
                <w:rFonts w:hint="default"/>
              </w:rPr>
            </w:pPr>
            <w:r>
              <w:rPr>
                <w:rFonts w:hint="default"/>
              </w:rPr>
              <w:t>根据《项目环评“三线一单”符合性技术分析要求（试行）》川环办函</w:t>
            </w:r>
            <w:r>
              <w:rPr>
                <w:rFonts w:hint="default"/>
                <w:lang w:val="zh-CN"/>
              </w:rPr>
              <w:t>〔</w:t>
            </w:r>
            <w:r>
              <w:rPr>
                <w:rFonts w:hint="default"/>
              </w:rPr>
              <w:t>2021</w:t>
            </w:r>
            <w:r>
              <w:rPr>
                <w:rFonts w:hint="default"/>
                <w:lang w:val="zh-CN"/>
              </w:rPr>
              <w:t>〕</w:t>
            </w:r>
            <w:r>
              <w:rPr>
                <w:rFonts w:hint="default"/>
              </w:rPr>
              <w:t>469号文件：如建设项目位于产业园区内，且产业园区规划环境影响评价中已开展了园区与“三线一单”符合性分析，则项目环评只需分析与产业园区生态环境准入要求的符合性。</w:t>
            </w:r>
          </w:p>
          <w:p w14:paraId="53373CBE">
            <w:pPr>
              <w:numPr>
                <w:ilvl w:val="0"/>
                <w:numId w:val="0"/>
              </w:numPr>
              <w:bidi w:val="0"/>
              <w:spacing w:line="360" w:lineRule="auto"/>
              <w:ind w:firstLine="420" w:firstLineChars="200"/>
              <w:rPr>
                <w:rFonts w:hint="default"/>
              </w:rPr>
            </w:pPr>
            <w:r>
              <w:rPr>
                <w:rFonts w:hint="default"/>
              </w:rPr>
              <w:t>202</w:t>
            </w:r>
            <w:r>
              <w:rPr>
                <w:rFonts w:hint="default"/>
                <w:lang w:val="en-US" w:eastAsia="zh-CN"/>
              </w:rPr>
              <w:t>1</w:t>
            </w:r>
            <w:r>
              <w:rPr>
                <w:rFonts w:hint="default"/>
              </w:rPr>
              <w:t>年</w:t>
            </w:r>
            <w:r>
              <w:rPr>
                <w:rFonts w:hint="default"/>
                <w:lang w:val="en-US" w:eastAsia="zh-CN"/>
              </w:rPr>
              <w:t>蓬溪经开区管委会组织编制了</w:t>
            </w:r>
            <w:r>
              <w:rPr>
                <w:rFonts w:hint="default"/>
                <w:lang w:val="zh-CN"/>
              </w:rPr>
              <w:t>《四川蓬溪经济开发区（上游片区）（暨蓬溪县上游工业园产业聚集区）规划修编环境影响报告</w:t>
            </w:r>
            <w:r>
              <w:rPr>
                <w:rFonts w:hint="default"/>
                <w:lang w:val="en-US" w:eastAsia="zh-CN"/>
              </w:rPr>
              <w:t>书</w:t>
            </w:r>
            <w:r>
              <w:rPr>
                <w:rFonts w:hint="default"/>
                <w:lang w:val="zh-CN"/>
              </w:rPr>
              <w:t>》</w:t>
            </w:r>
            <w:r>
              <w:rPr>
                <w:rFonts w:hint="default"/>
                <w:lang w:val="en-US" w:eastAsia="zh-CN"/>
              </w:rPr>
              <w:t>并于</w:t>
            </w:r>
            <w:r>
              <w:rPr>
                <w:rFonts w:hint="default"/>
                <w:lang w:val="zh-CN"/>
              </w:rPr>
              <w:t>20</w:t>
            </w:r>
            <w:r>
              <w:rPr>
                <w:rFonts w:hint="default"/>
              </w:rPr>
              <w:t>2</w:t>
            </w:r>
            <w:r>
              <w:rPr>
                <w:rFonts w:hint="default"/>
                <w:lang w:val="en-US" w:eastAsia="zh-CN"/>
              </w:rPr>
              <w:t>2</w:t>
            </w:r>
            <w:r>
              <w:rPr>
                <w:rFonts w:hint="default"/>
                <w:lang w:val="zh-CN"/>
              </w:rPr>
              <w:t>年</w:t>
            </w:r>
            <w:r>
              <w:rPr>
                <w:rFonts w:hint="eastAsia"/>
                <w:lang w:val="en-US" w:eastAsia="zh-CN"/>
              </w:rPr>
              <w:t>5</w:t>
            </w:r>
            <w:r>
              <w:rPr>
                <w:rFonts w:hint="default"/>
                <w:lang w:val="zh-CN"/>
              </w:rPr>
              <w:t>月</w:t>
            </w:r>
            <w:r>
              <w:rPr>
                <w:rFonts w:hint="eastAsia"/>
                <w:lang w:val="en-US" w:eastAsia="zh-CN"/>
              </w:rPr>
              <w:t>25日</w:t>
            </w:r>
            <w:r>
              <w:rPr>
                <w:rFonts w:hint="default"/>
                <w:lang w:val="zh-CN"/>
              </w:rPr>
              <w:t>取得</w:t>
            </w:r>
            <w:r>
              <w:rPr>
                <w:rFonts w:hint="default"/>
                <w:lang w:val="en-US" w:eastAsia="zh-CN"/>
              </w:rPr>
              <w:t>了遂宁市生态环境局的批复</w:t>
            </w:r>
            <w:r>
              <w:rPr>
                <w:rFonts w:hint="default"/>
                <w:lang w:val="zh-CN"/>
              </w:rPr>
              <w:t>。根据《四川蓬溪经济开发区（上游片区）（暨蓬溪县上游工业园产业聚集区）规划修编环境影响报告</w:t>
            </w:r>
            <w:r>
              <w:rPr>
                <w:rFonts w:hint="default"/>
                <w:lang w:val="en-US" w:eastAsia="zh-CN"/>
              </w:rPr>
              <w:t>书</w:t>
            </w:r>
            <w:r>
              <w:rPr>
                <w:rFonts w:hint="default"/>
                <w:lang w:val="zh-CN"/>
              </w:rPr>
              <w:t>》，</w:t>
            </w:r>
            <w:r>
              <w:rPr>
                <w:rFonts w:hint="default"/>
                <w:lang w:val="en-US" w:eastAsia="zh-CN"/>
              </w:rPr>
              <w:t>报告书</w:t>
            </w:r>
            <w:r>
              <w:rPr>
                <w:rFonts w:hint="default"/>
                <w:lang w:val="zh-CN"/>
              </w:rPr>
              <w:t>已开展了与</w:t>
            </w:r>
            <w:r>
              <w:rPr>
                <w:rFonts w:hint="default"/>
              </w:rPr>
              <w:t>《遂宁市“三线一单”生态环境分区管控优化完善工作阶段性成果》的符合性分析，因此本项目符合“三线一单”简化分析的要求。</w:t>
            </w:r>
          </w:p>
          <w:p w14:paraId="56B83385">
            <w:pPr>
              <w:pStyle w:val="69"/>
              <w:spacing w:line="240" w:lineRule="auto"/>
              <w:ind w:left="0" w:leftChars="0" w:firstLine="0" w:firstLineChars="0"/>
              <w:jc w:val="center"/>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drawing>
                <wp:inline distT="0" distB="0" distL="114300" distR="114300">
                  <wp:extent cx="5215890" cy="4114800"/>
                  <wp:effectExtent l="0" t="0" r="11430" b="0"/>
                  <wp:docPr id="1" name="图片 1" descr="172362520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3625208414"/>
                          <pic:cNvPicPr>
                            <a:picLocks noChangeAspect="1"/>
                          </pic:cNvPicPr>
                        </pic:nvPicPr>
                        <pic:blipFill>
                          <a:blip r:embed="rId8"/>
                          <a:stretch>
                            <a:fillRect/>
                          </a:stretch>
                        </pic:blipFill>
                        <pic:spPr>
                          <a:xfrm>
                            <a:off x="0" y="0"/>
                            <a:ext cx="5215890" cy="4114800"/>
                          </a:xfrm>
                          <a:prstGeom prst="rect">
                            <a:avLst/>
                          </a:prstGeom>
                        </pic:spPr>
                      </pic:pic>
                    </a:graphicData>
                  </a:graphic>
                </wp:inline>
              </w:drawing>
            </w:r>
          </w:p>
          <w:p w14:paraId="2E8FFB07">
            <w:pPr>
              <w:pStyle w:val="69"/>
              <w:spacing w:line="360" w:lineRule="auto"/>
              <w:ind w:left="0" w:leftChars="0" w:firstLine="0" w:firstLineChars="0"/>
              <w:jc w:val="cente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sz w:val="21"/>
                <w:szCs w:val="21"/>
                <w:lang w:val="en-US" w:eastAsia="zh-CN"/>
              </w:rPr>
              <w:t xml:space="preserve">图1-1 </w:t>
            </w:r>
            <w:r>
              <w:rPr>
                <w:rFonts w:hint="eastAsia" w:ascii="宋体" w:hAnsi="宋体" w:eastAsia="宋体" w:cs="宋体"/>
                <w:b/>
                <w:bCs/>
                <w:color w:val="auto"/>
                <w:kern w:val="0"/>
                <w:sz w:val="21"/>
                <w:szCs w:val="21"/>
                <w:highlight w:val="none"/>
              </w:rPr>
              <w:t>“</w:t>
            </w:r>
            <w:r>
              <w:rPr>
                <w:rFonts w:hint="eastAsia" w:cs="宋体"/>
                <w:b/>
                <w:bCs/>
                <w:color w:val="auto"/>
                <w:kern w:val="0"/>
                <w:sz w:val="21"/>
                <w:szCs w:val="21"/>
                <w:highlight w:val="none"/>
                <w:lang w:val="en-US" w:eastAsia="zh-CN"/>
              </w:rPr>
              <w:t>生态环境分区管控</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符合性分析结果图</w:t>
            </w:r>
          </w:p>
          <w:p w14:paraId="2B5203AE">
            <w:pPr>
              <w:pStyle w:val="69"/>
              <w:bidi w:val="0"/>
              <w:spacing w:line="360" w:lineRule="auto"/>
              <w:rPr>
                <w:rFonts w:hint="eastAsia"/>
                <w:color w:val="auto"/>
                <w:sz w:val="21"/>
                <w:szCs w:val="21"/>
                <w:lang w:val="en-US" w:eastAsia="zh-CN"/>
              </w:rPr>
            </w:pPr>
            <w:r>
              <w:rPr>
                <w:rFonts w:hint="eastAsia"/>
                <w:color w:val="auto"/>
                <w:sz w:val="21"/>
                <w:szCs w:val="21"/>
                <w:lang w:val="en-US" w:eastAsia="zh-CN"/>
              </w:rPr>
              <w:t>根据查询，该项目涉及环境管控单元</w:t>
            </w:r>
            <w:r>
              <w:rPr>
                <w:rFonts w:hint="default" w:ascii="Times New Roman" w:hAnsi="Times New Roman" w:cs="Times New Roman"/>
                <w:color w:val="auto"/>
                <w:sz w:val="21"/>
                <w:szCs w:val="21"/>
                <w:lang w:val="en-US" w:eastAsia="zh-CN"/>
              </w:rPr>
              <w:t>5</w:t>
            </w:r>
            <w:r>
              <w:rPr>
                <w:rFonts w:hint="eastAsia"/>
                <w:color w:val="auto"/>
                <w:sz w:val="21"/>
                <w:szCs w:val="21"/>
                <w:lang w:val="en-US" w:eastAsia="zh-CN"/>
              </w:rPr>
              <w:t>个，涉及管控单元见下表：</w:t>
            </w:r>
          </w:p>
          <w:p w14:paraId="5E765856">
            <w:pPr>
              <w:pStyle w:val="63"/>
              <w:bidi w:val="0"/>
              <w:spacing w:line="240" w:lineRule="auto"/>
              <w:rPr>
                <w:rFonts w:hint="default"/>
                <w:sz w:val="21"/>
                <w:szCs w:val="21"/>
                <w:lang w:val="en-US" w:eastAsia="zh-CN"/>
              </w:rPr>
            </w:pPr>
            <w:r>
              <w:rPr>
                <w:rFonts w:hint="eastAsia"/>
                <w:sz w:val="21"/>
                <w:szCs w:val="21"/>
                <w:lang w:val="en-US" w:eastAsia="zh-CN"/>
              </w:rPr>
              <w:t>表</w:t>
            </w:r>
            <w:r>
              <w:rPr>
                <w:rFonts w:hint="default" w:ascii="Times New Roman" w:hAnsi="Times New Roman" w:cs="Times New Roman"/>
                <w:sz w:val="21"/>
                <w:szCs w:val="21"/>
                <w:lang w:val="en-US" w:eastAsia="zh-CN"/>
              </w:rPr>
              <w:t>1-4</w:t>
            </w:r>
            <w:r>
              <w:rPr>
                <w:rFonts w:hint="eastAsia"/>
                <w:sz w:val="21"/>
                <w:szCs w:val="21"/>
                <w:lang w:val="en-US" w:eastAsia="zh-CN"/>
              </w:rPr>
              <w:t xml:space="preserve"> 项目所涉及的环境管控单元</w:t>
            </w:r>
          </w:p>
          <w:tbl>
            <w:tblPr>
              <w:tblStyle w:val="27"/>
              <w:tblW w:w="85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7"/>
              <w:gridCol w:w="1907"/>
              <w:gridCol w:w="961"/>
              <w:gridCol w:w="829"/>
              <w:gridCol w:w="1216"/>
              <w:gridCol w:w="2217"/>
            </w:tblGrid>
            <w:tr w14:paraId="715FE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427" w:type="dxa"/>
                  <w:tcBorders>
                    <w:top w:val="single" w:color="000000" w:sz="12" w:space="0"/>
                    <w:left w:val="nil"/>
                    <w:bottom w:val="single" w:color="000000" w:sz="8" w:space="0"/>
                    <w:right w:val="single" w:color="000000" w:sz="8" w:space="0"/>
                  </w:tcBorders>
                  <w:noWrap w:val="0"/>
                  <w:vAlign w:val="center"/>
                </w:tcPr>
                <w:p w14:paraId="4C6FFC7B">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环境管控单元编码</w:t>
                  </w:r>
                </w:p>
              </w:tc>
              <w:tc>
                <w:tcPr>
                  <w:tcW w:w="1907" w:type="dxa"/>
                  <w:tcBorders>
                    <w:top w:val="single" w:color="000000" w:sz="12" w:space="0"/>
                    <w:left w:val="single" w:color="000000" w:sz="8" w:space="0"/>
                    <w:bottom w:val="single" w:color="000000" w:sz="8" w:space="0"/>
                    <w:right w:val="single" w:color="000000" w:sz="8" w:space="0"/>
                  </w:tcBorders>
                  <w:noWrap w:val="0"/>
                  <w:vAlign w:val="center"/>
                </w:tcPr>
                <w:p w14:paraId="7114CCF3">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环境管控单元名称</w:t>
                  </w:r>
                </w:p>
              </w:tc>
              <w:tc>
                <w:tcPr>
                  <w:tcW w:w="961" w:type="dxa"/>
                  <w:tcBorders>
                    <w:top w:val="single" w:color="000000" w:sz="12" w:space="0"/>
                    <w:left w:val="single" w:color="000000" w:sz="8" w:space="0"/>
                    <w:bottom w:val="single" w:color="000000" w:sz="8" w:space="0"/>
                    <w:right w:val="single" w:color="000000" w:sz="8" w:space="0"/>
                  </w:tcBorders>
                  <w:noWrap w:val="0"/>
                  <w:vAlign w:val="center"/>
                </w:tcPr>
                <w:p w14:paraId="61018460">
                  <w:pPr>
                    <w:keepNext w:val="0"/>
                    <w:keepLines w:val="0"/>
                    <w:widowControl/>
                    <w:suppressLineNumbers w:val="0"/>
                    <w:spacing w:line="240" w:lineRule="auto"/>
                    <w:jc w:val="center"/>
                    <w:textAlignment w:val="top"/>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所属市（州）</w:t>
                  </w:r>
                </w:p>
              </w:tc>
              <w:tc>
                <w:tcPr>
                  <w:tcW w:w="829" w:type="dxa"/>
                  <w:tcBorders>
                    <w:top w:val="single" w:color="000000" w:sz="12" w:space="0"/>
                    <w:left w:val="single" w:color="000000" w:sz="8" w:space="0"/>
                    <w:bottom w:val="single" w:color="000000" w:sz="8" w:space="0"/>
                    <w:right w:val="single" w:color="000000" w:sz="8" w:space="0"/>
                  </w:tcBorders>
                  <w:noWrap w:val="0"/>
                  <w:vAlign w:val="center"/>
                </w:tcPr>
                <w:p w14:paraId="747D607C">
                  <w:pPr>
                    <w:keepNext w:val="0"/>
                    <w:keepLines w:val="0"/>
                    <w:widowControl/>
                    <w:suppressLineNumbers w:val="0"/>
                    <w:spacing w:line="240" w:lineRule="auto"/>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所属区县</w:t>
                  </w:r>
                </w:p>
              </w:tc>
              <w:tc>
                <w:tcPr>
                  <w:tcW w:w="1216" w:type="dxa"/>
                  <w:tcBorders>
                    <w:top w:val="single" w:color="000000" w:sz="12" w:space="0"/>
                    <w:left w:val="single" w:color="000000" w:sz="8" w:space="0"/>
                    <w:bottom w:val="single" w:color="000000" w:sz="8" w:space="0"/>
                    <w:right w:val="single" w:color="000000" w:sz="8" w:space="0"/>
                  </w:tcBorders>
                  <w:noWrap w:val="0"/>
                  <w:vAlign w:val="center"/>
                </w:tcPr>
                <w:p w14:paraId="1F691575">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准入清单类型</w:t>
                  </w:r>
                </w:p>
              </w:tc>
              <w:tc>
                <w:tcPr>
                  <w:tcW w:w="2217" w:type="dxa"/>
                  <w:tcBorders>
                    <w:top w:val="single" w:color="000000" w:sz="12" w:space="0"/>
                    <w:left w:val="single" w:color="000000" w:sz="8" w:space="0"/>
                    <w:bottom w:val="single" w:color="000000" w:sz="8" w:space="0"/>
                    <w:right w:val="nil"/>
                  </w:tcBorders>
                  <w:noWrap w:val="0"/>
                  <w:vAlign w:val="center"/>
                </w:tcPr>
                <w:p w14:paraId="6F9D6D0E">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管控类型</w:t>
                  </w:r>
                </w:p>
              </w:tc>
            </w:tr>
            <w:tr w14:paraId="4A3FE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1" w:hRule="atLeast"/>
              </w:trPr>
              <w:tc>
                <w:tcPr>
                  <w:tcW w:w="1427" w:type="dxa"/>
                  <w:tcBorders>
                    <w:top w:val="single" w:color="000000" w:sz="8" w:space="0"/>
                    <w:left w:val="nil"/>
                    <w:bottom w:val="single" w:color="000000" w:sz="8" w:space="0"/>
                    <w:right w:val="single" w:color="000000" w:sz="8" w:space="0"/>
                  </w:tcBorders>
                  <w:noWrap w:val="0"/>
                  <w:vAlign w:val="center"/>
                </w:tcPr>
                <w:p w14:paraId="5D360A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ZH51092120004</w:t>
                  </w:r>
                </w:p>
              </w:tc>
              <w:tc>
                <w:tcPr>
                  <w:tcW w:w="1907" w:type="dxa"/>
                  <w:tcBorders>
                    <w:top w:val="single" w:color="000000" w:sz="8" w:space="0"/>
                    <w:left w:val="single" w:color="000000" w:sz="8" w:space="0"/>
                    <w:bottom w:val="single" w:color="000000" w:sz="8" w:space="0"/>
                    <w:right w:val="single" w:color="000000" w:sz="8" w:space="0"/>
                  </w:tcBorders>
                  <w:noWrap w:val="0"/>
                  <w:vAlign w:val="center"/>
                </w:tcPr>
                <w:p w14:paraId="0D6CBB6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四川蓬溪经济开发区（上游片区）</w:t>
                  </w:r>
                </w:p>
              </w:tc>
              <w:tc>
                <w:tcPr>
                  <w:tcW w:w="961" w:type="dxa"/>
                  <w:tcBorders>
                    <w:top w:val="single" w:color="000000" w:sz="8" w:space="0"/>
                    <w:left w:val="single" w:color="000000" w:sz="8" w:space="0"/>
                    <w:bottom w:val="single" w:color="000000" w:sz="8" w:space="0"/>
                    <w:right w:val="single" w:color="000000" w:sz="8" w:space="0"/>
                  </w:tcBorders>
                  <w:noWrap w:val="0"/>
                  <w:vAlign w:val="center"/>
                </w:tcPr>
                <w:p w14:paraId="0B8AF0ED">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遂宁市</w:t>
                  </w:r>
                </w:p>
              </w:tc>
              <w:tc>
                <w:tcPr>
                  <w:tcW w:w="829" w:type="dxa"/>
                  <w:tcBorders>
                    <w:top w:val="single" w:color="000000" w:sz="8" w:space="0"/>
                    <w:left w:val="single" w:color="000000" w:sz="8" w:space="0"/>
                    <w:bottom w:val="single" w:color="000000" w:sz="8" w:space="0"/>
                    <w:right w:val="single" w:color="000000" w:sz="8" w:space="0"/>
                  </w:tcBorders>
                  <w:noWrap w:val="0"/>
                  <w:vAlign w:val="center"/>
                </w:tcPr>
                <w:p w14:paraId="5BBCD52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蓬溪县</w:t>
                  </w:r>
                </w:p>
              </w:tc>
              <w:tc>
                <w:tcPr>
                  <w:tcW w:w="1216" w:type="dxa"/>
                  <w:tcBorders>
                    <w:top w:val="single" w:color="000000" w:sz="8" w:space="0"/>
                    <w:left w:val="single" w:color="000000" w:sz="8" w:space="0"/>
                    <w:bottom w:val="single" w:color="000000" w:sz="8" w:space="0"/>
                    <w:right w:val="single" w:color="000000" w:sz="8" w:space="0"/>
                  </w:tcBorders>
                  <w:noWrap w:val="0"/>
                  <w:vAlign w:val="center"/>
                </w:tcPr>
                <w:p w14:paraId="42A1CED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环境综合</w:t>
                  </w:r>
                </w:p>
              </w:tc>
              <w:tc>
                <w:tcPr>
                  <w:tcW w:w="2217" w:type="dxa"/>
                  <w:tcBorders>
                    <w:top w:val="single" w:color="000000" w:sz="8" w:space="0"/>
                    <w:left w:val="single" w:color="000000" w:sz="8" w:space="0"/>
                    <w:bottom w:val="single" w:color="000000" w:sz="8" w:space="0"/>
                    <w:right w:val="nil"/>
                  </w:tcBorders>
                  <w:noWrap w:val="0"/>
                  <w:vAlign w:val="center"/>
                </w:tcPr>
                <w:p w14:paraId="798187D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环境综合管控单元工业重点管控单元</w:t>
                  </w:r>
                </w:p>
              </w:tc>
            </w:tr>
            <w:tr w14:paraId="60A6A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9" w:hRule="atLeast"/>
              </w:trPr>
              <w:tc>
                <w:tcPr>
                  <w:tcW w:w="1427" w:type="dxa"/>
                  <w:tcBorders>
                    <w:top w:val="single" w:color="000000" w:sz="8" w:space="0"/>
                    <w:left w:val="nil"/>
                    <w:bottom w:val="single" w:color="000000" w:sz="8" w:space="0"/>
                    <w:right w:val="single" w:color="000000" w:sz="8" w:space="0"/>
                  </w:tcBorders>
                  <w:noWrap w:val="0"/>
                  <w:vAlign w:val="center"/>
                </w:tcPr>
                <w:p w14:paraId="265B380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YS5109212310003</w:t>
                  </w:r>
                </w:p>
              </w:tc>
              <w:tc>
                <w:tcPr>
                  <w:tcW w:w="1907" w:type="dxa"/>
                  <w:tcBorders>
                    <w:top w:val="single" w:color="000000" w:sz="8" w:space="0"/>
                    <w:left w:val="single" w:color="000000" w:sz="8" w:space="0"/>
                    <w:bottom w:val="single" w:color="000000" w:sz="8" w:space="0"/>
                    <w:right w:val="single" w:color="000000" w:sz="8" w:space="0"/>
                  </w:tcBorders>
                  <w:noWrap w:val="0"/>
                  <w:vAlign w:val="center"/>
                </w:tcPr>
                <w:p w14:paraId="3515469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四川蓬溪经济开发区（上游片区）</w:t>
                  </w:r>
                </w:p>
              </w:tc>
              <w:tc>
                <w:tcPr>
                  <w:tcW w:w="961" w:type="dxa"/>
                  <w:tcBorders>
                    <w:top w:val="single" w:color="000000" w:sz="8" w:space="0"/>
                    <w:left w:val="single" w:color="000000" w:sz="8" w:space="0"/>
                    <w:bottom w:val="single" w:color="000000" w:sz="8" w:space="0"/>
                    <w:right w:val="single" w:color="000000" w:sz="8" w:space="0"/>
                  </w:tcBorders>
                  <w:noWrap w:val="0"/>
                  <w:vAlign w:val="center"/>
                </w:tcPr>
                <w:p w14:paraId="03129B6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遂宁市</w:t>
                  </w:r>
                </w:p>
              </w:tc>
              <w:tc>
                <w:tcPr>
                  <w:tcW w:w="829" w:type="dxa"/>
                  <w:tcBorders>
                    <w:top w:val="single" w:color="000000" w:sz="8" w:space="0"/>
                    <w:left w:val="single" w:color="000000" w:sz="8" w:space="0"/>
                    <w:bottom w:val="single" w:color="000000" w:sz="8" w:space="0"/>
                    <w:right w:val="single" w:color="000000" w:sz="8" w:space="0"/>
                  </w:tcBorders>
                  <w:noWrap w:val="0"/>
                  <w:vAlign w:val="center"/>
                </w:tcPr>
                <w:p w14:paraId="5C925B0B">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蓬溪县</w:t>
                  </w:r>
                </w:p>
              </w:tc>
              <w:tc>
                <w:tcPr>
                  <w:tcW w:w="1216" w:type="dxa"/>
                  <w:tcBorders>
                    <w:top w:val="single" w:color="000000" w:sz="8" w:space="0"/>
                    <w:left w:val="single" w:color="000000" w:sz="8" w:space="0"/>
                    <w:bottom w:val="single" w:color="000000" w:sz="8" w:space="0"/>
                    <w:right w:val="single" w:color="000000" w:sz="8" w:space="0"/>
                  </w:tcBorders>
                  <w:noWrap w:val="0"/>
                  <w:vAlign w:val="center"/>
                </w:tcPr>
                <w:p w14:paraId="47935D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大气环境分区</w:t>
                  </w:r>
                </w:p>
              </w:tc>
              <w:tc>
                <w:tcPr>
                  <w:tcW w:w="2217" w:type="dxa"/>
                  <w:tcBorders>
                    <w:top w:val="single" w:color="000000" w:sz="8" w:space="0"/>
                    <w:left w:val="single" w:color="000000" w:sz="8" w:space="0"/>
                    <w:bottom w:val="single" w:color="000000" w:sz="8" w:space="0"/>
                    <w:right w:val="nil"/>
                  </w:tcBorders>
                  <w:noWrap w:val="0"/>
                  <w:vAlign w:val="center"/>
                </w:tcPr>
                <w:p w14:paraId="38D7E2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大气环境排放重点管控区</w:t>
                  </w:r>
                </w:p>
              </w:tc>
            </w:tr>
            <w:tr w14:paraId="48906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1427" w:type="dxa"/>
                  <w:tcBorders>
                    <w:top w:val="single" w:color="000000" w:sz="8" w:space="0"/>
                    <w:left w:val="nil"/>
                    <w:bottom w:val="single" w:color="000000" w:sz="8" w:space="0"/>
                    <w:right w:val="single" w:color="000000" w:sz="8" w:space="0"/>
                  </w:tcBorders>
                  <w:noWrap w:val="0"/>
                  <w:vAlign w:val="center"/>
                </w:tcPr>
                <w:p w14:paraId="290B266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YS5109212530001</w:t>
                  </w:r>
                </w:p>
              </w:tc>
              <w:tc>
                <w:tcPr>
                  <w:tcW w:w="1907" w:type="dxa"/>
                  <w:tcBorders>
                    <w:top w:val="single" w:color="000000" w:sz="8" w:space="0"/>
                    <w:left w:val="single" w:color="000000" w:sz="8" w:space="0"/>
                    <w:bottom w:val="single" w:color="000000" w:sz="8" w:space="0"/>
                    <w:right w:val="single" w:color="000000" w:sz="8" w:space="0"/>
                  </w:tcBorders>
                  <w:noWrap w:val="0"/>
                  <w:vAlign w:val="center"/>
                </w:tcPr>
                <w:p w14:paraId="3886E63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蓬溪县城镇开发边界</w:t>
                  </w:r>
                </w:p>
              </w:tc>
              <w:tc>
                <w:tcPr>
                  <w:tcW w:w="961" w:type="dxa"/>
                  <w:tcBorders>
                    <w:top w:val="single" w:color="000000" w:sz="8" w:space="0"/>
                    <w:left w:val="single" w:color="000000" w:sz="8" w:space="0"/>
                    <w:bottom w:val="single" w:color="000000" w:sz="8" w:space="0"/>
                    <w:right w:val="single" w:color="000000" w:sz="8" w:space="0"/>
                  </w:tcBorders>
                  <w:noWrap w:val="0"/>
                  <w:vAlign w:val="center"/>
                </w:tcPr>
                <w:p w14:paraId="7FFC3A9A">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遂宁市</w:t>
                  </w:r>
                </w:p>
              </w:tc>
              <w:tc>
                <w:tcPr>
                  <w:tcW w:w="829" w:type="dxa"/>
                  <w:tcBorders>
                    <w:top w:val="single" w:color="000000" w:sz="8" w:space="0"/>
                    <w:left w:val="single" w:color="000000" w:sz="8" w:space="0"/>
                    <w:bottom w:val="single" w:color="000000" w:sz="8" w:space="0"/>
                    <w:right w:val="single" w:color="000000" w:sz="8" w:space="0"/>
                  </w:tcBorders>
                  <w:noWrap w:val="0"/>
                  <w:vAlign w:val="center"/>
                </w:tcPr>
                <w:p w14:paraId="0E12377B">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蓬溪县</w:t>
                  </w:r>
                </w:p>
              </w:tc>
              <w:tc>
                <w:tcPr>
                  <w:tcW w:w="1216" w:type="dxa"/>
                  <w:tcBorders>
                    <w:top w:val="single" w:color="000000" w:sz="8" w:space="0"/>
                    <w:left w:val="single" w:color="000000" w:sz="8" w:space="0"/>
                    <w:bottom w:val="single" w:color="000000" w:sz="8" w:space="0"/>
                    <w:right w:val="single" w:color="000000" w:sz="8" w:space="0"/>
                  </w:tcBorders>
                  <w:noWrap w:val="0"/>
                  <w:vAlign w:val="center"/>
                </w:tcPr>
                <w:p w14:paraId="67F6548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资源利用</w:t>
                  </w:r>
                </w:p>
              </w:tc>
              <w:tc>
                <w:tcPr>
                  <w:tcW w:w="2217" w:type="dxa"/>
                  <w:tcBorders>
                    <w:top w:val="single" w:color="000000" w:sz="8" w:space="0"/>
                    <w:left w:val="single" w:color="000000" w:sz="8" w:space="0"/>
                    <w:bottom w:val="single" w:color="000000" w:sz="8" w:space="0"/>
                    <w:right w:val="nil"/>
                  </w:tcBorders>
                  <w:noWrap w:val="0"/>
                  <w:vAlign w:val="center"/>
                </w:tcPr>
                <w:p w14:paraId="37DE417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土地资源重点管控区</w:t>
                  </w:r>
                </w:p>
              </w:tc>
            </w:tr>
            <w:tr w14:paraId="3DFFB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1427" w:type="dxa"/>
                  <w:tcBorders>
                    <w:top w:val="single" w:color="000000" w:sz="8" w:space="0"/>
                    <w:left w:val="nil"/>
                    <w:bottom w:val="single" w:color="000000" w:sz="8" w:space="0"/>
                    <w:right w:val="single" w:color="000000" w:sz="8" w:space="0"/>
                  </w:tcBorders>
                  <w:noWrap w:val="0"/>
                  <w:vAlign w:val="center"/>
                </w:tcPr>
                <w:p w14:paraId="337EACF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YS5109212540002</w:t>
                  </w:r>
                </w:p>
              </w:tc>
              <w:tc>
                <w:tcPr>
                  <w:tcW w:w="1907" w:type="dxa"/>
                  <w:tcBorders>
                    <w:top w:val="single" w:color="000000" w:sz="8" w:space="0"/>
                    <w:left w:val="single" w:color="000000" w:sz="8" w:space="0"/>
                    <w:bottom w:val="single" w:color="000000" w:sz="8" w:space="0"/>
                    <w:right w:val="single" w:color="000000" w:sz="8" w:space="0"/>
                  </w:tcBorders>
                  <w:noWrap w:val="0"/>
                  <w:vAlign w:val="center"/>
                </w:tcPr>
                <w:p w14:paraId="7C357DE3">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蓬溪县上游工业园产业聚集区</w:t>
                  </w:r>
                </w:p>
              </w:tc>
              <w:tc>
                <w:tcPr>
                  <w:tcW w:w="961" w:type="dxa"/>
                  <w:tcBorders>
                    <w:top w:val="single" w:color="000000" w:sz="8" w:space="0"/>
                    <w:left w:val="single" w:color="000000" w:sz="8" w:space="0"/>
                    <w:bottom w:val="single" w:color="000000" w:sz="8" w:space="0"/>
                    <w:right w:val="single" w:color="000000" w:sz="8" w:space="0"/>
                  </w:tcBorders>
                  <w:noWrap w:val="0"/>
                  <w:vAlign w:val="center"/>
                </w:tcPr>
                <w:p w14:paraId="7463269C">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遂宁市</w:t>
                  </w:r>
                </w:p>
              </w:tc>
              <w:tc>
                <w:tcPr>
                  <w:tcW w:w="829" w:type="dxa"/>
                  <w:tcBorders>
                    <w:top w:val="single" w:color="000000" w:sz="8" w:space="0"/>
                    <w:left w:val="single" w:color="000000" w:sz="8" w:space="0"/>
                    <w:bottom w:val="single" w:color="000000" w:sz="8" w:space="0"/>
                    <w:right w:val="single" w:color="000000" w:sz="8" w:space="0"/>
                  </w:tcBorders>
                  <w:noWrap w:val="0"/>
                  <w:vAlign w:val="center"/>
                </w:tcPr>
                <w:p w14:paraId="5EFEFA7C">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蓬溪县</w:t>
                  </w:r>
                </w:p>
              </w:tc>
              <w:tc>
                <w:tcPr>
                  <w:tcW w:w="1216" w:type="dxa"/>
                  <w:tcBorders>
                    <w:top w:val="single" w:color="000000" w:sz="8" w:space="0"/>
                    <w:left w:val="single" w:color="000000" w:sz="8" w:space="0"/>
                    <w:bottom w:val="single" w:color="000000" w:sz="8" w:space="0"/>
                    <w:right w:val="single" w:color="000000" w:sz="8" w:space="0"/>
                  </w:tcBorders>
                  <w:noWrap w:val="0"/>
                  <w:vAlign w:val="center"/>
                </w:tcPr>
                <w:p w14:paraId="319994E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资源利用</w:t>
                  </w:r>
                </w:p>
              </w:tc>
              <w:tc>
                <w:tcPr>
                  <w:tcW w:w="2217" w:type="dxa"/>
                  <w:tcBorders>
                    <w:top w:val="single" w:color="000000" w:sz="8" w:space="0"/>
                    <w:left w:val="single" w:color="000000" w:sz="8" w:space="0"/>
                    <w:bottom w:val="single" w:color="000000" w:sz="8" w:space="0"/>
                    <w:right w:val="nil"/>
                  </w:tcBorders>
                  <w:noWrap w:val="0"/>
                  <w:vAlign w:val="center"/>
                </w:tcPr>
                <w:p w14:paraId="5A78610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高污染燃料禁燃区</w:t>
                  </w:r>
                </w:p>
              </w:tc>
            </w:tr>
            <w:tr w14:paraId="2B59F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1427" w:type="dxa"/>
                  <w:tcBorders>
                    <w:top w:val="single" w:color="000000" w:sz="8" w:space="0"/>
                    <w:left w:val="nil"/>
                    <w:bottom w:val="single" w:color="000000" w:sz="12" w:space="0"/>
                    <w:right w:val="single" w:color="000000" w:sz="8" w:space="0"/>
                  </w:tcBorders>
                  <w:noWrap w:val="0"/>
                  <w:vAlign w:val="center"/>
                </w:tcPr>
                <w:p w14:paraId="0B7A906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YS5109212550001</w:t>
                  </w:r>
                </w:p>
              </w:tc>
              <w:tc>
                <w:tcPr>
                  <w:tcW w:w="1907" w:type="dxa"/>
                  <w:tcBorders>
                    <w:top w:val="single" w:color="000000" w:sz="8" w:space="0"/>
                    <w:left w:val="single" w:color="000000" w:sz="8" w:space="0"/>
                    <w:bottom w:val="single" w:color="000000" w:sz="12" w:space="0"/>
                    <w:right w:val="single" w:color="000000" w:sz="8" w:space="0"/>
                  </w:tcBorders>
                  <w:noWrap w:val="0"/>
                  <w:vAlign w:val="center"/>
                </w:tcPr>
                <w:p w14:paraId="5401A1BD">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蓬溪县自然资源重点管控区</w:t>
                  </w:r>
                </w:p>
              </w:tc>
              <w:tc>
                <w:tcPr>
                  <w:tcW w:w="961" w:type="dxa"/>
                  <w:tcBorders>
                    <w:top w:val="single" w:color="000000" w:sz="8" w:space="0"/>
                    <w:left w:val="single" w:color="000000" w:sz="8" w:space="0"/>
                    <w:bottom w:val="single" w:color="000000" w:sz="12" w:space="0"/>
                    <w:right w:val="single" w:color="000000" w:sz="8" w:space="0"/>
                  </w:tcBorders>
                  <w:noWrap w:val="0"/>
                  <w:vAlign w:val="center"/>
                </w:tcPr>
                <w:p w14:paraId="5B9A2EE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遂宁市</w:t>
                  </w:r>
                </w:p>
              </w:tc>
              <w:tc>
                <w:tcPr>
                  <w:tcW w:w="829" w:type="dxa"/>
                  <w:tcBorders>
                    <w:top w:val="single" w:color="000000" w:sz="8" w:space="0"/>
                    <w:left w:val="single" w:color="000000" w:sz="8" w:space="0"/>
                    <w:bottom w:val="single" w:color="000000" w:sz="12" w:space="0"/>
                    <w:right w:val="single" w:color="000000" w:sz="8" w:space="0"/>
                  </w:tcBorders>
                  <w:noWrap w:val="0"/>
                  <w:vAlign w:val="center"/>
                </w:tcPr>
                <w:p w14:paraId="4C95C78D">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蓬溪县</w:t>
                  </w:r>
                </w:p>
              </w:tc>
              <w:tc>
                <w:tcPr>
                  <w:tcW w:w="1216" w:type="dxa"/>
                  <w:tcBorders>
                    <w:top w:val="single" w:color="000000" w:sz="8" w:space="0"/>
                    <w:left w:val="single" w:color="000000" w:sz="8" w:space="0"/>
                    <w:bottom w:val="single" w:color="000000" w:sz="12" w:space="0"/>
                    <w:right w:val="single" w:color="000000" w:sz="8" w:space="0"/>
                  </w:tcBorders>
                  <w:noWrap w:val="0"/>
                  <w:vAlign w:val="center"/>
                </w:tcPr>
                <w:p w14:paraId="3EA0FDF0">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资源利用</w:t>
                  </w:r>
                </w:p>
              </w:tc>
              <w:tc>
                <w:tcPr>
                  <w:tcW w:w="2217" w:type="dxa"/>
                  <w:tcBorders>
                    <w:top w:val="single" w:color="000000" w:sz="8" w:space="0"/>
                    <w:left w:val="single" w:color="000000" w:sz="8" w:space="0"/>
                    <w:bottom w:val="single" w:color="000000" w:sz="12" w:space="0"/>
                    <w:right w:val="nil"/>
                  </w:tcBorders>
                  <w:noWrap w:val="0"/>
                  <w:vAlign w:val="center"/>
                </w:tcPr>
                <w:p w14:paraId="23F8CFD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自然资源重点管控区</w:t>
                  </w:r>
                </w:p>
              </w:tc>
            </w:tr>
          </w:tbl>
          <w:p w14:paraId="5CE216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sz w:val="21"/>
              </w:rPr>
              <mc:AlternateContent>
                <mc:Choice Requires="wps">
                  <w:drawing>
                    <wp:anchor distT="0" distB="0" distL="114300" distR="114300" simplePos="0" relativeHeight="251661312" behindDoc="0" locked="0" layoutInCell="1" allowOverlap="1">
                      <wp:simplePos x="0" y="0"/>
                      <wp:positionH relativeFrom="column">
                        <wp:posOffset>2101850</wp:posOffset>
                      </wp:positionH>
                      <wp:positionV relativeFrom="paragraph">
                        <wp:posOffset>906780</wp:posOffset>
                      </wp:positionV>
                      <wp:extent cx="944245" cy="288925"/>
                      <wp:effectExtent l="12700" t="12700" r="18415" b="414655"/>
                      <wp:wrapNone/>
                      <wp:docPr id="3" name="矩形标注 3"/>
                      <wp:cNvGraphicFramePr/>
                      <a:graphic xmlns:a="http://schemas.openxmlformats.org/drawingml/2006/main">
                        <a:graphicData uri="http://schemas.microsoft.com/office/word/2010/wordprocessingShape">
                          <wps:wsp>
                            <wps:cNvSpPr/>
                            <wps:spPr>
                              <a:xfrm>
                                <a:off x="3151505" y="2168525"/>
                                <a:ext cx="944245" cy="288925"/>
                              </a:xfrm>
                              <a:prstGeom prst="wedgeRectCallout">
                                <a:avLst>
                                  <a:gd name="adj1" fmla="val 37760"/>
                                  <a:gd name="adj2" fmla="val 185824"/>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9EEF125">
                                  <w:pPr>
                                    <w:jc w:val="center"/>
                                    <w:rPr>
                                      <w:rFonts w:hint="default" w:eastAsia="宋体"/>
                                      <w:lang w:val="en-US" w:eastAsia="zh-CN"/>
                                    </w:rPr>
                                  </w:pPr>
                                  <w:r>
                                    <w:rPr>
                                      <w:rFonts w:hint="eastAsia"/>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5.5pt;margin-top:71.4pt;height:22.75pt;width:74.35pt;z-index:251661312;v-text-anchor:middle;mso-width-relative:page;mso-height-relative:page;" filled="f" stroked="t" coordsize="21600,21600" o:gfxdata="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vuX5E2gAAAAsBAAAPAAAAAAAAAAEAIAAAACIAAABkcnMvZG93bnJl&#10;di54bWxQSwECFAAUAAAACACHTuJAzFWlN6YCAAAuBQAADgAAAAAAAAABACAAAAApAQAAZHJzL2Uy&#10;b0RvYy54bWxQSwUGAAAAAAYABgBZAQAAQQYAAAAA&#10;" adj="18956,50938">
                      <v:fill on="f" focussize="0,0"/>
                      <v:stroke weight="2pt" color="#FF0000 [2404]" joinstyle="round"/>
                      <v:imagedata o:title=""/>
                      <o:lock v:ext="edit" aspectratio="f"/>
                      <v:textbox>
                        <w:txbxContent>
                          <w:p w14:paraId="19EEF125">
                            <w:pPr>
                              <w:jc w:val="center"/>
                              <w:rPr>
                                <w:rFonts w:hint="default" w:eastAsia="宋体"/>
                                <w:lang w:val="en-US" w:eastAsia="zh-CN"/>
                              </w:rPr>
                            </w:pPr>
                            <w:r>
                              <w:rPr>
                                <w:rFonts w:hint="eastAsia"/>
                                <w:color w:val="FF0000"/>
                                <w:lang w:val="en-US" w:eastAsia="zh-CN"/>
                              </w:rPr>
                              <w:t>项目所在地</w:t>
                            </w:r>
                          </w:p>
                        </w:txbxContent>
                      </v:textbox>
                    </v:shape>
                  </w:pict>
                </mc:Fallback>
              </mc:AlternateContent>
            </w:r>
            <w:r>
              <w:rPr>
                <w:rFonts w:ascii="宋体" w:hAnsi="宋体" w:eastAsia="宋体" w:cs="宋体"/>
                <w:sz w:val="24"/>
                <w:szCs w:val="24"/>
              </w:rPr>
              <w:fldChar w:fldCharType="begin"/>
            </w:r>
            <w:r>
              <w:rPr>
                <w:rFonts w:ascii="宋体" w:hAnsi="宋体" w:eastAsia="宋体" w:cs="宋体"/>
                <w:sz w:val="24"/>
                <w:szCs w:val="24"/>
              </w:rPr>
              <w:instrText xml:space="preserve">INCLUDEPICTURE \d "https://inews.gtimg.com/newsapp_bt/0/13713914578/1000"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951730" cy="3500120"/>
                  <wp:effectExtent l="0" t="0" r="1270" b="5080"/>
                  <wp:docPr id="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56"/>
                          <pic:cNvPicPr>
                            <a:picLocks noChangeAspect="1"/>
                          </pic:cNvPicPr>
                        </pic:nvPicPr>
                        <pic:blipFill>
                          <a:blip r:embed="rId9"/>
                          <a:stretch>
                            <a:fillRect/>
                          </a:stretch>
                        </pic:blipFill>
                        <pic:spPr>
                          <a:xfrm>
                            <a:off x="0" y="0"/>
                            <a:ext cx="4951730" cy="3500120"/>
                          </a:xfrm>
                          <a:prstGeom prst="rect">
                            <a:avLst/>
                          </a:prstGeom>
                          <a:noFill/>
                          <a:ln>
                            <a:noFill/>
                          </a:ln>
                        </pic:spPr>
                      </pic:pic>
                    </a:graphicData>
                  </a:graphic>
                </wp:inline>
              </w:drawing>
            </w:r>
            <w:r>
              <w:rPr>
                <w:rFonts w:ascii="宋体" w:hAnsi="宋体" w:eastAsia="宋体" w:cs="宋体"/>
                <w:sz w:val="24"/>
                <w:szCs w:val="24"/>
              </w:rPr>
              <w:fldChar w:fldCharType="end"/>
            </w:r>
          </w:p>
          <w:p w14:paraId="68A77CDB">
            <w:pPr>
              <w:pStyle w:val="5"/>
              <w:spacing w:line="360" w:lineRule="auto"/>
              <w:jc w:val="center"/>
            </w:pPr>
            <w:r>
              <w:rPr>
                <w:rFonts w:hint="default" w:ascii="Times New Roman" w:hAnsi="Times New Roman" w:cs="Times New Roman"/>
                <w:b/>
                <w:bCs/>
                <w:color w:val="auto"/>
                <w:kern w:val="0"/>
                <w:sz w:val="21"/>
                <w:szCs w:val="18"/>
                <w:lang w:bidi="ar"/>
              </w:rPr>
              <w:t>图1-</w:t>
            </w:r>
            <w:r>
              <w:rPr>
                <w:rFonts w:hint="default" w:ascii="Times New Roman" w:hAnsi="Times New Roman" w:cs="Times New Roman"/>
                <w:b/>
                <w:bCs/>
                <w:color w:val="auto"/>
                <w:kern w:val="0"/>
                <w:sz w:val="21"/>
                <w:szCs w:val="18"/>
                <w:lang w:val="en-US" w:eastAsia="zh-CN" w:bidi="ar"/>
              </w:rPr>
              <w:t>2</w:t>
            </w:r>
            <w:r>
              <w:rPr>
                <w:rFonts w:hint="default" w:ascii="Times New Roman" w:hAnsi="Times New Roman" w:cs="Times New Roman"/>
                <w:b/>
                <w:bCs/>
                <w:color w:val="auto"/>
                <w:kern w:val="0"/>
                <w:sz w:val="21"/>
                <w:szCs w:val="18"/>
                <w:lang w:bidi="ar"/>
              </w:rPr>
              <w:t>本</w:t>
            </w:r>
            <w:r>
              <w:rPr>
                <w:rFonts w:hint="eastAsia" w:ascii="宋体" w:hAnsi="宋体" w:cs="宋体"/>
                <w:b/>
                <w:bCs/>
                <w:color w:val="auto"/>
                <w:kern w:val="0"/>
                <w:sz w:val="21"/>
                <w:szCs w:val="18"/>
                <w:lang w:bidi="ar"/>
              </w:rPr>
              <w:t>项目</w:t>
            </w:r>
            <w:r>
              <w:rPr>
                <w:rFonts w:ascii="宋体" w:hAnsi="宋体" w:cs="宋体"/>
                <w:b/>
                <w:bCs/>
                <w:color w:val="auto"/>
                <w:kern w:val="0"/>
                <w:sz w:val="21"/>
                <w:szCs w:val="18"/>
                <w:lang w:bidi="ar"/>
              </w:rPr>
              <w:t>与</w:t>
            </w:r>
            <w:r>
              <w:rPr>
                <w:rFonts w:hint="eastAsia" w:ascii="宋体" w:hAnsi="宋体" w:cs="宋体"/>
                <w:b/>
                <w:bCs/>
                <w:color w:val="auto"/>
                <w:kern w:val="0"/>
                <w:sz w:val="21"/>
                <w:szCs w:val="18"/>
                <w:lang w:val="en-US" w:eastAsia="zh-CN" w:bidi="ar"/>
              </w:rPr>
              <w:t>遂宁市环境</w:t>
            </w:r>
            <w:r>
              <w:rPr>
                <w:rFonts w:ascii="宋体" w:hAnsi="宋体" w:cs="宋体"/>
                <w:b/>
                <w:bCs/>
                <w:color w:val="auto"/>
                <w:kern w:val="0"/>
                <w:sz w:val="21"/>
                <w:szCs w:val="18"/>
                <w:lang w:bidi="ar"/>
              </w:rPr>
              <w:t>管控单</w:t>
            </w:r>
            <w:r>
              <w:rPr>
                <w:rFonts w:hint="eastAsia" w:ascii="宋体" w:hAnsi="宋体" w:cs="宋体"/>
                <w:b/>
                <w:bCs/>
                <w:color w:val="auto"/>
                <w:kern w:val="0"/>
                <w:sz w:val="21"/>
                <w:szCs w:val="18"/>
                <w:lang w:val="en-US" w:eastAsia="zh-CN" w:bidi="ar"/>
              </w:rPr>
              <w:t>元相对位置</w:t>
            </w:r>
          </w:p>
          <w:p w14:paraId="790B9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kern w:val="2"/>
                <w:sz w:val="21"/>
                <w:szCs w:val="21"/>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1690370</wp:posOffset>
                      </wp:positionH>
                      <wp:positionV relativeFrom="paragraph">
                        <wp:posOffset>1066800</wp:posOffset>
                      </wp:positionV>
                      <wp:extent cx="944245" cy="288925"/>
                      <wp:effectExtent l="12700" t="12700" r="18415" b="414655"/>
                      <wp:wrapNone/>
                      <wp:docPr id="24" name="矩形标注 24"/>
                      <wp:cNvGraphicFramePr/>
                      <a:graphic xmlns:a="http://schemas.openxmlformats.org/drawingml/2006/main">
                        <a:graphicData uri="http://schemas.microsoft.com/office/word/2010/wordprocessingShape">
                          <wps:wsp>
                            <wps:cNvSpPr/>
                            <wps:spPr>
                              <a:xfrm>
                                <a:off x="0" y="0"/>
                                <a:ext cx="944245" cy="288925"/>
                              </a:xfrm>
                              <a:prstGeom prst="wedgeRectCallout">
                                <a:avLst>
                                  <a:gd name="adj1" fmla="val 37760"/>
                                  <a:gd name="adj2" fmla="val 185824"/>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6E1AEDD">
                                  <w:pPr>
                                    <w:jc w:val="center"/>
                                    <w:rPr>
                                      <w:rFonts w:hint="default" w:eastAsia="宋体"/>
                                      <w:lang w:val="en-US" w:eastAsia="zh-CN"/>
                                    </w:rPr>
                                  </w:pPr>
                                  <w:r>
                                    <w:rPr>
                                      <w:rFonts w:hint="eastAsia"/>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3.1pt;margin-top:84pt;height:22.75pt;width:74.35pt;z-index:251671552;v-text-anchor:middle;mso-width-relative:page;mso-height-relative:page;" filled="f" stroked="t" coordsize="21600,21600" o:gfxdata="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xEHI72gAAAAsBAAAPAAAAAAAAAAEAIAAAACIAAABkcnMvZG93bnJldi54bWxQSwEC&#10;FAAUAAAACACHTuJAJJh2Gp0CAAAkBQAADgAAAAAAAAABACAAAAApAQAAZHJzL2Uyb0RvYy54bWxQ&#10;SwUGAAAAAAYABgBZAQAAOAYAAAAA&#10;" adj="18956,50938">
                      <v:fill on="f" focussize="0,0"/>
                      <v:stroke weight="2pt" color="#FF0000 [2404]" joinstyle="round"/>
                      <v:imagedata o:title=""/>
                      <o:lock v:ext="edit" aspectratio="f"/>
                      <v:textbox>
                        <w:txbxContent>
                          <w:p w14:paraId="16E1AEDD">
                            <w:pPr>
                              <w:jc w:val="center"/>
                              <w:rPr>
                                <w:rFonts w:hint="default" w:eastAsia="宋体"/>
                                <w:lang w:val="en-US" w:eastAsia="zh-CN"/>
                              </w:rPr>
                            </w:pPr>
                            <w:r>
                              <w:rPr>
                                <w:rFonts w:hint="eastAsia"/>
                                <w:color w:val="FF0000"/>
                                <w:lang w:val="en-US" w:eastAsia="zh-CN"/>
                              </w:rPr>
                              <w:t>项目所在地</w:t>
                            </w:r>
                          </w:p>
                        </w:txbxContent>
                      </v:textbox>
                    </v:shape>
                  </w:pict>
                </mc:Fallback>
              </mc:AlternateContent>
            </w:r>
            <w:r>
              <w:drawing>
                <wp:inline distT="0" distB="0" distL="114300" distR="114300">
                  <wp:extent cx="5385435" cy="3514725"/>
                  <wp:effectExtent l="9525" t="9525" r="1524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385435" cy="351472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83192C8">
            <w:pPr>
              <w:pStyle w:val="69"/>
              <w:spacing w:line="360" w:lineRule="auto"/>
              <w:ind w:left="0" w:leftChars="0" w:firstLine="0" w:firstLineChars="0"/>
              <w:jc w:val="center"/>
              <w:rPr>
                <w:rFonts w:hint="default" w:ascii="宋体" w:hAnsi="宋体" w:eastAsia="宋体" w:cs="宋体"/>
                <w:b/>
                <w:bCs/>
                <w:color w:val="auto"/>
                <w:kern w:val="0"/>
                <w:sz w:val="21"/>
                <w:szCs w:val="21"/>
                <w:highlight w:val="none"/>
                <w:lang w:val="en-US" w:eastAsia="zh-CN"/>
              </w:rPr>
            </w:pPr>
            <w:r>
              <w:rPr>
                <w:rFonts w:hint="eastAsia" w:ascii="宋体" w:hAnsi="宋体" w:eastAsia="宋体" w:cs="宋体"/>
                <w:b/>
                <w:bCs/>
                <w:sz w:val="21"/>
                <w:szCs w:val="21"/>
              </w:rPr>
              <w:t>图</w:t>
            </w:r>
            <w:r>
              <w:rPr>
                <w:rFonts w:hint="default" w:ascii="Times New Roman" w:hAnsi="Times New Roman" w:eastAsia="宋体" w:cs="Times New Roman"/>
                <w:b/>
                <w:bCs/>
                <w:sz w:val="21"/>
                <w:szCs w:val="21"/>
              </w:rPr>
              <w:t>1-</w:t>
            </w:r>
            <w:r>
              <w:rPr>
                <w:rFonts w:hint="eastAsia" w:ascii="Times New Roman" w:hAnsi="Times New Roman" w:cs="Times New Roman"/>
                <w:b/>
                <w:bCs/>
                <w:sz w:val="21"/>
                <w:szCs w:val="21"/>
                <w:lang w:val="en-US" w:eastAsia="zh-CN"/>
              </w:rPr>
              <w:t>3</w:t>
            </w:r>
            <w:r>
              <w:rPr>
                <w:rFonts w:hint="eastAsia" w:ascii="宋体" w:hAnsi="宋体" w:eastAsia="宋体" w:cs="宋体"/>
                <w:b/>
                <w:bCs/>
                <w:sz w:val="21"/>
                <w:szCs w:val="21"/>
              </w:rPr>
              <w:t>项目与</w:t>
            </w:r>
            <w:r>
              <w:rPr>
                <w:rFonts w:hint="eastAsia" w:ascii="宋体" w:hAnsi="宋体" w:eastAsia="宋体" w:cs="宋体"/>
                <w:b/>
                <w:bCs/>
                <w:sz w:val="21"/>
                <w:szCs w:val="21"/>
                <w:lang w:val="en-US" w:eastAsia="zh-CN"/>
              </w:rPr>
              <w:t>生态</w:t>
            </w:r>
            <w:r>
              <w:rPr>
                <w:rFonts w:hint="eastAsia" w:ascii="宋体" w:hAnsi="宋体" w:eastAsia="宋体" w:cs="宋体"/>
                <w:b/>
                <w:bCs/>
                <w:color w:val="000000"/>
                <w:sz w:val="21"/>
                <w:szCs w:val="21"/>
                <w:lang w:val="en-US" w:eastAsia="zh-CN"/>
              </w:rPr>
              <w:t>红线</w:t>
            </w:r>
            <w:r>
              <w:rPr>
                <w:rFonts w:hint="eastAsia" w:ascii="宋体" w:hAnsi="宋体" w:eastAsia="宋体" w:cs="宋体"/>
                <w:b/>
                <w:bCs/>
                <w:color w:val="000000"/>
                <w:sz w:val="21"/>
                <w:szCs w:val="21"/>
              </w:rPr>
              <w:t>的位置关系图</w:t>
            </w:r>
          </w:p>
          <w:p w14:paraId="1D9733E7">
            <w:pPr>
              <w:pStyle w:val="69"/>
              <w:spacing w:line="240" w:lineRule="auto"/>
              <w:ind w:firstLine="201" w:firstLineChars="0"/>
              <w:jc w:val="center"/>
              <w:rPr>
                <w:rFonts w:hint="eastAsia" w:ascii="宋体" w:hAnsi="宋体" w:eastAsia="宋体" w:cs="宋体"/>
                <w:b/>
                <w:bCs/>
                <w:sz w:val="21"/>
                <w:szCs w:val="21"/>
              </w:rPr>
            </w:pPr>
            <w:r>
              <w:rPr>
                <w:rFonts w:hint="default" w:ascii="Helvetica" w:hAnsi="Helvetica" w:eastAsia="Helvetica"/>
                <w:sz w:val="28"/>
                <w:szCs w:val="24"/>
              </w:rPr>
              <w:drawing>
                <wp:inline distT="0" distB="0" distL="114300" distR="114300">
                  <wp:extent cx="4806315" cy="339852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4806315" cy="3398520"/>
                          </a:xfrm>
                          <a:prstGeom prst="rect">
                            <a:avLst/>
                          </a:prstGeom>
                          <a:noFill/>
                          <a:ln>
                            <a:noFill/>
                          </a:ln>
                        </pic:spPr>
                      </pic:pic>
                    </a:graphicData>
                  </a:graphic>
                </wp:inline>
              </w:drawing>
            </w:r>
          </w:p>
          <w:p w14:paraId="5E05939E">
            <w:pPr>
              <w:pStyle w:val="69"/>
              <w:spacing w:line="360" w:lineRule="auto"/>
              <w:ind w:firstLine="201" w:firstLineChars="0"/>
              <w:jc w:val="center"/>
              <w:rPr>
                <w:rFonts w:hint="default" w:ascii="Times New Roman" w:hAnsi="Times New Roman" w:cs="Times New Roman"/>
                <w:sz w:val="21"/>
                <w:szCs w:val="21"/>
                <w:lang w:val="en-US" w:eastAsia="zh-CN"/>
              </w:rPr>
            </w:pPr>
            <w:r>
              <w:rPr>
                <w:rFonts w:hint="eastAsia" w:ascii="宋体" w:hAnsi="宋体" w:eastAsia="宋体" w:cs="宋体"/>
                <w:b/>
                <w:bCs/>
                <w:sz w:val="21"/>
                <w:szCs w:val="21"/>
              </w:rPr>
              <w:t>图</w:t>
            </w:r>
            <w:r>
              <w:rPr>
                <w:rFonts w:hint="default" w:ascii="Times New Roman" w:hAnsi="Times New Roman" w:eastAsia="宋体" w:cs="Times New Roman"/>
                <w:b/>
                <w:bCs/>
                <w:sz w:val="21"/>
                <w:szCs w:val="21"/>
              </w:rPr>
              <w:t>1-</w:t>
            </w:r>
            <w:r>
              <w:rPr>
                <w:rFonts w:hint="eastAsia" w:ascii="Times New Roman" w:hAnsi="Times New Roman" w:cs="Times New Roman"/>
                <w:b/>
                <w:bCs/>
                <w:sz w:val="21"/>
                <w:szCs w:val="21"/>
                <w:lang w:val="en-US" w:eastAsia="zh-CN"/>
              </w:rPr>
              <w:t>4</w:t>
            </w:r>
            <w:r>
              <w:rPr>
                <w:rFonts w:hint="eastAsia" w:ascii="宋体" w:hAnsi="宋体" w:eastAsia="宋体" w:cs="宋体"/>
                <w:b/>
                <w:bCs/>
                <w:sz w:val="21"/>
                <w:szCs w:val="21"/>
              </w:rPr>
              <w:t>项目与管控单元的位置关系图</w:t>
            </w:r>
            <w:r>
              <w:rPr>
                <w:rFonts w:hint="eastAsia" w:ascii="宋体" w:hAnsi="宋体" w:eastAsia="宋体" w:cs="宋体"/>
                <w:sz w:val="21"/>
                <w:szCs w:val="21"/>
                <w:lang w:val="en-US" w:eastAsia="zh-CN"/>
              </w:rPr>
              <w:t>（图中</w:t>
            </w:r>
            <w:r>
              <w:rPr>
                <w:rFonts w:hint="eastAsia" w:ascii="宋体" w:hAnsi="宋体" w:eastAsia="宋体" w:cs="宋体"/>
                <w:color w:val="00FFFF"/>
                <w:sz w:val="21"/>
                <w:szCs w:val="21"/>
              </w:rPr>
              <w:t>▼</w:t>
            </w:r>
            <w:r>
              <w:rPr>
                <w:rFonts w:hint="eastAsia" w:ascii="宋体" w:hAnsi="宋体" w:eastAsia="宋体" w:cs="宋体"/>
                <w:sz w:val="21"/>
                <w:szCs w:val="21"/>
                <w:lang w:val="en-US" w:eastAsia="zh-CN"/>
              </w:rPr>
              <w:t>表示项目位置）</w:t>
            </w:r>
          </w:p>
        </w:tc>
      </w:tr>
    </w:tbl>
    <w:p w14:paraId="224CBBC0">
      <w:pPr>
        <w:spacing w:line="360" w:lineRule="auto"/>
        <w:outlineLvl w:val="9"/>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B541B7E">
      <w:pPr>
        <w:bidi w:val="0"/>
        <w:spacing w:line="360" w:lineRule="auto"/>
        <w:rPr>
          <w:rFonts w:hint="eastAsia"/>
        </w:rPr>
      </w:pPr>
      <w:r>
        <w:rPr>
          <w:rFonts w:hint="eastAsia"/>
        </w:rPr>
        <w:t>项目与</w:t>
      </w:r>
      <w:r>
        <w:rPr>
          <w:rFonts w:hint="eastAsia"/>
          <w:lang w:eastAsia="zh-CN"/>
        </w:rPr>
        <w:t>“</w:t>
      </w:r>
      <w:r>
        <w:rPr>
          <w:rFonts w:hint="eastAsia"/>
        </w:rPr>
        <w:t>三线一单</w:t>
      </w:r>
      <w:r>
        <w:rPr>
          <w:rFonts w:hint="eastAsia"/>
          <w:lang w:eastAsia="zh-CN"/>
        </w:rPr>
        <w:t>”</w:t>
      </w:r>
      <w:r>
        <w:rPr>
          <w:rFonts w:hint="eastAsia"/>
        </w:rPr>
        <w:t>相关要求的符合性分析要点如下：</w:t>
      </w:r>
    </w:p>
    <w:p w14:paraId="426CCAA1">
      <w:pPr>
        <w:bidi w:val="0"/>
        <w:jc w:val="center"/>
        <w:rPr>
          <w:rFonts w:hint="default"/>
          <w:b/>
          <w:bCs/>
          <w:lang w:val="en-US" w:eastAsia="zh-CN"/>
        </w:rPr>
      </w:pPr>
      <w:r>
        <w:rPr>
          <w:rFonts w:hint="eastAsia"/>
          <w:b/>
          <w:bCs/>
          <w:lang w:val="en-US" w:eastAsia="zh-CN"/>
        </w:rPr>
        <w:t>表1-5 “三线一单”符合性分析</w:t>
      </w:r>
    </w:p>
    <w:tbl>
      <w:tblPr>
        <w:tblStyle w:val="28"/>
        <w:tblW w:w="506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682"/>
        <w:gridCol w:w="1248"/>
        <w:gridCol w:w="7990"/>
        <w:gridCol w:w="1910"/>
        <w:gridCol w:w="920"/>
      </w:tblGrid>
      <w:tr w14:paraId="565753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007" w:type="dxa"/>
            <w:gridSpan w:val="3"/>
            <w:tcBorders>
              <w:tl2br w:val="nil"/>
              <w:tr2bl w:val="nil"/>
            </w:tcBorders>
            <w:noWrap w:val="0"/>
            <w:vAlign w:val="center"/>
          </w:tcPr>
          <w:p w14:paraId="4C7815E0">
            <w:pPr>
              <w:jc w:val="center"/>
              <w:rPr>
                <w:rFonts w:hint="eastAsia" w:ascii="宋体" w:hAnsi="宋体" w:eastAsia="宋体" w:cs="宋体"/>
                <w:b/>
                <w:bCs/>
                <w:color w:val="000000"/>
                <w:sz w:val="21"/>
                <w:szCs w:val="21"/>
                <w:vertAlign w:val="baseline"/>
                <w:lang w:eastAsia="zh-CN"/>
              </w:rPr>
            </w:pPr>
            <w:r>
              <w:rPr>
                <w:rFonts w:hint="eastAsia" w:ascii="宋体" w:hAnsi="宋体" w:eastAsia="宋体" w:cs="宋体"/>
                <w:b/>
                <w:bCs/>
                <w:color w:val="000000"/>
                <w:sz w:val="21"/>
                <w:szCs w:val="21"/>
                <w:vertAlign w:val="baseline"/>
                <w:lang w:eastAsia="zh-CN"/>
              </w:rPr>
              <w:t>类别</w:t>
            </w:r>
          </w:p>
        </w:tc>
        <w:tc>
          <w:tcPr>
            <w:tcW w:w="7990" w:type="dxa"/>
            <w:tcBorders>
              <w:tl2br w:val="nil"/>
              <w:tr2bl w:val="nil"/>
            </w:tcBorders>
            <w:noWrap w:val="0"/>
            <w:vAlign w:val="center"/>
          </w:tcPr>
          <w:p w14:paraId="14262496">
            <w:pPr>
              <w:jc w:val="center"/>
              <w:rPr>
                <w:rFonts w:hint="eastAsia" w:ascii="宋体" w:hAnsi="宋体" w:eastAsia="宋体" w:cs="宋体"/>
                <w:b/>
                <w:bCs/>
                <w:color w:val="000000"/>
                <w:sz w:val="21"/>
                <w:szCs w:val="21"/>
                <w:vertAlign w:val="baseline"/>
                <w:lang w:eastAsia="zh-CN"/>
              </w:rPr>
            </w:pPr>
            <w:r>
              <w:rPr>
                <w:rFonts w:hint="eastAsia" w:ascii="宋体" w:hAnsi="宋体" w:eastAsia="宋体" w:cs="宋体"/>
                <w:b/>
                <w:bCs/>
                <w:color w:val="000000"/>
                <w:sz w:val="21"/>
                <w:szCs w:val="21"/>
                <w:vertAlign w:val="baseline"/>
                <w:lang w:eastAsia="zh-CN"/>
              </w:rPr>
              <w:t>管控要求</w:t>
            </w:r>
          </w:p>
        </w:tc>
        <w:tc>
          <w:tcPr>
            <w:tcW w:w="1910" w:type="dxa"/>
            <w:tcBorders>
              <w:tl2br w:val="nil"/>
              <w:tr2bl w:val="nil"/>
            </w:tcBorders>
            <w:noWrap w:val="0"/>
            <w:vAlign w:val="center"/>
          </w:tcPr>
          <w:p w14:paraId="5E56FB6B">
            <w:pPr>
              <w:jc w:val="center"/>
              <w:rPr>
                <w:rFonts w:hint="eastAsia" w:ascii="宋体" w:hAnsi="宋体" w:eastAsia="宋体" w:cs="宋体"/>
                <w:b/>
                <w:bCs/>
                <w:color w:val="000000"/>
                <w:sz w:val="21"/>
                <w:szCs w:val="21"/>
                <w:vertAlign w:val="baseline"/>
                <w:lang w:eastAsia="zh-CN"/>
              </w:rPr>
            </w:pPr>
            <w:r>
              <w:rPr>
                <w:rFonts w:hint="eastAsia" w:ascii="宋体" w:hAnsi="宋体" w:eastAsia="宋体" w:cs="宋体"/>
                <w:b/>
                <w:bCs/>
                <w:color w:val="000000"/>
                <w:sz w:val="21"/>
                <w:szCs w:val="21"/>
                <w:vertAlign w:val="baseline"/>
                <w:lang w:eastAsia="zh-CN"/>
              </w:rPr>
              <w:t>本项目情况</w:t>
            </w:r>
          </w:p>
        </w:tc>
        <w:tc>
          <w:tcPr>
            <w:tcW w:w="920" w:type="dxa"/>
            <w:tcBorders>
              <w:tl2br w:val="nil"/>
              <w:tr2bl w:val="nil"/>
            </w:tcBorders>
            <w:noWrap w:val="0"/>
            <w:vAlign w:val="center"/>
          </w:tcPr>
          <w:p w14:paraId="28CF8E89">
            <w:pPr>
              <w:jc w:val="center"/>
              <w:rPr>
                <w:rFonts w:hint="eastAsia" w:ascii="宋体" w:hAnsi="宋体" w:eastAsia="宋体" w:cs="宋体"/>
                <w:b/>
                <w:bCs/>
                <w:color w:val="000000"/>
                <w:sz w:val="21"/>
                <w:szCs w:val="21"/>
                <w:vertAlign w:val="baseline"/>
                <w:lang w:eastAsia="zh-CN"/>
              </w:rPr>
            </w:pPr>
            <w:r>
              <w:rPr>
                <w:rFonts w:hint="eastAsia" w:ascii="宋体" w:hAnsi="宋体" w:eastAsia="宋体" w:cs="宋体"/>
                <w:b/>
                <w:bCs/>
                <w:color w:val="000000"/>
                <w:sz w:val="21"/>
                <w:szCs w:val="21"/>
                <w:vertAlign w:val="baseline"/>
                <w:lang w:eastAsia="zh-CN"/>
              </w:rPr>
              <w:t>符合性</w:t>
            </w:r>
          </w:p>
        </w:tc>
      </w:tr>
      <w:tr w14:paraId="5AF89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7" w:hRule="atLeast"/>
          <w:jc w:val="center"/>
        </w:trPr>
        <w:tc>
          <w:tcPr>
            <w:tcW w:w="1077" w:type="dxa"/>
            <w:vMerge w:val="restart"/>
            <w:tcBorders>
              <w:tl2br w:val="nil"/>
              <w:tr2bl w:val="nil"/>
            </w:tcBorders>
            <w:noWrap w:val="0"/>
            <w:vAlign w:val="center"/>
          </w:tcPr>
          <w:p w14:paraId="16FACAF1">
            <w:pPr>
              <w:jc w:val="both"/>
              <w:rPr>
                <w:rFonts w:hint="default" w:ascii="Times New Roman" w:hAnsi="Times New Roman" w:eastAsia="宋体" w:cs="Times New Roman"/>
                <w:color w:val="000000"/>
                <w:sz w:val="21"/>
                <w:szCs w:val="21"/>
                <w:vertAlign w:val="baseline"/>
                <w:lang w:val="en-US"/>
              </w:rPr>
            </w:pPr>
            <w:r>
              <w:rPr>
                <w:rStyle w:val="29"/>
                <w:rFonts w:hint="default" w:ascii="Times New Roman" w:hAnsi="Times New Roman" w:eastAsia="宋体" w:cs="Times New Roman"/>
                <w:kern w:val="2"/>
                <w:sz w:val="21"/>
                <w:szCs w:val="21"/>
                <w:lang w:val="en-US" w:eastAsia="zh-CN" w:bidi="ar-SA"/>
              </w:rPr>
              <w:t>YS5109212310003四川蓬溪经济开发区（上游片区）</w:t>
            </w:r>
          </w:p>
        </w:tc>
        <w:tc>
          <w:tcPr>
            <w:tcW w:w="682" w:type="dxa"/>
            <w:vMerge w:val="restart"/>
            <w:tcBorders>
              <w:tl2br w:val="nil"/>
              <w:tr2bl w:val="nil"/>
            </w:tcBorders>
            <w:noWrap w:val="0"/>
            <w:vAlign w:val="center"/>
          </w:tcPr>
          <w:p w14:paraId="043496A7">
            <w:pPr>
              <w:jc w:val="both"/>
              <w:rPr>
                <w:rFonts w:hint="eastAsia" w:ascii="宋体" w:hAnsi="宋体" w:eastAsia="宋体" w:cs="宋体"/>
                <w:color w:val="000000"/>
                <w:sz w:val="21"/>
                <w:szCs w:val="21"/>
                <w:vertAlign w:val="baseline"/>
              </w:rPr>
            </w:pPr>
            <w:r>
              <w:rPr>
                <w:rFonts w:hint="eastAsia" w:ascii="宋体" w:hAnsi="宋体" w:cs="宋体"/>
                <w:color w:val="000000"/>
                <w:sz w:val="21"/>
                <w:szCs w:val="21"/>
                <w:vertAlign w:val="baseline"/>
                <w:lang w:val="en-US" w:eastAsia="zh-CN"/>
              </w:rPr>
              <w:t>单元特</w:t>
            </w:r>
            <w:r>
              <w:rPr>
                <w:rStyle w:val="29"/>
                <w:rFonts w:hint="eastAsia" w:ascii="宋体" w:hAnsi="宋体" w:eastAsia="宋体" w:cs="Times New Roman"/>
                <w:kern w:val="2"/>
                <w:sz w:val="21"/>
                <w:szCs w:val="21"/>
                <w:lang w:val="en-US" w:eastAsia="zh-CN" w:bidi="ar-SA"/>
              </w:rPr>
              <w:t>性管控要求</w:t>
            </w:r>
          </w:p>
        </w:tc>
        <w:tc>
          <w:tcPr>
            <w:tcW w:w="1248" w:type="dxa"/>
            <w:tcBorders>
              <w:tl2br w:val="nil"/>
              <w:tr2bl w:val="nil"/>
            </w:tcBorders>
            <w:noWrap w:val="0"/>
            <w:vAlign w:val="center"/>
          </w:tcPr>
          <w:p w14:paraId="5A8FA183">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空间布局约束</w:t>
            </w:r>
          </w:p>
        </w:tc>
        <w:tc>
          <w:tcPr>
            <w:tcW w:w="7990" w:type="dxa"/>
            <w:tcBorders>
              <w:tl2br w:val="nil"/>
              <w:tr2bl w:val="nil"/>
            </w:tcBorders>
            <w:noWrap w:val="0"/>
            <w:vAlign w:val="center"/>
          </w:tcPr>
          <w:p w14:paraId="7C34D445">
            <w:pPr>
              <w:bidi w:val="0"/>
              <w:rPr>
                <w:rFonts w:hint="eastAsia"/>
                <w:lang w:val="en-US" w:eastAsia="zh-CN"/>
              </w:rPr>
            </w:pPr>
            <w:r>
              <w:rPr>
                <w:rFonts w:hint="eastAsia"/>
                <w:lang w:val="en-US" w:eastAsia="zh-CN"/>
              </w:rPr>
              <w:t>禁止开发建设活动的要求</w:t>
            </w:r>
          </w:p>
          <w:p w14:paraId="1A0487D8">
            <w:pPr>
              <w:bidi w:val="0"/>
              <w:ind w:firstLine="210" w:firstLineChars="100"/>
              <w:rPr>
                <w:rFonts w:hint="eastAsia"/>
                <w:lang w:val="en-US" w:eastAsia="zh-CN"/>
              </w:rPr>
            </w:pPr>
            <w:r>
              <w:rPr>
                <w:rFonts w:hint="eastAsia"/>
                <w:lang w:val="en-US" w:eastAsia="zh-CN"/>
              </w:rPr>
              <w:t>/</w:t>
            </w:r>
          </w:p>
          <w:p w14:paraId="49F651C2">
            <w:pPr>
              <w:bidi w:val="0"/>
              <w:rPr>
                <w:rFonts w:hint="eastAsia"/>
                <w:lang w:val="en-US" w:eastAsia="zh-CN"/>
              </w:rPr>
            </w:pPr>
            <w:r>
              <w:rPr>
                <w:rFonts w:hint="eastAsia"/>
                <w:lang w:val="en-US" w:eastAsia="zh-CN"/>
              </w:rPr>
              <w:t>限制开发建设活动的要求</w:t>
            </w:r>
          </w:p>
          <w:p w14:paraId="35C27BBB">
            <w:pPr>
              <w:bidi w:val="0"/>
              <w:ind w:firstLine="210" w:firstLineChars="100"/>
              <w:rPr>
                <w:rFonts w:hint="eastAsia"/>
                <w:lang w:val="en-US" w:eastAsia="zh-CN"/>
              </w:rPr>
            </w:pPr>
            <w:r>
              <w:rPr>
                <w:rFonts w:hint="eastAsia"/>
                <w:lang w:val="en-US" w:eastAsia="zh-CN"/>
              </w:rPr>
              <w:t>/</w:t>
            </w:r>
          </w:p>
          <w:p w14:paraId="7F441C70">
            <w:pPr>
              <w:bidi w:val="0"/>
              <w:rPr>
                <w:rFonts w:hint="eastAsia"/>
                <w:lang w:val="en-US" w:eastAsia="zh-CN"/>
              </w:rPr>
            </w:pPr>
            <w:r>
              <w:rPr>
                <w:rFonts w:hint="eastAsia"/>
                <w:lang w:val="en-US" w:eastAsia="zh-CN"/>
              </w:rPr>
              <w:t>允许开发建设活动的要求</w:t>
            </w:r>
          </w:p>
          <w:p w14:paraId="481863AA">
            <w:pPr>
              <w:bidi w:val="0"/>
              <w:ind w:firstLine="210" w:firstLineChars="100"/>
              <w:rPr>
                <w:rFonts w:hint="default"/>
                <w:lang w:val="en-US" w:eastAsia="zh-CN"/>
              </w:rPr>
            </w:pPr>
            <w:r>
              <w:rPr>
                <w:rFonts w:hint="eastAsia"/>
                <w:lang w:val="en-US" w:eastAsia="zh-CN"/>
              </w:rPr>
              <w:t>/</w:t>
            </w:r>
          </w:p>
          <w:p w14:paraId="5427E6AD">
            <w:pPr>
              <w:bidi w:val="0"/>
              <w:rPr>
                <w:rFonts w:hint="eastAsia"/>
                <w:lang w:val="en-US" w:eastAsia="zh-CN"/>
              </w:rPr>
            </w:pPr>
            <w:r>
              <w:rPr>
                <w:rFonts w:hint="eastAsia"/>
                <w:lang w:val="en-US" w:eastAsia="zh-CN"/>
              </w:rPr>
              <w:t>不符合空间布局要求活动的退出要求</w:t>
            </w:r>
          </w:p>
          <w:p w14:paraId="321220E1">
            <w:pPr>
              <w:bidi w:val="0"/>
              <w:ind w:firstLine="210" w:firstLineChars="100"/>
              <w:rPr>
                <w:rFonts w:hint="eastAsia"/>
                <w:lang w:val="en-US" w:eastAsia="zh-CN"/>
              </w:rPr>
            </w:pPr>
            <w:r>
              <w:rPr>
                <w:rFonts w:hint="eastAsia"/>
                <w:lang w:val="en-US" w:eastAsia="zh-CN"/>
              </w:rPr>
              <w:t>/</w:t>
            </w:r>
          </w:p>
          <w:p w14:paraId="0A282D98">
            <w:pPr>
              <w:bidi w:val="0"/>
              <w:rPr>
                <w:rFonts w:hint="eastAsia"/>
                <w:lang w:val="en-US" w:eastAsia="zh-CN"/>
              </w:rPr>
            </w:pPr>
            <w:r>
              <w:rPr>
                <w:rFonts w:hint="eastAsia"/>
                <w:lang w:val="en-US" w:eastAsia="zh-CN"/>
              </w:rPr>
              <w:t>其他空间布局约束要求</w:t>
            </w:r>
          </w:p>
          <w:p w14:paraId="54F30DF1">
            <w:pPr>
              <w:bidi w:val="0"/>
              <w:ind w:firstLine="210" w:firstLineChars="100"/>
              <w:rPr>
                <w:rStyle w:val="29"/>
                <w:rFonts w:hint="default" w:ascii="宋体" w:hAnsi="宋体" w:eastAsia="宋体" w:cs="宋体"/>
                <w:color w:val="000000"/>
                <w:kern w:val="0"/>
                <w:szCs w:val="21"/>
                <w:lang w:val="en-US" w:eastAsia="zh-CN" w:bidi="ar-SA"/>
              </w:rPr>
            </w:pPr>
            <w:r>
              <w:rPr>
                <w:rFonts w:hint="eastAsia"/>
                <w:lang w:val="en-US" w:eastAsia="zh-CN"/>
              </w:rPr>
              <w:t>/</w:t>
            </w:r>
          </w:p>
        </w:tc>
        <w:tc>
          <w:tcPr>
            <w:tcW w:w="1910" w:type="dxa"/>
            <w:tcBorders>
              <w:tl2br w:val="nil"/>
              <w:tr2bl w:val="nil"/>
            </w:tcBorders>
            <w:noWrap w:val="0"/>
            <w:vAlign w:val="center"/>
          </w:tcPr>
          <w:p w14:paraId="731C5B2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z w:val="21"/>
                <w:szCs w:val="21"/>
                <w:vertAlign w:val="baseline"/>
                <w:lang w:eastAsia="zh-CN"/>
              </w:rPr>
            </w:pPr>
            <w:r>
              <w:rPr>
                <w:rFonts w:hint="eastAsia" w:cs="Times New Roman"/>
                <w:color w:val="000000"/>
                <w:sz w:val="21"/>
                <w:szCs w:val="21"/>
                <w:vertAlign w:val="baseline"/>
                <w:lang w:val="en-US" w:eastAsia="zh-CN"/>
              </w:rPr>
              <w:t>/</w:t>
            </w:r>
          </w:p>
        </w:tc>
        <w:tc>
          <w:tcPr>
            <w:tcW w:w="920" w:type="dxa"/>
            <w:tcBorders>
              <w:tl2br w:val="nil"/>
              <w:tr2bl w:val="nil"/>
            </w:tcBorders>
            <w:noWrap w:val="0"/>
            <w:vAlign w:val="center"/>
          </w:tcPr>
          <w:p w14:paraId="543C8D74">
            <w:pPr>
              <w:jc w:val="center"/>
              <w:rPr>
                <w:rFonts w:hint="eastAsia" w:ascii="宋体" w:hAnsi="宋体" w:eastAsia="宋体" w:cs="宋体"/>
                <w:color w:val="000000"/>
                <w:sz w:val="21"/>
                <w:szCs w:val="21"/>
                <w:vertAlign w:val="baseline"/>
                <w:lang w:eastAsia="zh-CN"/>
              </w:rPr>
            </w:pPr>
            <w:r>
              <w:rPr>
                <w:rFonts w:hint="eastAsia" w:ascii="宋体" w:hAnsi="宋体" w:cs="宋体"/>
                <w:color w:val="000000"/>
                <w:sz w:val="21"/>
                <w:szCs w:val="21"/>
                <w:vertAlign w:val="baseline"/>
                <w:lang w:val="en-US" w:eastAsia="zh-CN"/>
              </w:rPr>
              <w:t>/</w:t>
            </w:r>
          </w:p>
        </w:tc>
      </w:tr>
      <w:tr w14:paraId="56AF9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456823D1">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2ABA9652">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33053352">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污染物排放管控</w:t>
            </w:r>
          </w:p>
        </w:tc>
        <w:tc>
          <w:tcPr>
            <w:tcW w:w="7990" w:type="dxa"/>
            <w:tcBorders>
              <w:tl2br w:val="nil"/>
              <w:tr2bl w:val="nil"/>
            </w:tcBorders>
            <w:noWrap w:val="0"/>
            <w:vAlign w:val="center"/>
          </w:tcPr>
          <w:p w14:paraId="698993F7">
            <w:pPr>
              <w:bidi w:val="0"/>
              <w:rPr>
                <w:rFonts w:hint="default"/>
                <w:lang w:val="en-US" w:eastAsia="zh-CN"/>
              </w:rPr>
            </w:pPr>
            <w:r>
              <w:rPr>
                <w:rFonts w:hint="default"/>
                <w:lang w:val="en-US" w:eastAsia="zh-CN"/>
              </w:rPr>
              <w:t>大气环境质量执行标准</w:t>
            </w:r>
          </w:p>
          <w:p w14:paraId="5FBE8680">
            <w:pPr>
              <w:bidi w:val="0"/>
              <w:ind w:firstLine="210" w:firstLineChars="100"/>
              <w:rPr>
                <w:rFonts w:hint="default"/>
                <w:lang w:val="en-US" w:eastAsia="zh-CN"/>
              </w:rPr>
            </w:pPr>
            <w:r>
              <w:rPr>
                <w:rFonts w:hint="default"/>
                <w:lang w:val="en-US" w:eastAsia="zh-CN"/>
              </w:rPr>
              <w:t>《环境空气质量标准》（GB3095-2012）：二级</w:t>
            </w:r>
          </w:p>
          <w:p w14:paraId="34E3E022">
            <w:pPr>
              <w:bidi w:val="0"/>
              <w:rPr>
                <w:rFonts w:hint="default"/>
                <w:lang w:val="en-US" w:eastAsia="zh-CN"/>
              </w:rPr>
            </w:pPr>
            <w:r>
              <w:rPr>
                <w:rFonts w:hint="default"/>
                <w:lang w:val="en-US" w:eastAsia="zh-CN"/>
              </w:rPr>
              <w:t>区域大气污染物削减/替代要求</w:t>
            </w:r>
          </w:p>
          <w:p w14:paraId="63B7EB46">
            <w:pPr>
              <w:bidi w:val="0"/>
              <w:ind w:firstLine="210" w:firstLineChars="100"/>
              <w:rPr>
                <w:rFonts w:hint="default"/>
                <w:lang w:val="en-US" w:eastAsia="zh-CN"/>
              </w:rPr>
            </w:pPr>
            <w:r>
              <w:rPr>
                <w:rFonts w:hint="default"/>
                <w:lang w:val="en-US" w:eastAsia="zh-CN"/>
              </w:rPr>
              <w:t>/</w:t>
            </w:r>
          </w:p>
          <w:p w14:paraId="4E9FC698">
            <w:pPr>
              <w:bidi w:val="0"/>
              <w:rPr>
                <w:rFonts w:hint="default"/>
                <w:lang w:val="en-US" w:eastAsia="zh-CN"/>
              </w:rPr>
            </w:pPr>
            <w:r>
              <w:rPr>
                <w:rFonts w:hint="default"/>
                <w:lang w:val="en-US" w:eastAsia="zh-CN"/>
              </w:rPr>
              <w:t>燃煤和其他能源大气污染控制要求</w:t>
            </w:r>
          </w:p>
          <w:p w14:paraId="37E600A4">
            <w:pPr>
              <w:bidi w:val="0"/>
              <w:ind w:firstLine="210" w:firstLineChars="100"/>
              <w:rPr>
                <w:rFonts w:hint="default"/>
                <w:lang w:val="en-US" w:eastAsia="zh-CN"/>
              </w:rPr>
            </w:pPr>
            <w:r>
              <w:rPr>
                <w:rFonts w:hint="default"/>
                <w:lang w:val="en-US" w:eastAsia="zh-CN"/>
              </w:rPr>
              <w:t>/</w:t>
            </w:r>
          </w:p>
          <w:p w14:paraId="04F4ED37">
            <w:pPr>
              <w:bidi w:val="0"/>
              <w:rPr>
                <w:rFonts w:hint="default"/>
                <w:lang w:val="en-US" w:eastAsia="zh-CN"/>
              </w:rPr>
            </w:pPr>
            <w:r>
              <w:rPr>
                <w:rFonts w:hint="default"/>
                <w:lang w:val="en-US" w:eastAsia="zh-CN"/>
              </w:rPr>
              <w:t>工业废气污染控制要求</w:t>
            </w:r>
          </w:p>
          <w:p w14:paraId="1879E39C">
            <w:pPr>
              <w:bidi w:val="0"/>
              <w:ind w:firstLine="210" w:firstLineChars="100"/>
              <w:rPr>
                <w:rFonts w:hint="default"/>
                <w:lang w:val="en-US" w:eastAsia="zh-CN"/>
              </w:rPr>
            </w:pPr>
            <w:r>
              <w:rPr>
                <w:rFonts w:hint="default"/>
                <w:lang w:val="en-US" w:eastAsia="zh-CN"/>
              </w:rPr>
              <w:t>1、全面淘汰10蒸吨/小时及以下燃煤锅炉，原则上不再新建35蒸吨/小时及以下的燃煤锅炉，推进县级及以上城市建成区淘汰35蒸吨/小时及以下燃煤锅炉，以工业余热、电厂热力、清洁能源等替代煤炭。</w:t>
            </w:r>
          </w:p>
          <w:p w14:paraId="45DB3BF2">
            <w:pPr>
              <w:bidi w:val="0"/>
              <w:ind w:firstLine="210" w:firstLineChars="100"/>
              <w:rPr>
                <w:rFonts w:hint="default"/>
                <w:lang w:val="en-US" w:eastAsia="zh-CN"/>
              </w:rPr>
            </w:pPr>
            <w:r>
              <w:rPr>
                <w:rFonts w:hint="default"/>
                <w:lang w:val="en-US" w:eastAsia="zh-CN"/>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22392301">
            <w:pPr>
              <w:bidi w:val="0"/>
              <w:rPr>
                <w:rFonts w:hint="default"/>
                <w:lang w:val="en-US" w:eastAsia="zh-CN"/>
              </w:rPr>
            </w:pPr>
            <w:r>
              <w:rPr>
                <w:rFonts w:hint="default"/>
                <w:lang w:val="en-US" w:eastAsia="zh-CN"/>
              </w:rPr>
              <w:t>机动车船大气污染控制要求</w:t>
            </w:r>
          </w:p>
          <w:p w14:paraId="3A9CEFBC">
            <w:pPr>
              <w:bidi w:val="0"/>
              <w:ind w:firstLine="210" w:firstLineChars="100"/>
              <w:rPr>
                <w:rFonts w:hint="default"/>
                <w:lang w:val="en-US" w:eastAsia="zh-CN"/>
              </w:rPr>
            </w:pPr>
            <w:r>
              <w:rPr>
                <w:rFonts w:hint="default"/>
                <w:lang w:val="en-US" w:eastAsia="zh-CN"/>
              </w:rPr>
              <w:t>/</w:t>
            </w:r>
          </w:p>
          <w:p w14:paraId="75E3ED1F">
            <w:pPr>
              <w:bidi w:val="0"/>
              <w:rPr>
                <w:rFonts w:hint="default"/>
                <w:lang w:val="en-US" w:eastAsia="zh-CN"/>
              </w:rPr>
            </w:pPr>
            <w:r>
              <w:rPr>
                <w:rFonts w:hint="default"/>
                <w:lang w:val="en-US" w:eastAsia="zh-CN"/>
              </w:rPr>
              <w:t>扬尘污染控制要求</w:t>
            </w:r>
          </w:p>
          <w:p w14:paraId="1E926407">
            <w:pPr>
              <w:bidi w:val="0"/>
              <w:ind w:firstLine="210" w:firstLineChars="100"/>
              <w:rPr>
                <w:rFonts w:hint="default"/>
                <w:lang w:val="en-US" w:eastAsia="zh-CN"/>
              </w:rPr>
            </w:pPr>
            <w:r>
              <w:rPr>
                <w:rFonts w:hint="default"/>
                <w:lang w:val="en-US" w:eastAsia="zh-CN"/>
              </w:rPr>
              <w:t>/</w:t>
            </w:r>
          </w:p>
          <w:p w14:paraId="11AB9321">
            <w:pPr>
              <w:bidi w:val="0"/>
              <w:rPr>
                <w:rFonts w:hint="default"/>
                <w:lang w:val="en-US" w:eastAsia="zh-CN"/>
              </w:rPr>
            </w:pPr>
            <w:r>
              <w:rPr>
                <w:rFonts w:hint="default"/>
                <w:lang w:val="en-US" w:eastAsia="zh-CN"/>
              </w:rPr>
              <w:t>农业生产经营活动大气污染控制要求</w:t>
            </w:r>
          </w:p>
          <w:p w14:paraId="380AD0D7">
            <w:pPr>
              <w:bidi w:val="0"/>
              <w:ind w:firstLine="210" w:firstLineChars="100"/>
              <w:rPr>
                <w:rFonts w:hint="default"/>
                <w:lang w:val="en-US" w:eastAsia="zh-CN"/>
              </w:rPr>
            </w:pPr>
            <w:r>
              <w:rPr>
                <w:rFonts w:hint="default"/>
                <w:lang w:val="en-US" w:eastAsia="zh-CN"/>
              </w:rPr>
              <w:t>/</w:t>
            </w:r>
          </w:p>
          <w:p w14:paraId="4CFEE0C9">
            <w:pPr>
              <w:bidi w:val="0"/>
              <w:rPr>
                <w:rFonts w:hint="default"/>
                <w:lang w:val="en-US" w:eastAsia="zh-CN"/>
              </w:rPr>
            </w:pPr>
            <w:r>
              <w:rPr>
                <w:rFonts w:hint="default"/>
                <w:lang w:val="en-US" w:eastAsia="zh-CN"/>
              </w:rPr>
              <w:t>重点行业企业专项治理要求</w:t>
            </w:r>
          </w:p>
          <w:p w14:paraId="71451A99">
            <w:pPr>
              <w:bidi w:val="0"/>
              <w:ind w:firstLine="210" w:firstLineChars="100"/>
              <w:rPr>
                <w:rFonts w:hint="default"/>
                <w:lang w:val="en-US" w:eastAsia="zh-CN"/>
              </w:rPr>
            </w:pPr>
            <w:r>
              <w:rPr>
                <w:rFonts w:hint="default"/>
                <w:lang w:val="en-US" w:eastAsia="zh-CN"/>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5275215A">
            <w:pPr>
              <w:bidi w:val="0"/>
              <w:rPr>
                <w:rFonts w:hint="default"/>
                <w:lang w:val="en-US" w:eastAsia="zh-CN"/>
              </w:rPr>
            </w:pPr>
            <w:r>
              <w:rPr>
                <w:rFonts w:hint="default"/>
                <w:lang w:val="en-US" w:eastAsia="zh-CN"/>
              </w:rPr>
              <w:t>其他大气污染物排放管控要求</w:t>
            </w:r>
          </w:p>
          <w:p w14:paraId="75C2011B">
            <w:pPr>
              <w:keepNext w:val="0"/>
              <w:keepLines w:val="0"/>
              <w:pageBreakBefore w:val="0"/>
              <w:shd w:val="clear"/>
              <w:kinsoku/>
              <w:wordWrap/>
              <w:overflowPunct/>
              <w:topLinePunct w:val="0"/>
              <w:autoSpaceDE/>
              <w:autoSpaceDN/>
              <w:bidi w:val="0"/>
              <w:adjustRightInd/>
              <w:snapToGrid/>
              <w:spacing w:line="312" w:lineRule="auto"/>
              <w:ind w:firstLine="210" w:firstLineChars="10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Style w:val="29"/>
                <w:rFonts w:hint="default" w:ascii="Times New Roman" w:hAnsi="Times New Roman" w:eastAsia="宋体" w:cs="Times New Roman"/>
                <w:kern w:val="2"/>
                <w:sz w:val="21"/>
                <w:szCs w:val="21"/>
                <w:lang w:val="en-US" w:eastAsia="zh-CN" w:bidi="ar-SA"/>
              </w:rPr>
              <w:t>/</w:t>
            </w:r>
          </w:p>
        </w:tc>
        <w:tc>
          <w:tcPr>
            <w:tcW w:w="1910" w:type="dxa"/>
            <w:tcBorders>
              <w:tl2br w:val="nil"/>
              <w:tr2bl w:val="nil"/>
            </w:tcBorders>
            <w:noWrap w:val="0"/>
            <w:vAlign w:val="center"/>
          </w:tcPr>
          <w:p w14:paraId="2ECEAA6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本项目位于上游工业园；项目生产</w:t>
            </w:r>
            <w:r>
              <w:rPr>
                <w:rFonts w:hint="eastAsia" w:cs="Times New Roman"/>
                <w:color w:val="000000"/>
                <w:sz w:val="21"/>
                <w:szCs w:val="21"/>
                <w:vertAlign w:val="baseline"/>
                <w:lang w:val="en-US" w:eastAsia="zh-CN"/>
              </w:rPr>
              <w:t>不涉及锅炉、炉窑，加热设备用的电炉；</w:t>
            </w:r>
            <w:r>
              <w:rPr>
                <w:rFonts w:hint="default" w:ascii="Times New Roman" w:hAnsi="Times New Roman" w:eastAsia="宋体" w:cs="Times New Roman"/>
                <w:color w:val="000000"/>
                <w:sz w:val="21"/>
                <w:szCs w:val="21"/>
                <w:lang w:val="en-US" w:eastAsia="zh-CN"/>
              </w:rPr>
              <w:t>项目</w:t>
            </w:r>
            <w:r>
              <w:rPr>
                <w:rFonts w:hint="default" w:ascii="Times New Roman" w:hAnsi="Times New Roman" w:eastAsia="宋体" w:cs="Times New Roman"/>
                <w:color w:val="000000"/>
                <w:sz w:val="21"/>
                <w:szCs w:val="21"/>
                <w:vertAlign w:val="baseline"/>
                <w:lang w:val="en-US" w:eastAsia="zh-CN"/>
              </w:rPr>
              <w:t>生产区域</w:t>
            </w:r>
            <w:r>
              <w:rPr>
                <w:rFonts w:hint="eastAsia" w:cs="Times New Roman"/>
                <w:color w:val="000000"/>
                <w:sz w:val="21"/>
                <w:szCs w:val="21"/>
                <w:vertAlign w:val="baseline"/>
                <w:lang w:val="en-US" w:eastAsia="zh-CN"/>
              </w:rPr>
              <w:t>或设备</w:t>
            </w:r>
            <w:r>
              <w:rPr>
                <w:rFonts w:hint="default" w:ascii="Times New Roman" w:hAnsi="Times New Roman" w:eastAsia="宋体" w:cs="Times New Roman"/>
                <w:color w:val="000000"/>
                <w:sz w:val="21"/>
                <w:szCs w:val="21"/>
                <w:vertAlign w:val="baseline"/>
                <w:lang w:val="en-US" w:eastAsia="zh-CN"/>
              </w:rPr>
              <w:t>封闭；</w:t>
            </w:r>
            <w:r>
              <w:rPr>
                <w:rFonts w:hint="eastAsia" w:ascii="宋体" w:hAnsi="宋体" w:eastAsia="宋体" w:cs="宋体"/>
                <w:color w:val="000000"/>
                <w:sz w:val="21"/>
                <w:szCs w:val="21"/>
              </w:rPr>
              <w:t>本项目产生的有机废气，经“集气罩+</w:t>
            </w:r>
            <w:r>
              <w:rPr>
                <w:rFonts w:hint="eastAsia" w:ascii="宋体" w:hAnsi="宋体" w:eastAsia="宋体" w:cs="宋体"/>
                <w:color w:val="000000"/>
                <w:sz w:val="21"/>
                <w:szCs w:val="21"/>
                <w:lang w:val="en-US" w:eastAsia="zh-CN"/>
              </w:rPr>
              <w:t>二级活性炭吸附</w:t>
            </w:r>
            <w:r>
              <w:rPr>
                <w:rFonts w:hint="eastAsia" w:ascii="宋体" w:hAnsi="宋体" w:eastAsia="宋体" w:cs="宋体"/>
                <w:color w:val="000000"/>
                <w:sz w:val="21"/>
                <w:szCs w:val="21"/>
              </w:rPr>
              <w:t>”处理后，经</w:t>
            </w:r>
            <w:r>
              <w:rPr>
                <w:rFonts w:hint="default"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rPr>
              <w:t>m</w:t>
            </w:r>
            <w:r>
              <w:rPr>
                <w:rFonts w:hint="eastAsia" w:ascii="宋体" w:hAnsi="宋体" w:eastAsia="宋体" w:cs="宋体"/>
                <w:color w:val="000000"/>
                <w:sz w:val="21"/>
                <w:szCs w:val="21"/>
              </w:rPr>
              <w:t>高排气筒排放</w:t>
            </w:r>
            <w:r>
              <w:rPr>
                <w:rFonts w:hint="default" w:ascii="Times New Roman" w:hAnsi="Times New Roman" w:eastAsia="宋体" w:cs="Times New Roman"/>
                <w:color w:val="auto"/>
                <w:sz w:val="21"/>
                <w:szCs w:val="21"/>
                <w:vertAlign w:val="baseline"/>
                <w:lang w:val="en-US" w:eastAsia="zh-CN"/>
              </w:rPr>
              <w:t>。</w:t>
            </w:r>
          </w:p>
        </w:tc>
        <w:tc>
          <w:tcPr>
            <w:tcW w:w="920" w:type="dxa"/>
            <w:tcBorders>
              <w:tl2br w:val="nil"/>
              <w:tr2bl w:val="nil"/>
            </w:tcBorders>
            <w:noWrap w:val="0"/>
            <w:vAlign w:val="center"/>
          </w:tcPr>
          <w:p w14:paraId="68AD3272">
            <w:pPr>
              <w:jc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lang w:eastAsia="zh-CN"/>
              </w:rPr>
              <w:t>符合</w:t>
            </w:r>
          </w:p>
        </w:tc>
      </w:tr>
      <w:tr w14:paraId="4CBAE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37F4AEED">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5451F1BA">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74780790">
            <w:pPr>
              <w:jc w:val="center"/>
              <w:rPr>
                <w:rFonts w:hint="eastAsia" w:ascii="宋体" w:hAnsi="宋体" w:eastAsia="宋体" w:cs="宋体"/>
                <w:color w:val="000000"/>
                <w:sz w:val="21"/>
                <w:szCs w:val="21"/>
                <w:vertAlign w:val="baseline"/>
                <w:lang w:eastAsia="zh-CN"/>
              </w:rPr>
            </w:pPr>
            <w:r>
              <w:rPr>
                <w:rStyle w:val="29"/>
                <w:rFonts w:hint="eastAsia" w:ascii="宋体" w:hAnsi="宋体" w:eastAsia="宋体" w:cs="Times New Roman"/>
                <w:kern w:val="2"/>
                <w:sz w:val="21"/>
                <w:szCs w:val="21"/>
                <w:lang w:val="en-US" w:eastAsia="zh-CN" w:bidi="ar-SA"/>
              </w:rPr>
              <w:t>环境风险防控</w:t>
            </w:r>
          </w:p>
        </w:tc>
        <w:tc>
          <w:tcPr>
            <w:tcW w:w="7990" w:type="dxa"/>
            <w:tcBorders>
              <w:tl2br w:val="nil"/>
              <w:tr2bl w:val="nil"/>
            </w:tcBorders>
            <w:noWrap w:val="0"/>
            <w:vAlign w:val="center"/>
          </w:tcPr>
          <w:p w14:paraId="13A9F5DB">
            <w:pPr>
              <w:keepNext w:val="0"/>
              <w:keepLines w:val="0"/>
              <w:pageBreakBefore w:val="0"/>
              <w:shd w:val="clear"/>
              <w:tabs>
                <w:tab w:val="left" w:pos="1327"/>
              </w:tabs>
              <w:kinsoku/>
              <w:wordWrap/>
              <w:overflowPunct/>
              <w:topLinePunct w:val="0"/>
              <w:autoSpaceDE/>
              <w:autoSpaceDN/>
              <w:bidi w:val="0"/>
              <w:adjustRightInd/>
              <w:snapToGrid/>
              <w:spacing w:line="312" w:lineRule="auto"/>
              <w:jc w:val="center"/>
              <w:textAlignment w:val="auto"/>
              <w:rPr>
                <w:rStyle w:val="29"/>
                <w:rFonts w:hint="default" w:ascii="Times New Roman" w:hAnsi="Times New Roman" w:eastAsia="宋体" w:cs="Times New Roman"/>
                <w:kern w:val="2"/>
                <w:sz w:val="21"/>
                <w:szCs w:val="21"/>
                <w:lang w:val="en-US" w:eastAsia="zh-CN" w:bidi="ar-SA"/>
              </w:rPr>
            </w:pPr>
            <w:r>
              <w:rPr>
                <w:rStyle w:val="29"/>
                <w:rFonts w:hint="eastAsia" w:cs="Times New Roman"/>
                <w:kern w:val="2"/>
                <w:sz w:val="21"/>
                <w:szCs w:val="21"/>
                <w:lang w:val="en-US" w:eastAsia="zh-CN" w:bidi="ar-SA"/>
              </w:rPr>
              <w:t>/</w:t>
            </w:r>
          </w:p>
        </w:tc>
        <w:tc>
          <w:tcPr>
            <w:tcW w:w="1910" w:type="dxa"/>
            <w:tcBorders>
              <w:tl2br w:val="nil"/>
              <w:tr2bl w:val="nil"/>
            </w:tcBorders>
            <w:noWrap w:val="0"/>
            <w:vAlign w:val="center"/>
          </w:tcPr>
          <w:p w14:paraId="016DF67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920" w:type="dxa"/>
            <w:tcBorders>
              <w:tl2br w:val="nil"/>
              <w:tr2bl w:val="nil"/>
            </w:tcBorders>
            <w:noWrap w:val="0"/>
            <w:vAlign w:val="center"/>
          </w:tcPr>
          <w:p w14:paraId="49C2FE3B">
            <w:pPr>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w:t>
            </w:r>
          </w:p>
        </w:tc>
      </w:tr>
      <w:tr w14:paraId="2E4EA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752B9595">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1F23C2D2">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084C9B38">
            <w:pPr>
              <w:jc w:val="center"/>
              <w:rPr>
                <w:rStyle w:val="29"/>
                <w:rFonts w:hint="eastAsia" w:ascii="宋体" w:hAnsi="宋体" w:eastAsia="宋体" w:cs="Times New Roman"/>
                <w:kern w:val="2"/>
                <w:sz w:val="21"/>
                <w:szCs w:val="21"/>
                <w:lang w:val="en-US" w:eastAsia="zh-CN" w:bidi="ar-SA"/>
              </w:rPr>
            </w:pPr>
            <w:r>
              <w:rPr>
                <w:rStyle w:val="29"/>
                <w:rFonts w:hint="eastAsia" w:ascii="宋体" w:hAnsi="宋体" w:eastAsia="宋体" w:cs="Times New Roman"/>
                <w:kern w:val="2"/>
                <w:sz w:val="21"/>
                <w:szCs w:val="21"/>
                <w:lang w:val="en-US" w:eastAsia="zh-CN" w:bidi="ar-SA"/>
              </w:rPr>
              <w:t>资源开发效率要求</w:t>
            </w:r>
          </w:p>
        </w:tc>
        <w:tc>
          <w:tcPr>
            <w:tcW w:w="7990" w:type="dxa"/>
            <w:tcBorders>
              <w:tl2br w:val="nil"/>
              <w:tr2bl w:val="nil"/>
            </w:tcBorders>
            <w:noWrap w:val="0"/>
            <w:vAlign w:val="center"/>
          </w:tcPr>
          <w:p w14:paraId="319974C6">
            <w:pPr>
              <w:keepNext w:val="0"/>
              <w:keepLines w:val="0"/>
              <w:pageBreakBefore w:val="0"/>
              <w:shd w:val="clear"/>
              <w:tabs>
                <w:tab w:val="left" w:pos="1327"/>
              </w:tabs>
              <w:kinsoku/>
              <w:wordWrap/>
              <w:overflowPunct/>
              <w:topLinePunct w:val="0"/>
              <w:autoSpaceDE/>
              <w:autoSpaceDN/>
              <w:bidi w:val="0"/>
              <w:adjustRightInd/>
              <w:snapToGrid/>
              <w:spacing w:line="312" w:lineRule="auto"/>
              <w:jc w:val="center"/>
              <w:textAlignment w:val="auto"/>
              <w:rPr>
                <w:rStyle w:val="29"/>
                <w:rFonts w:hint="default" w:cs="Times New Roman"/>
                <w:kern w:val="2"/>
                <w:sz w:val="21"/>
                <w:szCs w:val="21"/>
                <w:lang w:val="en-US" w:eastAsia="zh-CN" w:bidi="ar-SA"/>
              </w:rPr>
            </w:pPr>
            <w:r>
              <w:rPr>
                <w:rStyle w:val="29"/>
                <w:rFonts w:hint="eastAsia" w:cs="Times New Roman"/>
                <w:kern w:val="2"/>
                <w:sz w:val="21"/>
                <w:szCs w:val="21"/>
                <w:lang w:val="en-US" w:eastAsia="zh-CN" w:bidi="ar-SA"/>
              </w:rPr>
              <w:t>/</w:t>
            </w:r>
          </w:p>
        </w:tc>
        <w:tc>
          <w:tcPr>
            <w:tcW w:w="1910" w:type="dxa"/>
            <w:tcBorders>
              <w:tl2br w:val="nil"/>
              <w:tr2bl w:val="nil"/>
            </w:tcBorders>
            <w:noWrap w:val="0"/>
            <w:vAlign w:val="center"/>
          </w:tcPr>
          <w:p w14:paraId="6525A02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920" w:type="dxa"/>
            <w:tcBorders>
              <w:tl2br w:val="nil"/>
              <w:tr2bl w:val="nil"/>
            </w:tcBorders>
            <w:noWrap w:val="0"/>
            <w:vAlign w:val="center"/>
          </w:tcPr>
          <w:p w14:paraId="6B7598EF">
            <w:pPr>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w:t>
            </w:r>
          </w:p>
        </w:tc>
      </w:tr>
      <w:tr w14:paraId="7CB83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restart"/>
            <w:tcBorders>
              <w:tl2br w:val="nil"/>
              <w:tr2bl w:val="nil"/>
            </w:tcBorders>
            <w:noWrap w:val="0"/>
            <w:vAlign w:val="center"/>
          </w:tcPr>
          <w:p w14:paraId="6917956A">
            <w:pPr>
              <w:jc w:val="both"/>
              <w:rPr>
                <w:rFonts w:hint="default" w:ascii="Times New Roman" w:hAnsi="Times New Roman" w:eastAsia="宋体" w:cs="Times New Roman"/>
                <w:color w:val="000000"/>
                <w:sz w:val="21"/>
                <w:szCs w:val="21"/>
                <w:vertAlign w:val="baseline"/>
              </w:rPr>
            </w:pPr>
            <w:r>
              <w:rPr>
                <w:rStyle w:val="29"/>
                <w:rFonts w:hint="default" w:ascii="Times New Roman" w:hAnsi="Times New Roman" w:eastAsia="宋体" w:cs="Times New Roman"/>
                <w:kern w:val="2"/>
                <w:sz w:val="21"/>
                <w:szCs w:val="21"/>
                <w:lang w:val="en-US" w:eastAsia="zh-CN" w:bidi="ar-SA"/>
              </w:rPr>
              <w:t>YS5109212530001蓬溪县城镇开发边界</w:t>
            </w:r>
          </w:p>
        </w:tc>
        <w:tc>
          <w:tcPr>
            <w:tcW w:w="682" w:type="dxa"/>
            <w:vMerge w:val="restart"/>
            <w:tcBorders>
              <w:tl2br w:val="nil"/>
              <w:tr2bl w:val="nil"/>
            </w:tcBorders>
            <w:noWrap w:val="0"/>
            <w:vAlign w:val="center"/>
          </w:tcPr>
          <w:p w14:paraId="5F79436F">
            <w:pPr>
              <w:jc w:val="both"/>
              <w:rPr>
                <w:rFonts w:hint="eastAsia" w:ascii="宋体" w:hAnsi="宋体" w:eastAsia="宋体" w:cs="宋体"/>
                <w:color w:val="000000"/>
                <w:sz w:val="21"/>
                <w:szCs w:val="21"/>
                <w:vertAlign w:val="baseline"/>
              </w:rPr>
            </w:pPr>
            <w:r>
              <w:rPr>
                <w:rFonts w:hint="eastAsia" w:ascii="宋体" w:hAnsi="宋体" w:cs="宋体"/>
                <w:color w:val="000000"/>
                <w:sz w:val="21"/>
                <w:szCs w:val="21"/>
                <w:vertAlign w:val="baseline"/>
                <w:lang w:val="en-US" w:eastAsia="zh-CN"/>
              </w:rPr>
              <w:t>单元特</w:t>
            </w:r>
            <w:r>
              <w:rPr>
                <w:rStyle w:val="29"/>
                <w:rFonts w:hint="eastAsia" w:ascii="宋体" w:hAnsi="宋体" w:eastAsia="宋体" w:cs="Times New Roman"/>
                <w:kern w:val="2"/>
                <w:sz w:val="21"/>
                <w:szCs w:val="21"/>
                <w:lang w:val="en-US" w:eastAsia="zh-CN" w:bidi="ar-SA"/>
              </w:rPr>
              <w:t>性管控要求</w:t>
            </w:r>
          </w:p>
        </w:tc>
        <w:tc>
          <w:tcPr>
            <w:tcW w:w="1248" w:type="dxa"/>
            <w:tcBorders>
              <w:tl2br w:val="nil"/>
              <w:tr2bl w:val="nil"/>
            </w:tcBorders>
            <w:noWrap w:val="0"/>
            <w:vAlign w:val="center"/>
          </w:tcPr>
          <w:p w14:paraId="23746D00">
            <w:pPr>
              <w:jc w:val="center"/>
              <w:rPr>
                <w:rFonts w:hint="eastAsia" w:ascii="宋体" w:hAnsi="宋体" w:eastAsia="宋体" w:cs="宋体"/>
                <w:color w:val="000000"/>
                <w:sz w:val="21"/>
                <w:szCs w:val="21"/>
                <w:vertAlign w:val="baseline"/>
                <w:lang w:eastAsia="zh-CN"/>
              </w:rPr>
            </w:pPr>
            <w:r>
              <w:rPr>
                <w:rStyle w:val="29"/>
                <w:rFonts w:hint="eastAsia" w:ascii="宋体" w:hAnsi="宋体" w:eastAsia="宋体" w:cs="Times New Roman"/>
                <w:kern w:val="2"/>
                <w:sz w:val="21"/>
                <w:szCs w:val="21"/>
                <w:lang w:val="en-US" w:eastAsia="zh-CN" w:bidi="ar-SA"/>
              </w:rPr>
              <w:t>空间布局约束</w:t>
            </w:r>
          </w:p>
        </w:tc>
        <w:tc>
          <w:tcPr>
            <w:tcW w:w="7990" w:type="dxa"/>
            <w:tcBorders>
              <w:tl2br w:val="nil"/>
              <w:tr2bl w:val="nil"/>
            </w:tcBorders>
            <w:noWrap w:val="0"/>
            <w:vAlign w:val="center"/>
          </w:tcPr>
          <w:p w14:paraId="136A5FED">
            <w:pPr>
              <w:bidi w:val="0"/>
              <w:rPr>
                <w:rFonts w:hint="default" w:ascii="Times New Roman" w:hAnsi="Times New Roman" w:cs="Times New Roman"/>
                <w:lang w:val="en-US" w:eastAsia="zh-CN"/>
              </w:rPr>
            </w:pPr>
            <w:r>
              <w:rPr>
                <w:rFonts w:hint="default" w:ascii="Times New Roman" w:hAnsi="Times New Roman" w:cs="Times New Roman"/>
                <w:lang w:val="en-US" w:eastAsia="zh-CN"/>
              </w:rPr>
              <w:t>1.以城镇开发建设现状为基础，综合考虑资源承载能力、人口分布、经济布局、城乡统筹、城镇无序蔓延科学预留一定比例的留白区，为未来发展留有开发空间城镇建设和发展不得违法违规侵占河道、湖面、滩地</w:t>
            </w:r>
          </w:p>
          <w:p w14:paraId="30469EB0">
            <w:pPr>
              <w:bidi w:val="0"/>
              <w:rPr>
                <w:rFonts w:hint="default" w:ascii="Times New Roman" w:hAnsi="Times New Roman" w:cs="Times New Roman"/>
                <w:lang w:val="en-US" w:eastAsia="zh-CN"/>
              </w:rPr>
            </w:pPr>
            <w:r>
              <w:rPr>
                <w:rFonts w:hint="default" w:ascii="Times New Roman" w:hAnsi="Times New Roman" w:cs="Times New Roman"/>
                <w:lang w:val="en-US" w:eastAsia="zh-CN"/>
              </w:rPr>
              <w:t>2.城镇开发边界调整报国土空间规划原审批机关审批</w:t>
            </w:r>
          </w:p>
        </w:tc>
        <w:tc>
          <w:tcPr>
            <w:tcW w:w="1910" w:type="dxa"/>
            <w:tcBorders>
              <w:tl2br w:val="nil"/>
              <w:tr2bl w:val="nil"/>
            </w:tcBorders>
            <w:noWrap w:val="0"/>
            <w:vAlign w:val="center"/>
          </w:tcPr>
          <w:p w14:paraId="0F4D03B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w:t>
            </w:r>
            <w:r>
              <w:rPr>
                <w:rFonts w:hint="eastAsia" w:cs="Times New Roman"/>
                <w:color w:val="000000"/>
                <w:sz w:val="21"/>
                <w:szCs w:val="21"/>
                <w:lang w:val="en-US" w:eastAsia="zh-CN"/>
              </w:rPr>
              <w:t>在</w:t>
            </w:r>
            <w:r>
              <w:rPr>
                <w:rStyle w:val="29"/>
                <w:rFonts w:hint="eastAsia" w:ascii="宋体" w:hAnsi="宋体" w:eastAsia="宋体" w:cs="Times New Roman"/>
                <w:kern w:val="2"/>
                <w:sz w:val="21"/>
                <w:szCs w:val="21"/>
                <w:lang w:val="en-US" w:eastAsia="zh-CN" w:bidi="ar-SA"/>
              </w:rPr>
              <w:t>城镇开发边界</w:t>
            </w:r>
            <w:r>
              <w:rPr>
                <w:rStyle w:val="29"/>
                <w:rFonts w:hint="eastAsia" w:ascii="宋体" w:hAnsi="宋体" w:cs="Times New Roman"/>
                <w:kern w:val="2"/>
                <w:sz w:val="21"/>
                <w:szCs w:val="21"/>
                <w:lang w:val="en-US" w:eastAsia="zh-CN" w:bidi="ar-SA"/>
              </w:rPr>
              <w:t>，在规划的工业园区内</w:t>
            </w:r>
            <w:r>
              <w:rPr>
                <w:rFonts w:hint="default" w:ascii="Times New Roman" w:hAnsi="Times New Roman" w:eastAsia="宋体" w:cs="Times New Roman"/>
                <w:color w:val="000000"/>
                <w:sz w:val="21"/>
                <w:szCs w:val="21"/>
                <w:vertAlign w:val="baseline"/>
                <w:lang w:val="en-US" w:eastAsia="zh-CN"/>
              </w:rPr>
              <w:t>。</w:t>
            </w:r>
          </w:p>
        </w:tc>
        <w:tc>
          <w:tcPr>
            <w:tcW w:w="920" w:type="dxa"/>
            <w:tcBorders>
              <w:tl2br w:val="nil"/>
              <w:tr2bl w:val="nil"/>
            </w:tcBorders>
            <w:noWrap w:val="0"/>
            <w:vAlign w:val="center"/>
          </w:tcPr>
          <w:p w14:paraId="4EDBF725">
            <w:pPr>
              <w:jc w:val="center"/>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符合</w:t>
            </w:r>
          </w:p>
        </w:tc>
      </w:tr>
      <w:tr w14:paraId="695C9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2F6780E7">
            <w:pPr>
              <w:jc w:val="both"/>
              <w:rPr>
                <w:rStyle w:val="29"/>
                <w:rFonts w:hint="default" w:ascii="Times New Roman" w:hAnsi="Times New Roman" w:eastAsia="宋体" w:cs="Times New Roman"/>
                <w:kern w:val="2"/>
                <w:sz w:val="21"/>
                <w:szCs w:val="21"/>
                <w:lang w:val="en-US" w:eastAsia="zh-CN" w:bidi="ar-SA"/>
              </w:rPr>
            </w:pPr>
          </w:p>
        </w:tc>
        <w:tc>
          <w:tcPr>
            <w:tcW w:w="682" w:type="dxa"/>
            <w:vMerge w:val="continue"/>
            <w:tcBorders>
              <w:tl2br w:val="nil"/>
              <w:tr2bl w:val="nil"/>
            </w:tcBorders>
            <w:noWrap w:val="0"/>
            <w:vAlign w:val="center"/>
          </w:tcPr>
          <w:p w14:paraId="3AC97A6A">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6DFC2837">
            <w:pPr>
              <w:tabs>
                <w:tab w:val="left" w:pos="379"/>
              </w:tabs>
              <w:jc w:val="center"/>
              <w:rPr>
                <w:rStyle w:val="29"/>
                <w:rFonts w:hint="eastAsia" w:ascii="宋体" w:hAnsi="宋体" w:eastAsia="宋体" w:cs="Times New Roman"/>
                <w:kern w:val="2"/>
                <w:sz w:val="21"/>
                <w:szCs w:val="21"/>
                <w:lang w:val="en-US" w:eastAsia="zh-CN" w:bidi="ar-SA"/>
              </w:rPr>
            </w:pPr>
            <w:r>
              <w:rPr>
                <w:rStyle w:val="29"/>
                <w:rFonts w:hint="eastAsia" w:ascii="宋体" w:hAnsi="宋体" w:eastAsia="宋体" w:cs="Times New Roman"/>
                <w:kern w:val="2"/>
                <w:sz w:val="21"/>
                <w:szCs w:val="21"/>
                <w:lang w:val="en-US" w:eastAsia="zh-CN" w:bidi="ar-SA"/>
              </w:rPr>
              <w:t>污染物排放管控</w:t>
            </w:r>
          </w:p>
        </w:tc>
        <w:tc>
          <w:tcPr>
            <w:tcW w:w="7990" w:type="dxa"/>
            <w:tcBorders>
              <w:tl2br w:val="nil"/>
              <w:tr2bl w:val="nil"/>
            </w:tcBorders>
            <w:noWrap w:val="0"/>
            <w:vAlign w:val="center"/>
          </w:tcPr>
          <w:p w14:paraId="26010D9B">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910" w:type="dxa"/>
            <w:tcBorders>
              <w:tl2br w:val="nil"/>
              <w:tr2bl w:val="nil"/>
            </w:tcBorders>
            <w:noWrap w:val="0"/>
            <w:vAlign w:val="center"/>
          </w:tcPr>
          <w:p w14:paraId="7A51768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920" w:type="dxa"/>
            <w:tcBorders>
              <w:tl2br w:val="nil"/>
              <w:tr2bl w:val="nil"/>
            </w:tcBorders>
            <w:noWrap w:val="0"/>
            <w:vAlign w:val="center"/>
          </w:tcPr>
          <w:p w14:paraId="623DA10A">
            <w:pPr>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w:t>
            </w:r>
          </w:p>
        </w:tc>
      </w:tr>
      <w:tr w14:paraId="02B79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2854AD0D">
            <w:pPr>
              <w:jc w:val="both"/>
              <w:rPr>
                <w:rStyle w:val="29"/>
                <w:rFonts w:hint="default" w:ascii="Times New Roman" w:hAnsi="Times New Roman" w:eastAsia="宋体" w:cs="Times New Roman"/>
                <w:kern w:val="2"/>
                <w:sz w:val="21"/>
                <w:szCs w:val="21"/>
                <w:lang w:val="en-US" w:eastAsia="zh-CN" w:bidi="ar-SA"/>
              </w:rPr>
            </w:pPr>
          </w:p>
        </w:tc>
        <w:tc>
          <w:tcPr>
            <w:tcW w:w="682" w:type="dxa"/>
            <w:vMerge w:val="continue"/>
            <w:tcBorders>
              <w:tl2br w:val="nil"/>
              <w:tr2bl w:val="nil"/>
            </w:tcBorders>
            <w:noWrap w:val="0"/>
            <w:vAlign w:val="center"/>
          </w:tcPr>
          <w:p w14:paraId="36205C84">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34A95763">
            <w:pPr>
              <w:jc w:val="center"/>
              <w:rPr>
                <w:rStyle w:val="29"/>
                <w:rFonts w:hint="eastAsia" w:ascii="宋体" w:hAnsi="宋体" w:eastAsia="宋体" w:cs="Times New Roman"/>
                <w:kern w:val="2"/>
                <w:sz w:val="21"/>
                <w:szCs w:val="21"/>
                <w:lang w:val="en-US" w:eastAsia="zh-CN" w:bidi="ar-SA"/>
              </w:rPr>
            </w:pPr>
            <w:r>
              <w:rPr>
                <w:rStyle w:val="29"/>
                <w:rFonts w:hint="eastAsia" w:ascii="宋体" w:hAnsi="宋体" w:eastAsia="宋体" w:cs="Times New Roman"/>
                <w:kern w:val="2"/>
                <w:sz w:val="21"/>
                <w:szCs w:val="21"/>
                <w:lang w:val="en-US" w:eastAsia="zh-CN" w:bidi="ar-SA"/>
              </w:rPr>
              <w:t>环境风险防控</w:t>
            </w:r>
          </w:p>
        </w:tc>
        <w:tc>
          <w:tcPr>
            <w:tcW w:w="7990" w:type="dxa"/>
            <w:tcBorders>
              <w:tl2br w:val="nil"/>
              <w:tr2bl w:val="nil"/>
            </w:tcBorders>
            <w:noWrap w:val="0"/>
            <w:vAlign w:val="center"/>
          </w:tcPr>
          <w:p w14:paraId="4F399C51">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Style w:val="29"/>
                <w:rFonts w:hint="default" w:ascii="宋体" w:hAnsi="宋体" w:eastAsia="宋体" w:cs="Times New Roman"/>
                <w:kern w:val="2"/>
                <w:sz w:val="21"/>
                <w:szCs w:val="21"/>
                <w:lang w:val="en-US" w:eastAsia="zh-CN" w:bidi="ar-SA"/>
              </w:rPr>
            </w:pPr>
            <w:r>
              <w:rPr>
                <w:rStyle w:val="29"/>
                <w:rFonts w:hint="eastAsia" w:ascii="宋体" w:hAnsi="宋体" w:eastAsia="宋体" w:cs="Times New Roman"/>
                <w:kern w:val="2"/>
                <w:sz w:val="21"/>
                <w:szCs w:val="21"/>
                <w:lang w:val="en-US" w:eastAsia="zh-CN" w:bidi="ar-SA"/>
              </w:rPr>
              <w:t>/</w:t>
            </w:r>
          </w:p>
        </w:tc>
        <w:tc>
          <w:tcPr>
            <w:tcW w:w="1910" w:type="dxa"/>
            <w:tcBorders>
              <w:tl2br w:val="nil"/>
              <w:tr2bl w:val="nil"/>
            </w:tcBorders>
            <w:noWrap w:val="0"/>
            <w:vAlign w:val="center"/>
          </w:tcPr>
          <w:p w14:paraId="7EE7381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920" w:type="dxa"/>
            <w:tcBorders>
              <w:tl2br w:val="nil"/>
              <w:tr2bl w:val="nil"/>
            </w:tcBorders>
            <w:noWrap w:val="0"/>
            <w:vAlign w:val="center"/>
          </w:tcPr>
          <w:p w14:paraId="6D359FD4">
            <w:pPr>
              <w:tabs>
                <w:tab w:val="left" w:pos="319"/>
              </w:tabs>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w:t>
            </w:r>
          </w:p>
        </w:tc>
      </w:tr>
      <w:tr w14:paraId="0F3F8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4239803F">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14:paraId="45786017">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7F6F63B7">
            <w:pPr>
              <w:jc w:val="center"/>
              <w:rPr>
                <w:rFonts w:hint="eastAsia" w:ascii="宋体" w:hAnsi="宋体" w:eastAsia="宋体" w:cs="宋体"/>
                <w:color w:val="000000"/>
                <w:sz w:val="21"/>
                <w:szCs w:val="21"/>
                <w:vertAlign w:val="baseline"/>
                <w:lang w:eastAsia="zh-CN"/>
              </w:rPr>
            </w:pPr>
            <w:r>
              <w:rPr>
                <w:rStyle w:val="29"/>
                <w:rFonts w:hint="eastAsia" w:ascii="宋体" w:hAnsi="宋体" w:eastAsia="宋体" w:cs="宋体"/>
                <w:color w:val="000000"/>
                <w:kern w:val="0"/>
                <w:sz w:val="21"/>
                <w:szCs w:val="21"/>
                <w:lang w:val="en-US" w:eastAsia="zh-CN" w:bidi="ar-SA"/>
              </w:rPr>
              <w:t>资源开发利用效率要求</w:t>
            </w:r>
          </w:p>
        </w:tc>
        <w:tc>
          <w:tcPr>
            <w:tcW w:w="7990" w:type="dxa"/>
            <w:tcBorders>
              <w:tl2br w:val="nil"/>
              <w:tr2bl w:val="nil"/>
            </w:tcBorders>
            <w:noWrap w:val="0"/>
            <w:vAlign w:val="center"/>
          </w:tcPr>
          <w:p w14:paraId="7DA26783">
            <w:pPr>
              <w:bidi w:val="0"/>
              <w:rPr>
                <w:lang w:val="en-US" w:eastAsia="zh-CN"/>
              </w:rPr>
            </w:pPr>
            <w:r>
              <w:rPr>
                <w:rFonts w:hint="eastAsia"/>
                <w:lang w:val="en-US" w:eastAsia="zh-CN"/>
              </w:rPr>
              <w:t>土地资源开发效率要求</w:t>
            </w:r>
          </w:p>
          <w:p w14:paraId="231C2D45">
            <w:pPr>
              <w:bidi w:val="0"/>
              <w:rPr>
                <w:rFonts w:hint="eastAsia"/>
                <w:lang w:val="en-US" w:eastAsia="zh-CN"/>
              </w:rPr>
            </w:pPr>
            <w:r>
              <w:rPr>
                <w:rFonts w:hint="eastAsia"/>
                <w:lang w:val="en-US" w:eastAsia="zh-CN"/>
              </w:rPr>
              <w:t>土地资源开发利用量不得超过土地资源利用上线控制性指标。</w:t>
            </w:r>
          </w:p>
          <w:p w14:paraId="61169E28">
            <w:pPr>
              <w:bidi w:val="0"/>
              <w:rPr>
                <w:rFonts w:hint="eastAsia"/>
                <w:lang w:val="en-US" w:eastAsia="zh-CN"/>
              </w:rPr>
            </w:pPr>
            <w:r>
              <w:rPr>
                <w:rFonts w:hint="eastAsia"/>
                <w:lang w:val="en-US" w:eastAsia="zh-CN"/>
              </w:rPr>
              <w:t>能源资源开发效率要求</w:t>
            </w:r>
          </w:p>
          <w:p w14:paraId="5E6AD075">
            <w:pPr>
              <w:bidi w:val="0"/>
              <w:rPr>
                <w:rFonts w:hint="default"/>
                <w:lang w:val="en-US" w:eastAsia="zh-CN"/>
              </w:rPr>
            </w:pPr>
            <w:r>
              <w:rPr>
                <w:rFonts w:hint="eastAsia"/>
                <w:lang w:val="en-US" w:eastAsia="zh-CN"/>
              </w:rPr>
              <w:t>/</w:t>
            </w:r>
          </w:p>
          <w:p w14:paraId="6BA27A29">
            <w:pPr>
              <w:bidi w:val="0"/>
              <w:rPr>
                <w:rFonts w:hint="eastAsia"/>
                <w:lang w:val="en-US" w:eastAsia="zh-CN"/>
              </w:rPr>
            </w:pPr>
            <w:r>
              <w:rPr>
                <w:rFonts w:hint="eastAsia"/>
                <w:lang w:val="en-US" w:eastAsia="zh-CN"/>
              </w:rPr>
              <w:t>其他资源开发效率要求</w:t>
            </w:r>
          </w:p>
          <w:p w14:paraId="5EADC856">
            <w:pPr>
              <w:bidi w:val="0"/>
              <w:rPr>
                <w:rFonts w:hint="default"/>
                <w:lang w:val="en-US" w:eastAsia="zh-CN"/>
              </w:rPr>
            </w:pPr>
            <w:r>
              <w:rPr>
                <w:rFonts w:hint="eastAsia"/>
                <w:lang w:val="en-US" w:eastAsia="zh-CN"/>
              </w:rPr>
              <w:t>/</w:t>
            </w:r>
          </w:p>
        </w:tc>
        <w:tc>
          <w:tcPr>
            <w:tcW w:w="1910" w:type="dxa"/>
            <w:tcBorders>
              <w:tl2br w:val="nil"/>
              <w:tr2bl w:val="nil"/>
            </w:tcBorders>
            <w:noWrap w:val="0"/>
            <w:vAlign w:val="center"/>
          </w:tcPr>
          <w:p w14:paraId="579900F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项目</w:t>
            </w:r>
            <w:r>
              <w:rPr>
                <w:rFonts w:hint="eastAsia" w:cs="Times New Roman"/>
                <w:color w:val="000000"/>
                <w:sz w:val="21"/>
                <w:szCs w:val="21"/>
                <w:vertAlign w:val="baseline"/>
                <w:lang w:val="en-US" w:eastAsia="zh-CN"/>
              </w:rPr>
              <w:t>在规划的工业产业园区内，租用的已建厂房进行生产</w:t>
            </w:r>
            <w:r>
              <w:rPr>
                <w:rFonts w:hint="eastAsia"/>
                <w:lang w:eastAsia="zh-CN"/>
              </w:rPr>
              <w:t>，</w:t>
            </w:r>
            <w:r>
              <w:rPr>
                <w:rFonts w:hint="eastAsia"/>
                <w:lang w:val="en-US" w:eastAsia="zh-CN"/>
              </w:rPr>
              <w:t>土地资源开发利用量不超过土地资源利用上线控制性指标</w:t>
            </w:r>
            <w:r>
              <w:rPr>
                <w:rFonts w:hint="default" w:ascii="Times New Roman" w:hAnsi="Times New Roman" w:eastAsia="宋体" w:cs="Times New Roman"/>
                <w:color w:val="000000"/>
                <w:sz w:val="21"/>
                <w:szCs w:val="21"/>
                <w:vertAlign w:val="baseline"/>
                <w:lang w:val="en-US" w:eastAsia="zh-CN"/>
              </w:rPr>
              <w:t>。</w:t>
            </w:r>
          </w:p>
        </w:tc>
        <w:tc>
          <w:tcPr>
            <w:tcW w:w="920" w:type="dxa"/>
            <w:tcBorders>
              <w:tl2br w:val="nil"/>
              <w:tr2bl w:val="nil"/>
            </w:tcBorders>
            <w:noWrap w:val="0"/>
            <w:vAlign w:val="center"/>
          </w:tcPr>
          <w:p w14:paraId="0B397DBE">
            <w:pPr>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符合</w:t>
            </w:r>
          </w:p>
        </w:tc>
      </w:tr>
      <w:tr w14:paraId="528F8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77" w:type="dxa"/>
            <w:vMerge w:val="restart"/>
            <w:tcBorders>
              <w:tl2br w:val="nil"/>
              <w:tr2bl w:val="nil"/>
            </w:tcBorders>
            <w:noWrap w:val="0"/>
            <w:vAlign w:val="center"/>
          </w:tcPr>
          <w:p w14:paraId="2051675D">
            <w:pPr>
              <w:jc w:val="center"/>
              <w:rPr>
                <w:rFonts w:hint="default" w:ascii="Times New Roman" w:hAnsi="Times New Roman" w:eastAsia="宋体" w:cs="Times New Roman"/>
                <w:color w:val="000000"/>
                <w:sz w:val="21"/>
                <w:szCs w:val="21"/>
                <w:vertAlign w:val="baseline"/>
              </w:rPr>
            </w:pPr>
            <w:r>
              <w:rPr>
                <w:rStyle w:val="29"/>
                <w:rFonts w:hint="default" w:ascii="Times New Roman" w:hAnsi="Times New Roman" w:eastAsia="宋体" w:cs="Times New Roman"/>
                <w:kern w:val="2"/>
                <w:sz w:val="21"/>
                <w:szCs w:val="21"/>
                <w:lang w:val="en-US" w:eastAsia="zh-CN" w:bidi="ar-SA"/>
              </w:rPr>
              <w:t>YS5109212540002蓬溪县上游工业园产业聚集区</w:t>
            </w:r>
          </w:p>
        </w:tc>
        <w:tc>
          <w:tcPr>
            <w:tcW w:w="682" w:type="dxa"/>
            <w:vMerge w:val="restart"/>
            <w:tcBorders>
              <w:tl2br w:val="nil"/>
              <w:tr2bl w:val="nil"/>
            </w:tcBorders>
            <w:noWrap w:val="0"/>
            <w:vAlign w:val="center"/>
          </w:tcPr>
          <w:p w14:paraId="1157B76D">
            <w:pPr>
              <w:jc w:val="both"/>
              <w:rPr>
                <w:rFonts w:hint="eastAsia" w:ascii="宋体" w:hAnsi="宋体" w:eastAsia="宋体" w:cs="宋体"/>
                <w:color w:val="000000"/>
                <w:sz w:val="21"/>
                <w:szCs w:val="21"/>
                <w:vertAlign w:val="baseline"/>
                <w:lang w:eastAsia="zh-CN"/>
              </w:rPr>
            </w:pPr>
            <w:r>
              <w:rPr>
                <w:rFonts w:hint="eastAsia" w:ascii="宋体" w:hAnsi="宋体" w:cs="宋体"/>
                <w:color w:val="000000"/>
                <w:sz w:val="21"/>
                <w:szCs w:val="21"/>
                <w:vertAlign w:val="baseline"/>
                <w:lang w:val="en-US" w:eastAsia="zh-CN"/>
              </w:rPr>
              <w:t>单元特</w:t>
            </w:r>
            <w:r>
              <w:rPr>
                <w:rStyle w:val="29"/>
                <w:rFonts w:hint="eastAsia" w:ascii="宋体" w:hAnsi="宋体" w:eastAsia="宋体" w:cs="Times New Roman"/>
                <w:kern w:val="2"/>
                <w:sz w:val="21"/>
                <w:szCs w:val="21"/>
                <w:lang w:val="en-US" w:eastAsia="zh-CN" w:bidi="ar-SA"/>
              </w:rPr>
              <w:t>性管控要求</w:t>
            </w:r>
          </w:p>
        </w:tc>
        <w:tc>
          <w:tcPr>
            <w:tcW w:w="1248" w:type="dxa"/>
            <w:tcBorders>
              <w:tl2br w:val="nil"/>
              <w:tr2bl w:val="nil"/>
            </w:tcBorders>
            <w:noWrap w:val="0"/>
            <w:vAlign w:val="center"/>
          </w:tcPr>
          <w:p w14:paraId="54A1D1D9">
            <w:pPr>
              <w:jc w:val="center"/>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空间布局约束</w:t>
            </w:r>
          </w:p>
        </w:tc>
        <w:tc>
          <w:tcPr>
            <w:tcW w:w="7990" w:type="dxa"/>
            <w:tcBorders>
              <w:tl2br w:val="nil"/>
              <w:tr2bl w:val="nil"/>
            </w:tcBorders>
            <w:noWrap w:val="0"/>
            <w:vAlign w:val="center"/>
          </w:tcPr>
          <w:p w14:paraId="12F50DED">
            <w:pPr>
              <w:bidi w:val="0"/>
              <w:jc w:val="center"/>
              <w:rPr>
                <w:rFonts w:hint="eastAsia" w:ascii="宋体" w:hAnsi="宋体" w:eastAsia="宋体" w:cs="宋体"/>
                <w:color w:val="000000"/>
                <w:szCs w:val="21"/>
                <w:vertAlign w:val="baseline"/>
              </w:rPr>
            </w:pPr>
            <w:r>
              <w:rPr>
                <w:rFonts w:hint="eastAsia"/>
                <w:lang w:val="en-US" w:eastAsia="zh-CN"/>
              </w:rPr>
              <w:t>坚决遏制“两高一低”项目盲目发展</w:t>
            </w:r>
          </w:p>
        </w:tc>
        <w:tc>
          <w:tcPr>
            <w:tcW w:w="1910" w:type="dxa"/>
            <w:tcBorders>
              <w:tl2br w:val="nil"/>
              <w:tr2bl w:val="nil"/>
            </w:tcBorders>
            <w:noWrap w:val="0"/>
            <w:vAlign w:val="center"/>
          </w:tcPr>
          <w:p w14:paraId="248A3EC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sz w:val="21"/>
                <w:szCs w:val="21"/>
                <w:lang w:val="en-US" w:eastAsia="zh-CN"/>
              </w:rPr>
              <w:t>不涉及</w:t>
            </w:r>
            <w:r>
              <w:rPr>
                <w:rFonts w:hint="default" w:ascii="Times New Roman" w:hAnsi="Times New Roman" w:eastAsia="宋体" w:cs="Times New Roman"/>
                <w:bCs/>
                <w:sz w:val="21"/>
                <w:szCs w:val="21"/>
                <w:lang w:eastAsia="zh-CN"/>
              </w:rPr>
              <w:t>。</w:t>
            </w:r>
          </w:p>
        </w:tc>
        <w:tc>
          <w:tcPr>
            <w:tcW w:w="920" w:type="dxa"/>
            <w:tcBorders>
              <w:tl2br w:val="nil"/>
              <w:tr2bl w:val="nil"/>
            </w:tcBorders>
            <w:noWrap w:val="0"/>
            <w:vAlign w:val="center"/>
          </w:tcPr>
          <w:p w14:paraId="47BE64F6">
            <w:pPr>
              <w:jc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lang w:eastAsia="zh-CN"/>
              </w:rPr>
              <w:t>符合</w:t>
            </w:r>
          </w:p>
        </w:tc>
      </w:tr>
      <w:tr w14:paraId="30BA4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4D682520">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4F5D7D33">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5AE4BD84">
            <w:pPr>
              <w:jc w:val="center"/>
              <w:rPr>
                <w:rFonts w:hint="eastAsia" w:ascii="宋体" w:hAnsi="宋体" w:eastAsia="宋体" w:cs="宋体"/>
                <w:color w:val="000000"/>
                <w:kern w:val="2"/>
                <w:sz w:val="21"/>
                <w:szCs w:val="21"/>
                <w:vertAlign w:val="baseline"/>
                <w:lang w:val="en-US" w:eastAsia="zh-CN" w:bidi="ar-SA"/>
              </w:rPr>
            </w:pPr>
            <w:r>
              <w:rPr>
                <w:rStyle w:val="29"/>
                <w:rFonts w:hint="eastAsia" w:ascii="宋体" w:hAnsi="宋体" w:eastAsia="宋体" w:cs="Times New Roman"/>
                <w:kern w:val="2"/>
                <w:sz w:val="21"/>
                <w:szCs w:val="21"/>
                <w:lang w:val="en-US" w:eastAsia="zh-CN" w:bidi="ar-SA"/>
              </w:rPr>
              <w:t>资源开发效率要求</w:t>
            </w:r>
          </w:p>
        </w:tc>
        <w:tc>
          <w:tcPr>
            <w:tcW w:w="7990" w:type="dxa"/>
            <w:tcBorders>
              <w:tl2br w:val="nil"/>
              <w:tr2bl w:val="nil"/>
            </w:tcBorders>
            <w:noWrap w:val="0"/>
            <w:vAlign w:val="center"/>
          </w:tcPr>
          <w:p w14:paraId="54DC640B">
            <w:pPr>
              <w:bidi w:val="0"/>
              <w:rPr>
                <w:lang w:val="en-US" w:eastAsia="zh-CN"/>
              </w:rPr>
            </w:pPr>
            <w:r>
              <w:rPr>
                <w:rFonts w:hint="eastAsia"/>
                <w:lang w:val="en-US" w:eastAsia="zh-CN"/>
              </w:rPr>
              <w:t>土地资源开发效率要求</w:t>
            </w:r>
          </w:p>
          <w:p w14:paraId="03872069">
            <w:pPr>
              <w:bidi w:val="0"/>
              <w:rPr>
                <w:rFonts w:hint="default"/>
                <w:lang w:val="en-US" w:eastAsia="zh-CN"/>
              </w:rPr>
            </w:pPr>
            <w:r>
              <w:rPr>
                <w:rFonts w:hint="eastAsia"/>
                <w:lang w:val="en-US" w:eastAsia="zh-CN"/>
              </w:rPr>
              <w:t>/</w:t>
            </w:r>
          </w:p>
          <w:p w14:paraId="70B2E7B5">
            <w:pPr>
              <w:bidi w:val="0"/>
              <w:rPr>
                <w:rFonts w:hint="default"/>
                <w:lang w:val="en-US" w:eastAsia="zh-CN"/>
              </w:rPr>
            </w:pPr>
            <w:r>
              <w:rPr>
                <w:rFonts w:hint="eastAsia"/>
                <w:lang w:val="en-US" w:eastAsia="zh-CN"/>
              </w:rPr>
              <w:t>能源资源开发效率要求</w:t>
            </w:r>
          </w:p>
          <w:p w14:paraId="13EFE2D6">
            <w:pPr>
              <w:bidi w:val="0"/>
              <w:ind w:firstLine="210" w:firstLineChars="100"/>
              <w:rPr>
                <w:rFonts w:hint="eastAsia"/>
                <w:lang w:val="en-US" w:eastAsia="zh-CN"/>
              </w:rPr>
            </w:pPr>
            <w:r>
              <w:rPr>
                <w:rFonts w:hint="eastAsia"/>
                <w:lang w:val="en-US" w:eastAsia="zh-CN"/>
              </w:rPr>
              <w:t>能源消耗、污染物排放不得超过能源利用上线控制性指标。</w:t>
            </w:r>
          </w:p>
          <w:p w14:paraId="3273E01B">
            <w:pPr>
              <w:bidi w:val="0"/>
              <w:rPr>
                <w:rFonts w:hint="eastAsia"/>
                <w:lang w:val="en-US" w:eastAsia="zh-CN"/>
              </w:rPr>
            </w:pPr>
            <w:r>
              <w:rPr>
                <w:rFonts w:hint="eastAsia"/>
                <w:lang w:val="en-US" w:eastAsia="zh-CN"/>
              </w:rPr>
              <w:t>其他资源开发效率要求</w:t>
            </w:r>
          </w:p>
          <w:p w14:paraId="297AED9A">
            <w:pPr>
              <w:pStyle w:val="2"/>
              <w:rPr>
                <w:rFonts w:hint="default"/>
                <w:lang w:val="en-US"/>
              </w:rPr>
            </w:pPr>
            <w:r>
              <w:rPr>
                <w:rFonts w:hint="eastAsia"/>
                <w:lang w:val="en-US" w:eastAsia="zh-CN"/>
              </w:rPr>
              <w:t>/</w:t>
            </w:r>
          </w:p>
        </w:tc>
        <w:tc>
          <w:tcPr>
            <w:tcW w:w="1910" w:type="dxa"/>
            <w:tcBorders>
              <w:tl2br w:val="nil"/>
              <w:tr2bl w:val="nil"/>
            </w:tcBorders>
            <w:noWrap w:val="0"/>
            <w:vAlign w:val="center"/>
          </w:tcPr>
          <w:p w14:paraId="3683E36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w:t>
            </w:r>
            <w:r>
              <w:rPr>
                <w:rFonts w:hint="eastAsia" w:ascii="Times New Roman" w:hAnsi="Times New Roman" w:eastAsia="宋体" w:cs="Times New Roman"/>
                <w:color w:val="000000"/>
                <w:sz w:val="21"/>
                <w:szCs w:val="21"/>
                <w:vertAlign w:val="baseline"/>
                <w:lang w:val="en-US" w:eastAsia="zh-CN"/>
              </w:rPr>
              <w:t>项目有机废气经二级活性炭吸附处理后能满足达标排放的要求</w:t>
            </w:r>
            <w:r>
              <w:rPr>
                <w:rFonts w:hint="eastAsia" w:cs="Times New Roman"/>
                <w:color w:val="000000"/>
                <w:sz w:val="21"/>
                <w:szCs w:val="21"/>
                <w:vertAlign w:val="baseline"/>
                <w:lang w:val="en-US" w:eastAsia="zh-CN"/>
              </w:rPr>
              <w:t>，</w:t>
            </w:r>
            <w:r>
              <w:rPr>
                <w:rFonts w:hint="eastAsia"/>
                <w:lang w:val="en-US" w:eastAsia="zh-CN"/>
              </w:rPr>
              <w:t>污染物排放不超过能源利用上线控制性指标</w:t>
            </w:r>
            <w:r>
              <w:rPr>
                <w:rFonts w:hint="eastAsia" w:ascii="Times New Roman" w:hAnsi="Times New Roman" w:eastAsia="宋体" w:cs="Times New Roman"/>
                <w:color w:val="000000"/>
                <w:sz w:val="21"/>
                <w:szCs w:val="21"/>
                <w:vertAlign w:val="baseline"/>
                <w:lang w:val="en-US" w:eastAsia="zh-CN"/>
              </w:rPr>
              <w:t>。</w:t>
            </w:r>
          </w:p>
        </w:tc>
        <w:tc>
          <w:tcPr>
            <w:tcW w:w="920" w:type="dxa"/>
            <w:tcBorders>
              <w:tl2br w:val="nil"/>
              <w:tr2bl w:val="nil"/>
            </w:tcBorders>
            <w:noWrap w:val="0"/>
            <w:vAlign w:val="center"/>
          </w:tcPr>
          <w:p w14:paraId="6F088C3A">
            <w:pPr>
              <w:jc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lang w:eastAsia="zh-CN"/>
              </w:rPr>
              <w:t>符合</w:t>
            </w:r>
          </w:p>
        </w:tc>
      </w:tr>
      <w:tr w14:paraId="6316B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4690E8F2">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7FAF2956">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719DFDF8">
            <w:pPr>
              <w:jc w:val="center"/>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环境风险管控</w:t>
            </w:r>
          </w:p>
        </w:tc>
        <w:tc>
          <w:tcPr>
            <w:tcW w:w="7990" w:type="dxa"/>
            <w:vMerge w:val="restart"/>
            <w:tcBorders>
              <w:tl2br w:val="nil"/>
              <w:tr2bl w:val="nil"/>
            </w:tcBorders>
            <w:noWrap w:val="0"/>
            <w:vAlign w:val="center"/>
          </w:tcPr>
          <w:p w14:paraId="33C0C37E">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c>
          <w:tcPr>
            <w:tcW w:w="1910" w:type="dxa"/>
            <w:vMerge w:val="restart"/>
            <w:tcBorders>
              <w:tl2br w:val="nil"/>
              <w:tr2bl w:val="nil"/>
            </w:tcBorders>
            <w:noWrap w:val="0"/>
            <w:vAlign w:val="center"/>
          </w:tcPr>
          <w:p w14:paraId="7C8F44F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920" w:type="dxa"/>
            <w:vMerge w:val="restart"/>
            <w:tcBorders>
              <w:tl2br w:val="nil"/>
              <w:tr2bl w:val="nil"/>
            </w:tcBorders>
            <w:noWrap w:val="0"/>
            <w:vAlign w:val="center"/>
          </w:tcPr>
          <w:p w14:paraId="0710E757">
            <w:pPr>
              <w:jc w:val="center"/>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r>
      <w:tr w14:paraId="5538C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14:paraId="3D0B7872">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094A0781">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7058DC29">
            <w:pPr>
              <w:jc w:val="center"/>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资源开发利用效率</w:t>
            </w:r>
          </w:p>
        </w:tc>
        <w:tc>
          <w:tcPr>
            <w:tcW w:w="7990" w:type="dxa"/>
            <w:vMerge w:val="continue"/>
            <w:tcBorders>
              <w:tl2br w:val="nil"/>
              <w:tr2bl w:val="nil"/>
            </w:tcBorders>
            <w:noWrap w:val="0"/>
            <w:vAlign w:val="center"/>
          </w:tcPr>
          <w:p w14:paraId="5D138BD2">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vertAlign w:val="baseline"/>
              </w:rPr>
            </w:pPr>
          </w:p>
        </w:tc>
        <w:tc>
          <w:tcPr>
            <w:tcW w:w="1910" w:type="dxa"/>
            <w:vMerge w:val="continue"/>
            <w:tcBorders>
              <w:tl2br w:val="nil"/>
              <w:tr2bl w:val="nil"/>
            </w:tcBorders>
            <w:noWrap w:val="0"/>
            <w:vAlign w:val="center"/>
          </w:tcPr>
          <w:p w14:paraId="2550453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p>
        </w:tc>
        <w:tc>
          <w:tcPr>
            <w:tcW w:w="920" w:type="dxa"/>
            <w:vMerge w:val="continue"/>
            <w:tcBorders>
              <w:tl2br w:val="nil"/>
              <w:tr2bl w:val="nil"/>
            </w:tcBorders>
            <w:noWrap w:val="0"/>
            <w:vAlign w:val="center"/>
          </w:tcPr>
          <w:p w14:paraId="3128336B">
            <w:pPr>
              <w:jc w:val="center"/>
              <w:rPr>
                <w:rFonts w:hint="eastAsia" w:ascii="宋体" w:hAnsi="宋体" w:eastAsia="宋体" w:cs="宋体"/>
                <w:color w:val="000000"/>
                <w:sz w:val="21"/>
                <w:szCs w:val="21"/>
                <w:vertAlign w:val="baseline"/>
              </w:rPr>
            </w:pPr>
          </w:p>
        </w:tc>
      </w:tr>
      <w:tr w14:paraId="3AC43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restart"/>
            <w:tcBorders>
              <w:tl2br w:val="nil"/>
              <w:tr2bl w:val="nil"/>
            </w:tcBorders>
            <w:noWrap w:val="0"/>
            <w:vAlign w:val="center"/>
          </w:tcPr>
          <w:p w14:paraId="212E9096">
            <w:pPr>
              <w:jc w:val="both"/>
              <w:rPr>
                <w:rFonts w:hint="default" w:ascii="Times New Roman" w:hAnsi="Times New Roman" w:eastAsia="宋体" w:cs="Times New Roman"/>
                <w:color w:val="000000"/>
                <w:sz w:val="21"/>
                <w:szCs w:val="21"/>
                <w:vertAlign w:val="baseline"/>
              </w:rPr>
            </w:pPr>
            <w:r>
              <w:rPr>
                <w:rStyle w:val="29"/>
                <w:rFonts w:hint="default" w:ascii="Times New Roman" w:hAnsi="Times New Roman" w:eastAsia="宋体" w:cs="Times New Roman"/>
                <w:kern w:val="2"/>
                <w:sz w:val="21"/>
                <w:szCs w:val="21"/>
                <w:lang w:val="en-US" w:eastAsia="zh-CN" w:bidi="ar-SA"/>
              </w:rPr>
              <w:t>YS5109212550001蓬溪县自然资源重点管控区</w:t>
            </w:r>
          </w:p>
        </w:tc>
        <w:tc>
          <w:tcPr>
            <w:tcW w:w="682" w:type="dxa"/>
            <w:vMerge w:val="restart"/>
            <w:tcBorders>
              <w:tl2br w:val="nil"/>
              <w:tr2bl w:val="nil"/>
            </w:tcBorders>
            <w:noWrap w:val="0"/>
            <w:vAlign w:val="center"/>
          </w:tcPr>
          <w:p w14:paraId="2727CC9C">
            <w:pPr>
              <w:jc w:val="both"/>
              <w:rPr>
                <w:rFonts w:hint="eastAsia" w:ascii="宋体" w:hAnsi="宋体" w:eastAsia="宋体" w:cs="宋体"/>
                <w:color w:val="000000"/>
                <w:sz w:val="21"/>
                <w:szCs w:val="21"/>
                <w:vertAlign w:val="baseline"/>
              </w:rPr>
            </w:pPr>
            <w:r>
              <w:rPr>
                <w:rFonts w:hint="eastAsia" w:ascii="宋体" w:hAnsi="宋体" w:cs="宋体"/>
                <w:color w:val="000000"/>
                <w:sz w:val="21"/>
                <w:szCs w:val="21"/>
                <w:vertAlign w:val="baseline"/>
                <w:lang w:val="en-US" w:eastAsia="zh-CN"/>
              </w:rPr>
              <w:t>单元特</w:t>
            </w:r>
            <w:r>
              <w:rPr>
                <w:rStyle w:val="29"/>
                <w:rFonts w:hint="eastAsia" w:ascii="宋体" w:hAnsi="宋体" w:eastAsia="宋体" w:cs="Times New Roman"/>
                <w:kern w:val="2"/>
                <w:sz w:val="21"/>
                <w:szCs w:val="21"/>
                <w:lang w:val="en-US" w:eastAsia="zh-CN" w:bidi="ar-SA"/>
              </w:rPr>
              <w:t>性管控要求</w:t>
            </w:r>
          </w:p>
        </w:tc>
        <w:tc>
          <w:tcPr>
            <w:tcW w:w="1248" w:type="dxa"/>
            <w:tcBorders>
              <w:tl2br w:val="nil"/>
              <w:tr2bl w:val="nil"/>
            </w:tcBorders>
            <w:noWrap w:val="0"/>
            <w:vAlign w:val="center"/>
          </w:tcPr>
          <w:p w14:paraId="2A1C3DB7">
            <w:pPr>
              <w:jc w:val="center"/>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空间布局约束</w:t>
            </w:r>
          </w:p>
        </w:tc>
        <w:tc>
          <w:tcPr>
            <w:tcW w:w="7990" w:type="dxa"/>
            <w:vMerge w:val="restart"/>
            <w:tcBorders>
              <w:tl2br w:val="nil"/>
              <w:tr2bl w:val="nil"/>
            </w:tcBorders>
            <w:noWrap w:val="0"/>
            <w:vAlign w:val="center"/>
          </w:tcPr>
          <w:p w14:paraId="5C71379D">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c>
          <w:tcPr>
            <w:tcW w:w="1910" w:type="dxa"/>
            <w:vMerge w:val="restart"/>
            <w:tcBorders>
              <w:tl2br w:val="nil"/>
              <w:tr2bl w:val="nil"/>
            </w:tcBorders>
            <w:noWrap w:val="0"/>
            <w:vAlign w:val="center"/>
          </w:tcPr>
          <w:p w14:paraId="43625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920" w:type="dxa"/>
            <w:vMerge w:val="restart"/>
            <w:tcBorders>
              <w:tl2br w:val="nil"/>
              <w:tr2bl w:val="nil"/>
            </w:tcBorders>
            <w:noWrap w:val="0"/>
            <w:vAlign w:val="center"/>
          </w:tcPr>
          <w:p w14:paraId="72ACBE34">
            <w:pPr>
              <w:jc w:val="center"/>
              <w:rPr>
                <w:rFonts w:hint="eastAsia"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w:t>
            </w:r>
          </w:p>
        </w:tc>
      </w:tr>
      <w:tr w14:paraId="4C9B8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14:paraId="720FE482">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14:paraId="1BBEE6C7">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02436D89">
            <w:pPr>
              <w:jc w:val="center"/>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污染物排放管控</w:t>
            </w:r>
          </w:p>
        </w:tc>
        <w:tc>
          <w:tcPr>
            <w:tcW w:w="7990" w:type="dxa"/>
            <w:vMerge w:val="continue"/>
            <w:tcBorders>
              <w:tl2br w:val="nil"/>
              <w:tr2bl w:val="nil"/>
            </w:tcBorders>
            <w:noWrap w:val="0"/>
            <w:vAlign w:val="center"/>
          </w:tcPr>
          <w:p w14:paraId="450EED29">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vertAlign w:val="baseline"/>
                <w:lang w:val="en-US" w:eastAsia="zh-CN"/>
              </w:rPr>
            </w:pPr>
          </w:p>
        </w:tc>
        <w:tc>
          <w:tcPr>
            <w:tcW w:w="1910" w:type="dxa"/>
            <w:vMerge w:val="continue"/>
            <w:tcBorders>
              <w:tl2br w:val="nil"/>
              <w:tr2bl w:val="nil"/>
            </w:tcBorders>
            <w:noWrap w:val="0"/>
            <w:vAlign w:val="center"/>
          </w:tcPr>
          <w:p w14:paraId="374369A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p>
        </w:tc>
        <w:tc>
          <w:tcPr>
            <w:tcW w:w="920" w:type="dxa"/>
            <w:vMerge w:val="continue"/>
            <w:tcBorders>
              <w:tl2br w:val="nil"/>
              <w:tr2bl w:val="nil"/>
            </w:tcBorders>
            <w:noWrap w:val="0"/>
            <w:vAlign w:val="center"/>
          </w:tcPr>
          <w:p w14:paraId="147FC164">
            <w:pPr>
              <w:jc w:val="center"/>
              <w:rPr>
                <w:rFonts w:hint="eastAsia" w:ascii="宋体" w:hAnsi="宋体" w:eastAsia="宋体" w:cs="宋体"/>
                <w:color w:val="000000"/>
                <w:sz w:val="21"/>
                <w:szCs w:val="21"/>
                <w:vertAlign w:val="baseline"/>
                <w:lang w:val="en-US" w:eastAsia="zh-CN"/>
              </w:rPr>
            </w:pPr>
          </w:p>
        </w:tc>
      </w:tr>
      <w:tr w14:paraId="20B9E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14:paraId="25C22315">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14:paraId="27B270F9">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4A449397">
            <w:pPr>
              <w:jc w:val="center"/>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环境风险管控</w:t>
            </w:r>
          </w:p>
        </w:tc>
        <w:tc>
          <w:tcPr>
            <w:tcW w:w="7990" w:type="dxa"/>
            <w:vMerge w:val="continue"/>
            <w:tcBorders>
              <w:tl2br w:val="nil"/>
              <w:tr2bl w:val="nil"/>
            </w:tcBorders>
            <w:noWrap w:val="0"/>
            <w:vAlign w:val="center"/>
          </w:tcPr>
          <w:p w14:paraId="368C91A2">
            <w:pPr>
              <w:pStyle w:val="76"/>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000000"/>
                <w:kern w:val="2"/>
                <w:sz w:val="21"/>
                <w:szCs w:val="21"/>
                <w:lang w:val="en-US" w:eastAsia="zh-CN" w:bidi="ar-SA"/>
              </w:rPr>
            </w:pPr>
          </w:p>
        </w:tc>
        <w:tc>
          <w:tcPr>
            <w:tcW w:w="1910" w:type="dxa"/>
            <w:vMerge w:val="continue"/>
            <w:tcBorders>
              <w:tl2br w:val="nil"/>
              <w:tr2bl w:val="nil"/>
            </w:tcBorders>
            <w:noWrap w:val="0"/>
            <w:vAlign w:val="center"/>
          </w:tcPr>
          <w:p w14:paraId="529E854E">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p>
        </w:tc>
        <w:tc>
          <w:tcPr>
            <w:tcW w:w="920" w:type="dxa"/>
            <w:vMerge w:val="continue"/>
            <w:tcBorders>
              <w:tl2br w:val="nil"/>
              <w:tr2bl w:val="nil"/>
            </w:tcBorders>
            <w:noWrap w:val="0"/>
            <w:vAlign w:val="center"/>
          </w:tcPr>
          <w:p w14:paraId="3694CA7A">
            <w:pPr>
              <w:jc w:val="center"/>
              <w:rPr>
                <w:rFonts w:hint="eastAsia" w:ascii="宋体" w:hAnsi="宋体" w:eastAsia="宋体" w:cs="宋体"/>
                <w:color w:val="000000"/>
                <w:sz w:val="21"/>
                <w:szCs w:val="21"/>
                <w:vertAlign w:val="baseline"/>
              </w:rPr>
            </w:pPr>
          </w:p>
        </w:tc>
      </w:tr>
      <w:tr w14:paraId="2079B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14:paraId="7D8BA4DF">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14:paraId="2690EF64">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0923FEFC">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资源开发利用效率</w:t>
            </w:r>
          </w:p>
        </w:tc>
        <w:tc>
          <w:tcPr>
            <w:tcW w:w="7990" w:type="dxa"/>
            <w:tcBorders>
              <w:tl2br w:val="nil"/>
              <w:tr2bl w:val="nil"/>
            </w:tcBorders>
            <w:noWrap w:val="0"/>
            <w:vAlign w:val="center"/>
          </w:tcPr>
          <w:p w14:paraId="3CC7B806">
            <w:pPr>
              <w:bidi w:val="0"/>
              <w:rPr>
                <w:rFonts w:hint="eastAsia"/>
                <w:lang w:val="en-US" w:eastAsia="zh-CN"/>
              </w:rPr>
            </w:pPr>
            <w:r>
              <w:rPr>
                <w:rFonts w:hint="eastAsia"/>
                <w:lang w:val="en-US" w:eastAsia="zh-CN"/>
              </w:rPr>
              <w:t>土地资源开发效率要求</w:t>
            </w:r>
          </w:p>
          <w:p w14:paraId="4F368850">
            <w:pPr>
              <w:bidi w:val="0"/>
              <w:ind w:firstLine="420" w:firstLineChars="200"/>
              <w:rPr>
                <w:rFonts w:hint="default"/>
                <w:lang w:val="en-US" w:eastAsia="zh-CN"/>
              </w:rPr>
            </w:pPr>
            <w:r>
              <w:rPr>
                <w:rFonts w:hint="eastAsia"/>
                <w:lang w:val="en-US" w:eastAsia="zh-CN"/>
              </w:rPr>
              <w:t>/</w:t>
            </w:r>
          </w:p>
          <w:p w14:paraId="302C81F3">
            <w:pPr>
              <w:bidi w:val="0"/>
              <w:rPr>
                <w:rFonts w:hint="eastAsia"/>
                <w:lang w:val="en-US" w:eastAsia="zh-CN"/>
              </w:rPr>
            </w:pPr>
            <w:r>
              <w:rPr>
                <w:rFonts w:hint="eastAsia"/>
                <w:lang w:val="en-US" w:eastAsia="zh-CN"/>
              </w:rPr>
              <w:t>能源资源开发效率要求</w:t>
            </w:r>
          </w:p>
          <w:p w14:paraId="25CA0FF5">
            <w:pPr>
              <w:bidi w:val="0"/>
              <w:ind w:firstLine="420" w:firstLineChars="200"/>
              <w:rPr>
                <w:rFonts w:hint="eastAsia"/>
                <w:lang w:val="en-US" w:eastAsia="zh-CN"/>
              </w:rPr>
            </w:pPr>
            <w:r>
              <w:rPr>
                <w:rFonts w:hint="eastAsia"/>
                <w:lang w:val="en-US" w:eastAsia="zh-CN"/>
              </w:rPr>
              <w:t>/</w:t>
            </w:r>
          </w:p>
          <w:p w14:paraId="3FEDBB35">
            <w:pPr>
              <w:bidi w:val="0"/>
              <w:rPr>
                <w:rFonts w:hint="eastAsia"/>
                <w:lang w:val="en-US" w:eastAsia="zh-CN"/>
              </w:rPr>
            </w:pPr>
            <w:r>
              <w:rPr>
                <w:rFonts w:hint="eastAsia"/>
                <w:lang w:val="en-US" w:eastAsia="zh-CN"/>
              </w:rPr>
              <w:t>其他资源开发效率要求</w:t>
            </w:r>
          </w:p>
          <w:p w14:paraId="6772E270">
            <w:pPr>
              <w:bidi w:val="0"/>
              <w:ind w:firstLine="420" w:firstLineChars="200"/>
              <w:rPr>
                <w:rFonts w:hint="default"/>
                <w:lang w:val="en-US" w:eastAsia="zh-CN"/>
              </w:rPr>
            </w:pPr>
            <w:r>
              <w:rPr>
                <w:rFonts w:hint="eastAsia"/>
                <w:lang w:val="en-US" w:eastAsia="zh-CN"/>
              </w:rPr>
              <w:t>/</w:t>
            </w:r>
          </w:p>
        </w:tc>
        <w:tc>
          <w:tcPr>
            <w:tcW w:w="1910" w:type="dxa"/>
            <w:tcBorders>
              <w:tl2br w:val="nil"/>
              <w:tr2bl w:val="nil"/>
            </w:tcBorders>
            <w:noWrap w:val="0"/>
            <w:vAlign w:val="center"/>
          </w:tcPr>
          <w:p w14:paraId="4E014E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w:t>
            </w:r>
          </w:p>
        </w:tc>
        <w:tc>
          <w:tcPr>
            <w:tcW w:w="920" w:type="dxa"/>
            <w:tcBorders>
              <w:tl2br w:val="nil"/>
              <w:tr2bl w:val="nil"/>
            </w:tcBorders>
            <w:noWrap w:val="0"/>
            <w:vAlign w:val="center"/>
          </w:tcPr>
          <w:p w14:paraId="453D9FCB">
            <w:pPr>
              <w:jc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lang w:val="en-US" w:eastAsia="zh-CN"/>
              </w:rPr>
              <w:t>/</w:t>
            </w:r>
          </w:p>
        </w:tc>
      </w:tr>
      <w:tr w14:paraId="60467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restart"/>
            <w:tcBorders>
              <w:tl2br w:val="nil"/>
              <w:tr2bl w:val="nil"/>
            </w:tcBorders>
            <w:noWrap w:val="0"/>
            <w:vAlign w:val="center"/>
          </w:tcPr>
          <w:p w14:paraId="60C36847">
            <w:pPr>
              <w:jc w:val="both"/>
              <w:rPr>
                <w:rFonts w:hint="default" w:ascii="Times New Roman" w:hAnsi="Times New Roman" w:eastAsia="宋体" w:cs="Times New Roman"/>
                <w:color w:val="000000"/>
                <w:sz w:val="21"/>
                <w:szCs w:val="21"/>
                <w:vertAlign w:val="baseline"/>
              </w:rPr>
            </w:pPr>
            <w:r>
              <w:rPr>
                <w:rStyle w:val="29"/>
                <w:rFonts w:hint="default" w:ascii="Times New Roman" w:hAnsi="Times New Roman" w:eastAsia="宋体" w:cs="Times New Roman"/>
                <w:kern w:val="2"/>
                <w:sz w:val="21"/>
                <w:szCs w:val="21"/>
                <w:lang w:val="en-US" w:eastAsia="zh-CN" w:bidi="ar-SA"/>
              </w:rPr>
              <w:t>ZH51092120004四川蓬溪经济开发区（上游片区）</w:t>
            </w:r>
          </w:p>
        </w:tc>
        <w:tc>
          <w:tcPr>
            <w:tcW w:w="682" w:type="dxa"/>
            <w:vMerge w:val="restart"/>
            <w:tcBorders>
              <w:tl2br w:val="nil"/>
              <w:tr2bl w:val="nil"/>
            </w:tcBorders>
            <w:noWrap w:val="0"/>
            <w:vAlign w:val="center"/>
          </w:tcPr>
          <w:p w14:paraId="7758F733">
            <w:pPr>
              <w:jc w:val="both"/>
              <w:rPr>
                <w:rStyle w:val="29"/>
                <w:rFonts w:hint="eastAsia" w:ascii="宋体" w:hAnsi="宋体" w:eastAsia="宋体" w:cs="Times New Roman"/>
                <w:kern w:val="2"/>
                <w:sz w:val="21"/>
                <w:szCs w:val="21"/>
                <w:lang w:val="en-US" w:eastAsia="zh-CN" w:bidi="ar-SA"/>
              </w:rPr>
            </w:pPr>
            <w:r>
              <w:rPr>
                <w:rFonts w:hint="eastAsia" w:ascii="宋体" w:hAnsi="宋体" w:eastAsia="宋体" w:cs="宋体"/>
                <w:b w:val="0"/>
                <w:bCs w:val="0"/>
                <w:color w:val="000000"/>
                <w:kern w:val="0"/>
                <w:sz w:val="21"/>
                <w:szCs w:val="21"/>
                <w:lang w:val="en-US" w:eastAsia="zh-CN" w:bidi="ar-SA"/>
              </w:rPr>
              <w:t>遂宁市普适性清单</w:t>
            </w:r>
          </w:p>
        </w:tc>
        <w:tc>
          <w:tcPr>
            <w:tcW w:w="1248" w:type="dxa"/>
            <w:tcBorders>
              <w:tl2br w:val="nil"/>
              <w:tr2bl w:val="nil"/>
            </w:tcBorders>
            <w:noWrap w:val="0"/>
            <w:vAlign w:val="center"/>
          </w:tcPr>
          <w:p w14:paraId="2ADFF1E0">
            <w:pPr>
              <w:jc w:val="center"/>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空间布局约束</w:t>
            </w:r>
          </w:p>
        </w:tc>
        <w:tc>
          <w:tcPr>
            <w:tcW w:w="7990" w:type="dxa"/>
            <w:tcBorders>
              <w:tl2br w:val="nil"/>
              <w:tr2bl w:val="nil"/>
            </w:tcBorders>
            <w:noWrap w:val="0"/>
            <w:vAlign w:val="center"/>
          </w:tcPr>
          <w:p w14:paraId="2C9BAB29">
            <w:pPr>
              <w:pStyle w:val="76"/>
              <w:widowControl w:val="0"/>
              <w:spacing w:line="240" w:lineRule="auto"/>
              <w:ind w:firstLine="0" w:firstLineChars="0"/>
              <w:jc w:val="both"/>
              <w:rPr>
                <w:rStyle w:val="29"/>
                <w:rFonts w:hint="eastAsia" w:ascii="宋体" w:hAnsi="宋体" w:eastAsia="宋体" w:cs="宋体"/>
                <w:color w:val="000000"/>
                <w:kern w:val="0"/>
                <w:sz w:val="21"/>
                <w:szCs w:val="21"/>
                <w:lang w:val="en-US" w:eastAsia="zh-CN" w:bidi="ar-SA"/>
              </w:rPr>
            </w:pPr>
            <w:r>
              <w:rPr>
                <w:rStyle w:val="29"/>
                <w:rFonts w:hint="eastAsia" w:ascii="宋体" w:hAnsi="宋体" w:eastAsia="宋体" w:cs="宋体"/>
                <w:color w:val="000000"/>
                <w:kern w:val="0"/>
                <w:sz w:val="21"/>
                <w:szCs w:val="21"/>
                <w:lang w:val="en-US" w:eastAsia="zh-CN" w:bidi="ar-SA"/>
              </w:rPr>
              <w:t>禁止开发建设活动的要求</w:t>
            </w:r>
          </w:p>
          <w:p w14:paraId="27EF10F9">
            <w:pPr>
              <w:pStyle w:val="76"/>
              <w:widowControl w:val="0"/>
              <w:spacing w:line="240" w:lineRule="auto"/>
              <w:ind w:firstLine="210" w:firstLineChars="100"/>
              <w:jc w:val="both"/>
              <w:rPr>
                <w:rStyle w:val="29"/>
                <w:rFonts w:hint="default" w:ascii="Times New Roman" w:hAnsi="Times New Roman" w:eastAsia="宋体" w:cs="Times New Roman"/>
                <w:color w:val="000000"/>
                <w:kern w:val="0"/>
                <w:sz w:val="21"/>
                <w:szCs w:val="21"/>
                <w:lang w:val="en-US" w:eastAsia="zh-CN" w:bidi="ar-SA"/>
              </w:rPr>
            </w:pPr>
            <w:r>
              <w:rPr>
                <w:rStyle w:val="29"/>
                <w:rFonts w:hint="default" w:ascii="Times New Roman" w:hAnsi="Times New Roman" w:eastAsia="宋体" w:cs="Times New Roman"/>
                <w:color w:val="000000"/>
                <w:kern w:val="0"/>
                <w:sz w:val="21"/>
                <w:szCs w:val="21"/>
                <w:lang w:val="en-US" w:eastAsia="zh-CN" w:bidi="ar-SA"/>
              </w:rPr>
              <w:t>1.禁止引入不符合园区用地性质或产业规划的工业企业。</w:t>
            </w:r>
          </w:p>
          <w:p w14:paraId="2DD57FF3">
            <w:pPr>
              <w:pStyle w:val="76"/>
              <w:widowControl w:val="0"/>
              <w:spacing w:line="240" w:lineRule="auto"/>
              <w:ind w:firstLine="210" w:firstLineChars="100"/>
              <w:jc w:val="both"/>
              <w:rPr>
                <w:rStyle w:val="29"/>
                <w:rFonts w:hint="default" w:ascii="Times New Roman" w:hAnsi="Times New Roman" w:eastAsia="宋体" w:cs="Times New Roman"/>
                <w:color w:val="000000"/>
                <w:kern w:val="0"/>
                <w:sz w:val="21"/>
                <w:szCs w:val="21"/>
                <w:lang w:val="en-US" w:eastAsia="zh-CN" w:bidi="ar-SA"/>
              </w:rPr>
            </w:pPr>
            <w:r>
              <w:rPr>
                <w:rStyle w:val="29"/>
                <w:rFonts w:hint="default" w:ascii="Times New Roman" w:hAnsi="Times New Roman" w:eastAsia="宋体" w:cs="Times New Roman"/>
                <w:color w:val="000000"/>
                <w:kern w:val="0"/>
                <w:sz w:val="21"/>
                <w:szCs w:val="21"/>
                <w:lang w:val="en-US" w:eastAsia="zh-CN" w:bidi="ar-SA"/>
              </w:rPr>
              <w:t>2.禁止在长江干支流、重要湖泊岸线一公里范围内新建、扩建化工园区和化工项目。</w:t>
            </w:r>
          </w:p>
          <w:p w14:paraId="3C337D50">
            <w:pPr>
              <w:pStyle w:val="76"/>
              <w:widowControl w:val="0"/>
              <w:spacing w:line="240" w:lineRule="auto"/>
              <w:ind w:firstLine="210" w:firstLineChars="100"/>
              <w:jc w:val="both"/>
              <w:rPr>
                <w:rStyle w:val="29"/>
                <w:rFonts w:hint="default" w:ascii="Times New Roman" w:hAnsi="Times New Roman" w:eastAsia="宋体" w:cs="Times New Roman"/>
                <w:color w:val="000000"/>
                <w:kern w:val="0"/>
                <w:sz w:val="21"/>
                <w:szCs w:val="21"/>
                <w:lang w:val="en-US" w:eastAsia="zh-CN" w:bidi="ar-SA"/>
              </w:rPr>
            </w:pPr>
            <w:r>
              <w:rPr>
                <w:rStyle w:val="29"/>
                <w:rFonts w:hint="default" w:ascii="Times New Roman" w:hAnsi="Times New Roman" w:eastAsia="宋体" w:cs="Times New Roman"/>
                <w:color w:val="000000"/>
                <w:kern w:val="0"/>
                <w:sz w:val="21"/>
                <w:szCs w:val="21"/>
                <w:lang w:val="en-US" w:eastAsia="zh-CN" w:bidi="ar-SA"/>
              </w:rPr>
              <w:t>3.禁止在长江流域河湖管理范围内倾倒、填埋、堆放、弃置、处理固体废物。</w:t>
            </w:r>
          </w:p>
          <w:p w14:paraId="4463373A">
            <w:pPr>
              <w:pStyle w:val="76"/>
              <w:widowControl w:val="0"/>
              <w:spacing w:line="240" w:lineRule="auto"/>
              <w:ind w:firstLine="210" w:firstLineChars="100"/>
              <w:jc w:val="both"/>
              <w:rPr>
                <w:rStyle w:val="29"/>
                <w:rFonts w:hint="default" w:ascii="Times New Roman" w:hAnsi="Times New Roman" w:eastAsia="宋体" w:cs="Times New Roman"/>
                <w:color w:val="000000"/>
                <w:kern w:val="0"/>
                <w:sz w:val="21"/>
                <w:szCs w:val="21"/>
                <w:lang w:val="en-US" w:eastAsia="zh-CN" w:bidi="ar-SA"/>
              </w:rPr>
            </w:pPr>
            <w:r>
              <w:rPr>
                <w:rStyle w:val="29"/>
                <w:rFonts w:hint="default" w:ascii="Times New Roman" w:hAnsi="Times New Roman" w:eastAsia="宋体" w:cs="Times New Roman"/>
                <w:color w:val="000000"/>
                <w:kern w:val="0"/>
                <w:sz w:val="21"/>
                <w:szCs w:val="21"/>
                <w:lang w:val="en-US" w:eastAsia="zh-CN" w:bidi="ar-SA"/>
              </w:rPr>
              <w:t>4.未通过认定的化工园区，不得新建、改扩建化工项目（安全、环保、节能和智能化改造项目除外），按属地原则依法依规妥善做好未通过认定化工园区及园内企业的转型、关闭、处置及监管工作。</w:t>
            </w:r>
          </w:p>
          <w:p w14:paraId="2AABAF6E">
            <w:pPr>
              <w:pStyle w:val="76"/>
              <w:widowControl w:val="0"/>
              <w:spacing w:line="240" w:lineRule="auto"/>
              <w:ind w:firstLine="0" w:firstLineChars="0"/>
              <w:jc w:val="both"/>
              <w:rPr>
                <w:rStyle w:val="29"/>
                <w:rFonts w:hint="default" w:ascii="Times New Roman" w:hAnsi="Times New Roman" w:eastAsia="宋体" w:cs="Times New Roman"/>
                <w:color w:val="000000"/>
                <w:kern w:val="0"/>
                <w:sz w:val="21"/>
                <w:szCs w:val="21"/>
                <w:lang w:val="en-US" w:eastAsia="zh-CN" w:bidi="ar-SA"/>
              </w:rPr>
            </w:pPr>
            <w:r>
              <w:rPr>
                <w:rStyle w:val="29"/>
                <w:rFonts w:hint="default" w:ascii="Times New Roman" w:hAnsi="Times New Roman" w:eastAsia="宋体" w:cs="Times New Roman"/>
                <w:color w:val="000000"/>
                <w:kern w:val="0"/>
                <w:sz w:val="21"/>
                <w:szCs w:val="21"/>
                <w:lang w:val="en-US" w:eastAsia="zh-CN" w:bidi="ar-SA"/>
              </w:rPr>
              <w:t>限制开发建设活动的要求</w:t>
            </w:r>
          </w:p>
          <w:p w14:paraId="124E3844">
            <w:pPr>
              <w:pStyle w:val="76"/>
              <w:widowControl w:val="0"/>
              <w:spacing w:line="240" w:lineRule="auto"/>
              <w:ind w:firstLine="210" w:firstLineChars="100"/>
              <w:jc w:val="both"/>
              <w:rPr>
                <w:rStyle w:val="29"/>
                <w:rFonts w:hint="default" w:ascii="Times New Roman" w:hAnsi="Times New Roman" w:eastAsia="宋体" w:cs="Times New Roman"/>
                <w:color w:val="000000"/>
                <w:kern w:val="0"/>
                <w:sz w:val="21"/>
                <w:szCs w:val="21"/>
                <w:lang w:val="en-US" w:eastAsia="zh-CN" w:bidi="ar-SA"/>
              </w:rPr>
            </w:pPr>
            <w:r>
              <w:rPr>
                <w:rStyle w:val="29"/>
                <w:rFonts w:hint="default" w:ascii="Times New Roman" w:hAnsi="Times New Roman" w:eastAsia="宋体" w:cs="Times New Roman"/>
                <w:color w:val="000000"/>
                <w:kern w:val="0"/>
                <w:sz w:val="21"/>
                <w:szCs w:val="21"/>
                <w:lang w:val="en-US" w:eastAsia="zh-CN" w:bidi="ar-SA"/>
              </w:rPr>
              <w:t>1.严控新建、扩建“两高”项目，对现存企业执行最严格排放标准和总量控制要求。</w:t>
            </w:r>
          </w:p>
          <w:p w14:paraId="54B0E5A0">
            <w:pPr>
              <w:pStyle w:val="76"/>
              <w:widowControl w:val="0"/>
              <w:spacing w:line="240" w:lineRule="auto"/>
              <w:ind w:firstLine="210" w:firstLineChars="100"/>
              <w:jc w:val="both"/>
              <w:rPr>
                <w:rStyle w:val="29"/>
                <w:rFonts w:hint="eastAsia" w:ascii="宋体" w:hAnsi="宋体" w:eastAsia="宋体" w:cs="宋体"/>
                <w:color w:val="000000"/>
                <w:kern w:val="0"/>
                <w:sz w:val="21"/>
                <w:szCs w:val="21"/>
                <w:lang w:val="en-US" w:eastAsia="zh-CN" w:bidi="ar-SA"/>
              </w:rPr>
            </w:pPr>
            <w:r>
              <w:rPr>
                <w:rStyle w:val="29"/>
                <w:rFonts w:hint="default" w:ascii="Times New Roman" w:hAnsi="Times New Roman" w:eastAsia="宋体" w:cs="Times New Roman"/>
                <w:color w:val="000000"/>
                <w:kern w:val="0"/>
                <w:sz w:val="21"/>
                <w:szCs w:val="21"/>
                <w:lang w:val="en-US" w:eastAsia="zh-CN" w:bidi="ar-SA"/>
              </w:rPr>
              <w:t>2.长江干流及主要支流1公里范围内，严控新建石油化工、煤化工、涉磷、造纸、印染、制</w:t>
            </w:r>
            <w:r>
              <w:rPr>
                <w:rStyle w:val="29"/>
                <w:rFonts w:hint="eastAsia" w:ascii="宋体" w:hAnsi="宋体" w:eastAsia="宋体" w:cs="宋体"/>
                <w:color w:val="000000"/>
                <w:kern w:val="0"/>
                <w:sz w:val="21"/>
                <w:szCs w:val="21"/>
                <w:lang w:val="en-US" w:eastAsia="zh-CN" w:bidi="ar-SA"/>
              </w:rPr>
              <w:t>革等项目。</w:t>
            </w:r>
          </w:p>
          <w:p w14:paraId="1E087F1D">
            <w:pPr>
              <w:pStyle w:val="76"/>
              <w:widowControl w:val="0"/>
              <w:spacing w:line="240" w:lineRule="auto"/>
              <w:ind w:firstLine="0" w:firstLineChars="0"/>
              <w:jc w:val="both"/>
              <w:rPr>
                <w:rStyle w:val="29"/>
                <w:rFonts w:hint="eastAsia" w:ascii="宋体" w:hAnsi="宋体" w:eastAsia="宋体" w:cs="宋体"/>
                <w:color w:val="000000"/>
                <w:kern w:val="0"/>
                <w:sz w:val="21"/>
                <w:szCs w:val="21"/>
                <w:lang w:val="en-US" w:eastAsia="zh-CN" w:bidi="ar-SA"/>
              </w:rPr>
            </w:pPr>
            <w:r>
              <w:rPr>
                <w:rStyle w:val="29"/>
                <w:rFonts w:hint="eastAsia" w:ascii="宋体" w:hAnsi="宋体" w:eastAsia="宋体" w:cs="宋体"/>
                <w:color w:val="000000"/>
                <w:kern w:val="0"/>
                <w:sz w:val="21"/>
                <w:szCs w:val="21"/>
                <w:lang w:val="en-US" w:eastAsia="zh-CN" w:bidi="ar-SA"/>
              </w:rPr>
              <w:t>不符合空间布局要求活动的退出要求</w:t>
            </w:r>
          </w:p>
          <w:p w14:paraId="5E0C8F93">
            <w:pPr>
              <w:pStyle w:val="76"/>
              <w:widowControl w:val="0"/>
              <w:spacing w:line="240" w:lineRule="auto"/>
              <w:ind w:firstLine="420" w:firstLineChars="200"/>
              <w:jc w:val="both"/>
              <w:rPr>
                <w:rStyle w:val="29"/>
                <w:rFonts w:hint="eastAsia" w:ascii="宋体" w:hAnsi="宋体" w:eastAsia="宋体" w:cs="宋体"/>
                <w:color w:val="000000"/>
                <w:kern w:val="0"/>
                <w:sz w:val="21"/>
                <w:szCs w:val="21"/>
                <w:lang w:val="en-US" w:eastAsia="zh-CN" w:bidi="ar-SA"/>
              </w:rPr>
            </w:pPr>
            <w:r>
              <w:rPr>
                <w:rStyle w:val="29"/>
                <w:rFonts w:hint="eastAsia" w:ascii="宋体" w:hAnsi="宋体" w:eastAsia="宋体" w:cs="宋体"/>
                <w:color w:val="000000"/>
                <w:kern w:val="0"/>
                <w:sz w:val="21"/>
                <w:szCs w:val="21"/>
                <w:lang w:val="en-US" w:eastAsia="zh-CN" w:bidi="ar-SA"/>
              </w:rPr>
              <w:t>现有属于禁止引入产业门类的企业，应按相关规定限期整治或退出。</w:t>
            </w:r>
          </w:p>
          <w:p w14:paraId="5B25E630">
            <w:pPr>
              <w:pStyle w:val="76"/>
              <w:widowControl w:val="0"/>
              <w:spacing w:line="240" w:lineRule="auto"/>
              <w:ind w:firstLine="0" w:firstLineChars="0"/>
              <w:jc w:val="both"/>
              <w:rPr>
                <w:rStyle w:val="29"/>
                <w:rFonts w:hint="eastAsia" w:ascii="宋体" w:hAnsi="宋体" w:eastAsia="宋体" w:cs="宋体"/>
                <w:color w:val="000000"/>
                <w:kern w:val="0"/>
                <w:sz w:val="21"/>
                <w:szCs w:val="21"/>
                <w:lang w:val="en-US" w:eastAsia="zh-CN" w:bidi="ar-SA"/>
              </w:rPr>
            </w:pPr>
            <w:r>
              <w:rPr>
                <w:rStyle w:val="29"/>
                <w:rFonts w:hint="eastAsia" w:ascii="宋体" w:hAnsi="宋体" w:eastAsia="宋体" w:cs="宋体"/>
                <w:color w:val="000000"/>
                <w:kern w:val="0"/>
                <w:sz w:val="21"/>
                <w:szCs w:val="21"/>
                <w:lang w:val="en-US" w:eastAsia="zh-CN" w:bidi="ar-SA"/>
              </w:rPr>
              <w:t>其他空间布局约束要求</w:t>
            </w:r>
          </w:p>
          <w:p w14:paraId="40BD026E">
            <w:pPr>
              <w:keepNext w:val="0"/>
              <w:keepLines w:val="0"/>
              <w:pageBreakBefore w:val="0"/>
              <w:kinsoku/>
              <w:wordWrap/>
              <w:overflowPunct/>
              <w:topLinePunct w:val="0"/>
              <w:autoSpaceDE/>
              <w:autoSpaceDN/>
              <w:bidi w:val="0"/>
              <w:adjustRightInd/>
              <w:snapToGrid/>
              <w:spacing w:line="312" w:lineRule="auto"/>
              <w:ind w:firstLine="420" w:firstLineChars="200"/>
              <w:jc w:val="both"/>
              <w:textAlignment w:val="auto"/>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w:t>
            </w:r>
          </w:p>
        </w:tc>
        <w:tc>
          <w:tcPr>
            <w:tcW w:w="1910" w:type="dxa"/>
            <w:tcBorders>
              <w:tl2br w:val="nil"/>
              <w:tr2bl w:val="nil"/>
            </w:tcBorders>
            <w:noWrap w:val="0"/>
            <w:vAlign w:val="center"/>
          </w:tcPr>
          <w:p w14:paraId="01A3378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本项目属于</w:t>
            </w:r>
            <w:r>
              <w:rPr>
                <w:rFonts w:hint="default" w:ascii="Times New Roman" w:hAnsi="Times New Roman" w:eastAsia="宋体" w:cs="Times New Roman"/>
                <w:color w:val="000000"/>
                <w:kern w:val="0"/>
                <w:sz w:val="21"/>
                <w:szCs w:val="21"/>
                <w:lang w:val="en-US" w:eastAsia="zh-CN" w:bidi="ar"/>
              </w:rPr>
              <w:t>C2929 塑料零件及其他塑料制品制造；C3670</w:t>
            </w:r>
            <w:r>
              <w:rPr>
                <w:rFonts w:hint="default" w:ascii="Times New Roman" w:hAnsi="Times New Roman" w:eastAsia="宋体" w:cs="Times New Roman"/>
                <w:color w:val="000000" w:themeColor="text1"/>
                <w:sz w:val="21"/>
                <w:szCs w:val="21"/>
                <w14:textFill>
                  <w14:solidFill>
                    <w14:schemeClr w14:val="tx1"/>
                  </w14:solidFill>
                </w14:textFill>
              </w:rPr>
              <w:t>汽车零部件及配件制造</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属于园区允许类企业，固废得到妥善处置，没有在长江流域倾倒任何废物。不属于化工、“两高”等禁止开发、限制开发、不符合要求的建设项目。</w:t>
            </w:r>
          </w:p>
        </w:tc>
        <w:tc>
          <w:tcPr>
            <w:tcW w:w="920" w:type="dxa"/>
            <w:tcBorders>
              <w:tl2br w:val="nil"/>
              <w:tr2bl w:val="nil"/>
            </w:tcBorders>
            <w:noWrap w:val="0"/>
            <w:vAlign w:val="center"/>
          </w:tcPr>
          <w:p w14:paraId="243A8AAE">
            <w:pPr>
              <w:jc w:val="center"/>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符合</w:t>
            </w:r>
          </w:p>
        </w:tc>
      </w:tr>
      <w:tr w14:paraId="6CE13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14:paraId="2FC7EB93">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712A225C">
            <w:pPr>
              <w:jc w:val="both"/>
              <w:rPr>
                <w:rStyle w:val="29"/>
                <w:rFonts w:hint="eastAsia" w:ascii="宋体" w:hAnsi="宋体" w:eastAsia="宋体" w:cs="Times New Roman"/>
                <w:kern w:val="2"/>
                <w:sz w:val="21"/>
                <w:szCs w:val="21"/>
                <w:lang w:val="en-US" w:eastAsia="zh-CN" w:bidi="ar-SA"/>
              </w:rPr>
            </w:pPr>
          </w:p>
        </w:tc>
        <w:tc>
          <w:tcPr>
            <w:tcW w:w="1248" w:type="dxa"/>
            <w:tcBorders>
              <w:tl2br w:val="nil"/>
              <w:tr2bl w:val="nil"/>
            </w:tcBorders>
            <w:noWrap w:val="0"/>
            <w:vAlign w:val="center"/>
          </w:tcPr>
          <w:p w14:paraId="5539C370">
            <w:pPr>
              <w:jc w:val="center"/>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污染物排放管控</w:t>
            </w:r>
          </w:p>
        </w:tc>
        <w:tc>
          <w:tcPr>
            <w:tcW w:w="7990" w:type="dxa"/>
            <w:tcBorders>
              <w:tl2br w:val="nil"/>
              <w:tr2bl w:val="nil"/>
            </w:tcBorders>
            <w:noWrap w:val="0"/>
            <w:vAlign w:val="center"/>
          </w:tcPr>
          <w:p w14:paraId="2B53E306">
            <w:pPr>
              <w:bidi w:val="0"/>
              <w:rPr>
                <w:rFonts w:hint="default"/>
                <w:lang w:val="en-US" w:eastAsia="zh-CN"/>
              </w:rPr>
            </w:pPr>
            <w:r>
              <w:rPr>
                <w:rFonts w:hint="default"/>
                <w:lang w:val="en-US" w:eastAsia="zh-CN"/>
              </w:rPr>
              <w:t>允许排放量要求</w:t>
            </w:r>
          </w:p>
          <w:p w14:paraId="2AE43712">
            <w:pPr>
              <w:bidi w:val="0"/>
              <w:ind w:firstLine="420" w:firstLineChars="200"/>
              <w:rPr>
                <w:rFonts w:hint="default"/>
                <w:lang w:val="en-US" w:eastAsia="zh-CN"/>
              </w:rPr>
            </w:pPr>
            <w:r>
              <w:rPr>
                <w:rFonts w:hint="default"/>
                <w:lang w:val="en-US" w:eastAsia="zh-CN"/>
              </w:rPr>
              <w:t>/</w:t>
            </w:r>
          </w:p>
          <w:p w14:paraId="4CE9ABA1">
            <w:pPr>
              <w:bidi w:val="0"/>
              <w:rPr>
                <w:rFonts w:hint="default"/>
                <w:lang w:val="en-US" w:eastAsia="zh-CN"/>
              </w:rPr>
            </w:pPr>
            <w:r>
              <w:rPr>
                <w:rFonts w:hint="default"/>
                <w:lang w:val="en-US" w:eastAsia="zh-CN"/>
              </w:rPr>
              <w:t>现有源提标升级改造</w:t>
            </w:r>
          </w:p>
          <w:p w14:paraId="65729F12">
            <w:pPr>
              <w:bidi w:val="0"/>
              <w:ind w:firstLine="420" w:firstLineChars="200"/>
              <w:rPr>
                <w:rFonts w:hint="default"/>
                <w:lang w:val="en-US" w:eastAsia="zh-CN"/>
              </w:rPr>
            </w:pPr>
            <w:r>
              <w:rPr>
                <w:rFonts w:hint="default"/>
                <w:lang w:val="en-US" w:eastAsia="zh-CN"/>
              </w:rPr>
              <w:t>1.污水收集处理率达100%。</w:t>
            </w:r>
          </w:p>
          <w:p w14:paraId="2C944986">
            <w:pPr>
              <w:bidi w:val="0"/>
              <w:ind w:firstLine="420" w:firstLineChars="200"/>
              <w:rPr>
                <w:rFonts w:hint="default"/>
                <w:lang w:val="en-US" w:eastAsia="zh-CN"/>
              </w:rPr>
            </w:pPr>
            <w:r>
              <w:rPr>
                <w:rFonts w:hint="default"/>
                <w:lang w:val="en-US" w:eastAsia="zh-CN"/>
              </w:rPr>
              <w:t>2.园区污水处理厂达《城镇污水处理厂污染物排放标准》一级A标或更高标准。</w:t>
            </w:r>
          </w:p>
          <w:p w14:paraId="78A922F3">
            <w:pPr>
              <w:bidi w:val="0"/>
              <w:ind w:firstLine="420" w:firstLineChars="200"/>
              <w:rPr>
                <w:rFonts w:hint="default"/>
                <w:lang w:val="en-US" w:eastAsia="zh-CN"/>
              </w:rPr>
            </w:pPr>
            <w:r>
              <w:rPr>
                <w:rFonts w:hint="default"/>
                <w:lang w:val="en-US" w:eastAsia="zh-CN"/>
              </w:rPr>
              <w:t>3.加快推进危险化学品生产企业搬迁改造工程。</w:t>
            </w:r>
          </w:p>
          <w:p w14:paraId="70B7C54B">
            <w:pPr>
              <w:bidi w:val="0"/>
              <w:ind w:firstLine="420" w:firstLineChars="200"/>
              <w:rPr>
                <w:rFonts w:hint="default"/>
                <w:lang w:val="en-US" w:eastAsia="zh-CN"/>
              </w:rPr>
            </w:pPr>
            <w:r>
              <w:rPr>
                <w:rFonts w:hint="default"/>
                <w:lang w:val="en-US" w:eastAsia="zh-CN"/>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186082B9">
            <w:pPr>
              <w:bidi w:val="0"/>
              <w:rPr>
                <w:rFonts w:hint="default"/>
                <w:lang w:val="en-US" w:eastAsia="zh-CN"/>
              </w:rPr>
            </w:pPr>
            <w:r>
              <w:rPr>
                <w:rFonts w:hint="default"/>
                <w:lang w:val="en-US" w:eastAsia="zh-CN"/>
              </w:rPr>
              <w:t>其他污染物排放管控要求</w:t>
            </w:r>
          </w:p>
          <w:p w14:paraId="49B2FD5A">
            <w:pPr>
              <w:bidi w:val="0"/>
              <w:ind w:firstLine="420" w:firstLineChars="200"/>
              <w:rPr>
                <w:rFonts w:hint="default"/>
                <w:lang w:val="en-US" w:eastAsia="zh-CN"/>
              </w:rPr>
            </w:pPr>
            <w:r>
              <w:rPr>
                <w:rFonts w:hint="default"/>
                <w:lang w:val="en-US" w:eastAsia="zh-CN"/>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5362C420">
            <w:pPr>
              <w:bidi w:val="0"/>
              <w:ind w:firstLine="420" w:firstLineChars="200"/>
              <w:rPr>
                <w:rFonts w:hint="default"/>
                <w:lang w:val="en-US" w:eastAsia="zh-CN"/>
              </w:rPr>
            </w:pPr>
            <w:r>
              <w:rPr>
                <w:rFonts w:hint="default"/>
                <w:lang w:val="en-US" w:eastAsia="zh-CN"/>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0C1977BF">
            <w:pPr>
              <w:bidi w:val="0"/>
              <w:ind w:firstLine="210" w:firstLineChars="100"/>
              <w:rPr>
                <w:rFonts w:hint="default"/>
                <w:lang w:val="en-US" w:eastAsia="zh-CN"/>
              </w:rPr>
            </w:pPr>
            <w:r>
              <w:rPr>
                <w:rFonts w:hint="default"/>
                <w:lang w:val="en-US" w:eastAsia="zh-CN"/>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22BD82DA">
            <w:pPr>
              <w:bidi w:val="0"/>
              <w:ind w:firstLine="420" w:firstLineChars="200"/>
              <w:rPr>
                <w:rFonts w:hint="default"/>
                <w:lang w:val="en-US" w:eastAsia="zh-CN"/>
              </w:rPr>
            </w:pPr>
            <w:r>
              <w:rPr>
                <w:rFonts w:hint="default"/>
                <w:lang w:val="en-US" w:eastAsia="zh-CN"/>
              </w:rPr>
              <w:t>4.化工园区应按照分类收集，分质处理的要求，配备专业化工生产废水集中处理设施（独立建设或依托骨干企业）及专管或明管输送的配套管网，化工生产废水纳管率达到100%。入河排污口设置应符合相关规定。</w:t>
            </w:r>
          </w:p>
          <w:p w14:paraId="49091AFE">
            <w:pPr>
              <w:bidi w:val="0"/>
              <w:ind w:firstLine="420" w:firstLineChars="200"/>
              <w:rPr>
                <w:rFonts w:hint="default"/>
                <w:lang w:val="en-US" w:eastAsia="zh-CN"/>
              </w:rPr>
            </w:pPr>
            <w:r>
              <w:rPr>
                <w:rFonts w:hint="default"/>
                <w:lang w:val="en-US" w:eastAsia="zh-CN"/>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72E7F81F">
            <w:pPr>
              <w:bidi w:val="0"/>
              <w:ind w:firstLine="420" w:firstLineChars="200"/>
              <w:rPr>
                <w:rFonts w:hint="default"/>
                <w:lang w:val="en-US" w:eastAsia="zh-CN"/>
              </w:rPr>
            </w:pPr>
            <w:r>
              <w:rPr>
                <w:rFonts w:hint="default"/>
                <w:lang w:val="en-US" w:eastAsia="zh-CN"/>
              </w:rPr>
              <w:t>6.白酒行业参考执行更新后的四川省白酒行业资源环境绩效指标要求。</w:t>
            </w:r>
          </w:p>
          <w:p w14:paraId="294E73A9">
            <w:pPr>
              <w:bidi w:val="0"/>
              <w:ind w:firstLine="420" w:firstLineChars="200"/>
              <w:rPr>
                <w:rFonts w:hint="default" w:ascii="Times New Roman" w:hAnsi="Times New Roman" w:eastAsia="宋体" w:cs="Times New Roman"/>
                <w:color w:val="000000"/>
                <w:szCs w:val="21"/>
                <w:vertAlign w:val="baseline"/>
              </w:rPr>
            </w:pPr>
            <w:r>
              <w:rPr>
                <w:rFonts w:hint="default"/>
                <w:lang w:val="en-US" w:eastAsia="zh-CN"/>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910" w:type="dxa"/>
            <w:tcBorders>
              <w:tl2br w:val="nil"/>
              <w:tr2bl w:val="nil"/>
            </w:tcBorders>
            <w:noWrap w:val="0"/>
            <w:vAlign w:val="center"/>
          </w:tcPr>
          <w:p w14:paraId="06B03E7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项目生活废水、地面清洁废水和注塑冷却废水经园区预处理池达标后排入</w:t>
            </w:r>
            <w:r>
              <w:rPr>
                <w:rFonts w:hint="default" w:ascii="Times New Roman" w:hAnsi="Times New Roman" w:cs="Times New Roman"/>
                <w:color w:val="auto"/>
                <w:spacing w:val="0"/>
                <w:sz w:val="21"/>
                <w:szCs w:val="21"/>
                <w:highlight w:val="none"/>
                <w:lang w:bidi="ar"/>
              </w:rPr>
              <w:t>蓬溪县经济开发区废水处理厂</w:t>
            </w:r>
            <w:r>
              <w:rPr>
                <w:rFonts w:hint="eastAsia" w:cs="Times New Roman"/>
                <w:color w:val="000000"/>
                <w:sz w:val="21"/>
                <w:szCs w:val="21"/>
                <w:vertAlign w:val="baseline"/>
                <w:lang w:val="en-US" w:eastAsia="zh-CN"/>
              </w:rPr>
              <w:t>，喷漆废水经过滤池处理后回用生产，不外排；所在园区雨污分流；项目所在区域属于环境质量达标区，项目是新建排放VOCs和工业粉尘的项目，</w:t>
            </w:r>
            <w:r>
              <w:rPr>
                <w:rStyle w:val="29"/>
                <w:rFonts w:hint="default" w:ascii="Times New Roman" w:hAnsi="Times New Roman" w:eastAsia="宋体" w:cs="Times New Roman"/>
                <w:color w:val="000000"/>
                <w:kern w:val="0"/>
                <w:sz w:val="21"/>
                <w:szCs w:val="21"/>
                <w:lang w:val="en-US" w:eastAsia="zh-CN" w:bidi="ar-SA"/>
              </w:rPr>
              <w:t>实施现役源2倍削减量替代</w:t>
            </w:r>
            <w:r>
              <w:rPr>
                <w:rStyle w:val="29"/>
                <w:rFonts w:hint="eastAsia" w:ascii="Times New Roman" w:hAnsi="Times New Roman" w:eastAsia="宋体" w:cs="Times New Roman"/>
                <w:color w:val="000000"/>
                <w:kern w:val="0"/>
                <w:sz w:val="21"/>
                <w:szCs w:val="21"/>
                <w:lang w:val="en-US" w:eastAsia="zh-CN" w:bidi="ar-SA"/>
              </w:rPr>
              <w:t>。</w:t>
            </w:r>
          </w:p>
        </w:tc>
        <w:tc>
          <w:tcPr>
            <w:tcW w:w="920" w:type="dxa"/>
            <w:tcBorders>
              <w:tl2br w:val="nil"/>
              <w:tr2bl w:val="nil"/>
            </w:tcBorders>
            <w:noWrap w:val="0"/>
            <w:vAlign w:val="center"/>
          </w:tcPr>
          <w:p w14:paraId="44F64160">
            <w:pPr>
              <w:jc w:val="center"/>
              <w:rPr>
                <w:rFonts w:hint="eastAsia"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符合</w:t>
            </w:r>
          </w:p>
        </w:tc>
      </w:tr>
      <w:tr w14:paraId="40EC2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14:paraId="27B23ABD">
            <w:pPr>
              <w:spacing w:line="240" w:lineRule="auto"/>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0E5A7AEB">
            <w:pPr>
              <w:spacing w:line="240" w:lineRule="auto"/>
              <w:jc w:val="both"/>
              <w:rPr>
                <w:rStyle w:val="29"/>
                <w:rFonts w:hint="eastAsia" w:ascii="宋体" w:hAnsi="宋体" w:eastAsia="宋体" w:cs="Times New Roman"/>
                <w:kern w:val="2"/>
                <w:sz w:val="21"/>
                <w:szCs w:val="21"/>
                <w:lang w:val="en-US" w:eastAsia="zh-CN" w:bidi="ar-SA"/>
              </w:rPr>
            </w:pPr>
          </w:p>
        </w:tc>
        <w:tc>
          <w:tcPr>
            <w:tcW w:w="1248" w:type="dxa"/>
            <w:tcBorders>
              <w:tl2br w:val="nil"/>
              <w:tr2bl w:val="nil"/>
            </w:tcBorders>
            <w:noWrap w:val="0"/>
            <w:vAlign w:val="center"/>
          </w:tcPr>
          <w:p w14:paraId="555D1B23">
            <w:pPr>
              <w:spacing w:line="240" w:lineRule="auto"/>
              <w:jc w:val="center"/>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环境风险管控</w:t>
            </w:r>
          </w:p>
        </w:tc>
        <w:tc>
          <w:tcPr>
            <w:tcW w:w="7990" w:type="dxa"/>
            <w:tcBorders>
              <w:tl2br w:val="nil"/>
              <w:tr2bl w:val="nil"/>
            </w:tcBorders>
            <w:noWrap w:val="0"/>
            <w:vAlign w:val="center"/>
          </w:tcPr>
          <w:p w14:paraId="1D839DF7">
            <w:pPr>
              <w:pStyle w:val="76"/>
              <w:widowControl w:val="0"/>
              <w:spacing w:line="240" w:lineRule="auto"/>
              <w:ind w:firstLine="0" w:firstLineChars="0"/>
              <w:jc w:val="both"/>
              <w:rPr>
                <w:rStyle w:val="29"/>
                <w:rFonts w:hint="eastAsia" w:ascii="宋体" w:hAnsi="宋体" w:eastAsia="宋体" w:cs="宋体"/>
                <w:color w:val="000000"/>
                <w:kern w:val="0"/>
                <w:sz w:val="21"/>
                <w:szCs w:val="21"/>
                <w:lang w:val="en-US" w:eastAsia="zh-CN" w:bidi="ar-SA"/>
              </w:rPr>
            </w:pPr>
            <w:r>
              <w:rPr>
                <w:rStyle w:val="29"/>
                <w:rFonts w:hint="eastAsia" w:ascii="宋体" w:hAnsi="宋体" w:eastAsia="宋体" w:cs="宋体"/>
                <w:color w:val="000000"/>
                <w:kern w:val="0"/>
                <w:sz w:val="21"/>
                <w:szCs w:val="21"/>
                <w:lang w:val="en-US" w:eastAsia="zh-CN" w:bidi="ar-SA"/>
              </w:rPr>
              <w:t>联防联控要求</w:t>
            </w:r>
          </w:p>
          <w:p w14:paraId="438A2D55">
            <w:pPr>
              <w:pStyle w:val="76"/>
              <w:widowControl w:val="0"/>
              <w:spacing w:line="240" w:lineRule="auto"/>
              <w:ind w:firstLine="420" w:firstLineChars="200"/>
              <w:jc w:val="both"/>
              <w:rPr>
                <w:rStyle w:val="29"/>
                <w:rFonts w:hint="eastAsia" w:ascii="宋体" w:hAnsi="宋体" w:eastAsia="宋体" w:cs="宋体"/>
                <w:color w:val="000000"/>
                <w:kern w:val="0"/>
                <w:sz w:val="21"/>
                <w:szCs w:val="21"/>
                <w:lang w:val="en-US" w:eastAsia="zh-CN" w:bidi="ar-SA"/>
              </w:rPr>
            </w:pPr>
            <w:r>
              <w:rPr>
                <w:rStyle w:val="29"/>
                <w:rFonts w:hint="eastAsia" w:ascii="宋体" w:hAnsi="宋体" w:eastAsia="宋体" w:cs="宋体"/>
                <w:color w:val="000000"/>
                <w:kern w:val="0"/>
                <w:sz w:val="21"/>
                <w:szCs w:val="21"/>
                <w:lang w:val="en-US" w:eastAsia="zh-CN" w:bidi="ar-SA"/>
              </w:rPr>
              <w:t>加强成都平原经济区信息共享和联动合作，协力推进产业和能源结构优化调整，加强大气污染源头防控，加强潼遂合作。</w:t>
            </w:r>
          </w:p>
          <w:p w14:paraId="5B086AF8">
            <w:pPr>
              <w:pStyle w:val="76"/>
              <w:widowControl w:val="0"/>
              <w:spacing w:line="240" w:lineRule="auto"/>
              <w:ind w:firstLine="0" w:firstLineChars="0"/>
              <w:jc w:val="both"/>
              <w:rPr>
                <w:rStyle w:val="29"/>
                <w:rFonts w:hint="eastAsia" w:ascii="宋体" w:hAnsi="宋体" w:eastAsia="宋体" w:cs="宋体"/>
                <w:color w:val="000000"/>
                <w:kern w:val="0"/>
                <w:sz w:val="21"/>
                <w:szCs w:val="21"/>
                <w:lang w:val="en-US" w:eastAsia="zh-CN" w:bidi="ar-SA"/>
              </w:rPr>
            </w:pPr>
            <w:r>
              <w:rPr>
                <w:rStyle w:val="29"/>
                <w:rFonts w:hint="eastAsia" w:ascii="宋体" w:hAnsi="宋体" w:eastAsia="宋体" w:cs="宋体"/>
                <w:color w:val="000000"/>
                <w:kern w:val="0"/>
                <w:sz w:val="21"/>
                <w:szCs w:val="21"/>
                <w:lang w:val="en-US" w:eastAsia="zh-CN" w:bidi="ar-SA"/>
              </w:rPr>
              <w:t>其他环境风险防控要求</w:t>
            </w:r>
          </w:p>
          <w:p w14:paraId="330EED27">
            <w:pPr>
              <w:pStyle w:val="76"/>
              <w:widowControl w:val="0"/>
              <w:spacing w:line="240" w:lineRule="auto"/>
              <w:ind w:firstLine="420" w:firstLineChars="200"/>
              <w:jc w:val="both"/>
              <w:rPr>
                <w:rStyle w:val="29"/>
                <w:rFonts w:hint="default" w:ascii="Times New Roman" w:hAnsi="Times New Roman" w:eastAsia="宋体" w:cs="Times New Roman"/>
                <w:color w:val="000000"/>
                <w:kern w:val="0"/>
                <w:sz w:val="21"/>
                <w:szCs w:val="21"/>
                <w:lang w:val="en-US" w:eastAsia="zh-CN" w:bidi="ar-SA"/>
              </w:rPr>
            </w:pPr>
            <w:r>
              <w:rPr>
                <w:rStyle w:val="29"/>
                <w:rFonts w:hint="default" w:ascii="Times New Roman" w:hAnsi="Times New Roman" w:eastAsia="宋体" w:cs="Times New Roman"/>
                <w:color w:val="000000"/>
                <w:kern w:val="0"/>
                <w:sz w:val="21"/>
                <w:szCs w:val="21"/>
                <w:lang w:val="en-US" w:eastAsia="zh-CN" w:bidi="ar-SA"/>
              </w:rPr>
              <w:t>1.企业环境风险防控要求：涉及有毒有害、易燃易爆物质的新建、改扩建项目，严控准入要求。</w:t>
            </w:r>
          </w:p>
          <w:p w14:paraId="050DDB10">
            <w:pPr>
              <w:pStyle w:val="76"/>
              <w:widowControl w:val="0"/>
              <w:spacing w:line="240" w:lineRule="auto"/>
              <w:ind w:firstLine="420" w:firstLineChars="200"/>
              <w:jc w:val="both"/>
              <w:rPr>
                <w:rStyle w:val="29"/>
                <w:rFonts w:hint="default" w:ascii="Times New Roman" w:hAnsi="Times New Roman" w:eastAsia="宋体" w:cs="Times New Roman"/>
                <w:color w:val="000000"/>
                <w:kern w:val="0"/>
                <w:sz w:val="21"/>
                <w:szCs w:val="21"/>
                <w:lang w:val="en-US" w:eastAsia="zh-CN" w:bidi="ar-SA"/>
              </w:rPr>
            </w:pPr>
            <w:r>
              <w:rPr>
                <w:rStyle w:val="29"/>
                <w:rFonts w:hint="default" w:ascii="Times New Roman" w:hAnsi="Times New Roman" w:eastAsia="宋体" w:cs="Times New Roman"/>
                <w:color w:val="000000"/>
                <w:kern w:val="0"/>
                <w:sz w:val="21"/>
                <w:szCs w:val="21"/>
                <w:lang w:val="en-US" w:eastAsia="zh-CN" w:bidi="ar-SA"/>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14:paraId="5EDAE1E3">
            <w:pPr>
              <w:keepNext w:val="0"/>
              <w:keepLines w:val="0"/>
              <w:pageBreakBefore w:val="0"/>
              <w:kinsoku/>
              <w:wordWrap/>
              <w:overflowPunct/>
              <w:topLinePunct w:val="0"/>
              <w:autoSpaceDE/>
              <w:autoSpaceDN/>
              <w:bidi w:val="0"/>
              <w:adjustRightInd/>
              <w:snapToGrid/>
              <w:spacing w:line="240" w:lineRule="auto"/>
              <w:ind w:firstLine="481" w:firstLineChars="0"/>
              <w:jc w:val="both"/>
              <w:textAlignment w:val="auto"/>
              <w:rPr>
                <w:rFonts w:hint="eastAsia" w:ascii="宋体" w:hAnsi="宋体" w:eastAsia="宋体" w:cs="宋体"/>
                <w:color w:val="000000"/>
                <w:sz w:val="21"/>
                <w:szCs w:val="21"/>
                <w:vertAlign w:val="baseline"/>
                <w:lang w:val="en-US" w:eastAsia="zh-CN"/>
              </w:rPr>
            </w:pPr>
            <w:r>
              <w:rPr>
                <w:rStyle w:val="29"/>
                <w:rFonts w:hint="default" w:ascii="Times New Roman" w:hAnsi="Times New Roman" w:eastAsia="宋体" w:cs="Times New Roman"/>
                <w:color w:val="000000"/>
                <w:kern w:val="0"/>
                <w:sz w:val="21"/>
                <w:szCs w:val="21"/>
                <w:lang w:val="en-US" w:eastAsia="zh-CN" w:bidi="ar-SA"/>
              </w:rPr>
              <w:t>3</w:t>
            </w:r>
            <w:r>
              <w:rPr>
                <w:rStyle w:val="29"/>
                <w:rFonts w:hint="eastAsia" w:ascii="宋体" w:hAnsi="宋体" w:eastAsia="宋体" w:cs="宋体"/>
                <w:color w:val="000000"/>
                <w:kern w:val="0"/>
                <w:sz w:val="21"/>
                <w:szCs w:val="21"/>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w:t>
            </w:r>
          </w:p>
        </w:tc>
        <w:tc>
          <w:tcPr>
            <w:tcW w:w="1910" w:type="dxa"/>
            <w:tcBorders>
              <w:tl2br w:val="nil"/>
              <w:tr2bl w:val="nil"/>
            </w:tcBorders>
            <w:noWrap w:val="0"/>
            <w:vAlign w:val="center"/>
          </w:tcPr>
          <w:p w14:paraId="2F68D8B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本项目建成后要求编制环境风险应急预案。</w:t>
            </w:r>
          </w:p>
        </w:tc>
        <w:tc>
          <w:tcPr>
            <w:tcW w:w="920" w:type="dxa"/>
            <w:tcBorders>
              <w:tl2br w:val="nil"/>
              <w:tr2bl w:val="nil"/>
            </w:tcBorders>
            <w:noWrap w:val="0"/>
            <w:vAlign w:val="center"/>
          </w:tcPr>
          <w:p w14:paraId="75E09801">
            <w:pPr>
              <w:spacing w:line="240" w:lineRule="auto"/>
              <w:jc w:val="center"/>
              <w:rPr>
                <w:rFonts w:hint="eastAsia"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符合</w:t>
            </w:r>
          </w:p>
        </w:tc>
      </w:tr>
      <w:tr w14:paraId="4FEC0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14:paraId="15639F71">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65F94662">
            <w:pPr>
              <w:jc w:val="both"/>
              <w:rPr>
                <w:rStyle w:val="29"/>
                <w:rFonts w:hint="eastAsia" w:ascii="宋体" w:hAnsi="宋体" w:eastAsia="宋体" w:cs="Times New Roman"/>
                <w:kern w:val="2"/>
                <w:sz w:val="21"/>
                <w:szCs w:val="21"/>
                <w:lang w:val="en-US" w:eastAsia="zh-CN" w:bidi="ar-SA"/>
              </w:rPr>
            </w:pPr>
          </w:p>
        </w:tc>
        <w:tc>
          <w:tcPr>
            <w:tcW w:w="1248" w:type="dxa"/>
            <w:tcBorders>
              <w:tl2br w:val="nil"/>
              <w:tr2bl w:val="nil"/>
            </w:tcBorders>
            <w:noWrap w:val="0"/>
            <w:vAlign w:val="center"/>
          </w:tcPr>
          <w:p w14:paraId="5CC70EDD">
            <w:pPr>
              <w:jc w:val="center"/>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资源开发利用效率</w:t>
            </w:r>
          </w:p>
        </w:tc>
        <w:tc>
          <w:tcPr>
            <w:tcW w:w="7990" w:type="dxa"/>
            <w:tcBorders>
              <w:tl2br w:val="nil"/>
              <w:tr2bl w:val="nil"/>
            </w:tcBorders>
            <w:noWrap w:val="0"/>
            <w:vAlign w:val="center"/>
          </w:tcPr>
          <w:p w14:paraId="1EAAE834">
            <w:pPr>
              <w:bidi w:val="0"/>
              <w:rPr>
                <w:rFonts w:hint="eastAsia"/>
                <w:lang w:val="en-US" w:eastAsia="zh-CN"/>
              </w:rPr>
            </w:pPr>
            <w:r>
              <w:rPr>
                <w:rFonts w:hint="eastAsia"/>
                <w:lang w:val="en-US" w:eastAsia="zh-CN"/>
              </w:rPr>
              <w:t>水资源利用总量要求</w:t>
            </w:r>
          </w:p>
          <w:p w14:paraId="0C660CE4">
            <w:pPr>
              <w:bidi w:val="0"/>
              <w:ind w:firstLine="420" w:firstLineChars="200"/>
              <w:rPr>
                <w:rFonts w:hint="eastAsia"/>
                <w:lang w:val="en-US" w:eastAsia="zh-CN"/>
              </w:rPr>
            </w:pPr>
            <w:r>
              <w:rPr>
                <w:rFonts w:hint="eastAsia"/>
                <w:lang w:val="en-US" w:eastAsia="zh-CN"/>
              </w:rPr>
              <w:t>1.到2025年，万元工业增加值用水量下降到32.0m3/万元，重复利用率提高到84%；</w:t>
            </w:r>
          </w:p>
          <w:p w14:paraId="028790FA">
            <w:pPr>
              <w:bidi w:val="0"/>
              <w:ind w:firstLine="420" w:firstLineChars="200"/>
              <w:rPr>
                <w:rFonts w:hint="eastAsia"/>
                <w:lang w:val="en-US" w:eastAsia="zh-CN"/>
              </w:rPr>
            </w:pPr>
            <w:r>
              <w:rPr>
                <w:rFonts w:hint="eastAsia"/>
                <w:lang w:val="en-US" w:eastAsia="zh-CN"/>
              </w:rPr>
              <w:t>2.至2030年，万元工业增加值用水量进一步减少为28.0m3/万元，重复利用率提高到85%；</w:t>
            </w:r>
          </w:p>
          <w:p w14:paraId="32A62261">
            <w:pPr>
              <w:bidi w:val="0"/>
              <w:ind w:firstLine="420" w:firstLineChars="200"/>
              <w:rPr>
                <w:rFonts w:hint="eastAsia"/>
                <w:lang w:val="en-US" w:eastAsia="zh-CN"/>
              </w:rPr>
            </w:pPr>
            <w:r>
              <w:rPr>
                <w:rFonts w:hint="eastAsia"/>
                <w:lang w:val="en-US" w:eastAsia="zh-CN"/>
              </w:rPr>
              <w:t>3.新、改扩建项目水耗指标满足《四川省省级生态工业园区指标》综合类生态工业园区要求。</w:t>
            </w:r>
          </w:p>
          <w:p w14:paraId="3EDC9E26">
            <w:pPr>
              <w:bidi w:val="0"/>
              <w:rPr>
                <w:rFonts w:hint="eastAsia"/>
                <w:lang w:val="en-US" w:eastAsia="zh-CN"/>
              </w:rPr>
            </w:pPr>
            <w:r>
              <w:rPr>
                <w:rFonts w:hint="eastAsia"/>
                <w:lang w:val="en-US" w:eastAsia="zh-CN"/>
              </w:rPr>
              <w:t>地下水开采要求</w:t>
            </w:r>
          </w:p>
          <w:p w14:paraId="02E1D625">
            <w:pPr>
              <w:bidi w:val="0"/>
              <w:ind w:firstLine="420" w:firstLineChars="200"/>
              <w:rPr>
                <w:rFonts w:hint="eastAsia"/>
                <w:lang w:val="en-US" w:eastAsia="zh-CN"/>
              </w:rPr>
            </w:pPr>
            <w:r>
              <w:rPr>
                <w:rFonts w:hint="eastAsia"/>
                <w:lang w:val="en-US" w:eastAsia="zh-CN"/>
              </w:rPr>
              <w:t>全面建设节水型社会，达到合理高效用水。</w:t>
            </w:r>
          </w:p>
          <w:p w14:paraId="0D40CD22">
            <w:pPr>
              <w:bidi w:val="0"/>
              <w:rPr>
                <w:rFonts w:hint="eastAsia"/>
                <w:lang w:val="en-US" w:eastAsia="zh-CN"/>
              </w:rPr>
            </w:pPr>
            <w:r>
              <w:rPr>
                <w:rFonts w:hint="eastAsia"/>
                <w:lang w:val="en-US" w:eastAsia="zh-CN"/>
              </w:rPr>
              <w:t>能源利用总量及效率要求</w:t>
            </w:r>
          </w:p>
          <w:p w14:paraId="621F8DD8">
            <w:pPr>
              <w:bidi w:val="0"/>
              <w:ind w:firstLine="420" w:firstLineChars="200"/>
              <w:rPr>
                <w:rFonts w:hint="eastAsia"/>
                <w:lang w:val="en-US" w:eastAsia="zh-CN"/>
              </w:rPr>
            </w:pPr>
            <w:r>
              <w:rPr>
                <w:rFonts w:hint="eastAsia"/>
                <w:lang w:val="en-US" w:eastAsia="zh-CN"/>
              </w:rPr>
              <w:t>1.扩大高污染燃料禁燃区范围，在市、县（区）、镇（乡）建成区全面实施“煤改气”“煤改电”。</w:t>
            </w:r>
          </w:p>
          <w:p w14:paraId="11A1481E">
            <w:pPr>
              <w:bidi w:val="0"/>
              <w:ind w:firstLine="420" w:firstLineChars="200"/>
              <w:rPr>
                <w:rFonts w:hint="eastAsia"/>
                <w:lang w:val="en-US" w:eastAsia="zh-CN"/>
              </w:rPr>
            </w:pPr>
            <w:r>
              <w:rPr>
                <w:rFonts w:hint="eastAsia"/>
                <w:lang w:val="en-US" w:eastAsia="zh-CN"/>
              </w:rPr>
              <w:t>2.新、改扩建项目能耗指标满足《四川省省级生态工业园区指标》综合类生态工业园区要求。</w:t>
            </w:r>
          </w:p>
          <w:p w14:paraId="7D4BB0AA">
            <w:pPr>
              <w:bidi w:val="0"/>
              <w:ind w:firstLine="420" w:firstLineChars="200"/>
              <w:rPr>
                <w:rFonts w:hint="eastAsia"/>
                <w:lang w:val="en-US" w:eastAsia="zh-CN"/>
              </w:rPr>
            </w:pPr>
            <w:r>
              <w:rPr>
                <w:rFonts w:hint="eastAsia"/>
                <w:lang w:val="en-US" w:eastAsia="zh-CN"/>
              </w:rPr>
              <w:t>3.实施新建项目与煤炭消费总量控制挂钩机制，耗煤建设项目实行煤炭消耗等量减量替代。</w:t>
            </w:r>
          </w:p>
          <w:p w14:paraId="14068101">
            <w:pPr>
              <w:bidi w:val="0"/>
              <w:ind w:firstLine="420" w:firstLineChars="200"/>
              <w:rPr>
                <w:rFonts w:hint="eastAsia"/>
                <w:lang w:val="en-US" w:eastAsia="zh-CN"/>
              </w:rPr>
            </w:pPr>
            <w:r>
              <w:rPr>
                <w:rFonts w:hint="eastAsia"/>
                <w:lang w:val="en-US" w:eastAsia="zh-CN"/>
              </w:rPr>
              <w:t>4.提高煤炭利用效率和天然气利用占比，工业领域有序推进“煤改电”和“煤改气”。</w:t>
            </w:r>
          </w:p>
          <w:p w14:paraId="482B3D3E">
            <w:pPr>
              <w:bidi w:val="0"/>
              <w:ind w:firstLine="420" w:firstLineChars="200"/>
              <w:rPr>
                <w:rFonts w:hint="eastAsia"/>
                <w:lang w:val="en-US" w:eastAsia="zh-CN"/>
              </w:rPr>
            </w:pPr>
            <w:r>
              <w:rPr>
                <w:rFonts w:hint="eastAsia"/>
                <w:lang w:val="en-US" w:eastAsia="zh-CN"/>
              </w:rPr>
              <w:t>5.到2030年，能源消费总量控制在1000万吨标准煤以内。</w:t>
            </w:r>
          </w:p>
          <w:p w14:paraId="505407B8">
            <w:pPr>
              <w:bidi w:val="0"/>
              <w:rPr>
                <w:rFonts w:hint="eastAsia"/>
                <w:lang w:val="en-US" w:eastAsia="zh-CN"/>
              </w:rPr>
            </w:pPr>
            <w:r>
              <w:rPr>
                <w:rFonts w:hint="eastAsia"/>
                <w:lang w:val="en-US" w:eastAsia="zh-CN"/>
              </w:rPr>
              <w:t>禁燃区要求</w:t>
            </w:r>
          </w:p>
          <w:p w14:paraId="72F4AD0E">
            <w:pPr>
              <w:bidi w:val="0"/>
              <w:ind w:firstLine="420" w:firstLineChars="200"/>
              <w:rPr>
                <w:rFonts w:hint="eastAsia"/>
                <w:lang w:val="en-US" w:eastAsia="zh-CN"/>
              </w:rPr>
            </w:pPr>
            <w:r>
              <w:rPr>
                <w:rFonts w:hint="eastAsia"/>
                <w:lang w:val="en-US" w:eastAsia="zh-CN"/>
              </w:rPr>
              <w:t>1.禁燃区内禁止燃烧以下高污染燃料：</w:t>
            </w:r>
          </w:p>
          <w:p w14:paraId="60D13D7B">
            <w:pPr>
              <w:bidi w:val="0"/>
              <w:ind w:firstLine="420" w:firstLineChars="200"/>
              <w:rPr>
                <w:rFonts w:hint="eastAsia"/>
                <w:lang w:val="en-US" w:eastAsia="zh-CN"/>
              </w:rPr>
            </w:pPr>
            <w:r>
              <w:rPr>
                <w:rFonts w:hint="eastAsia"/>
                <w:lang w:val="en-US" w:eastAsia="zh-CN"/>
              </w:rPr>
              <w:t>（1）煤炭及其制品（包括原煤、散煤、煤矸石、煤泥、煤 粉、水浆煤、型煤、焦炭、兰炭、油类等常规燃料）。</w:t>
            </w:r>
          </w:p>
          <w:p w14:paraId="3ED520D1">
            <w:pPr>
              <w:bidi w:val="0"/>
              <w:ind w:firstLine="420" w:firstLineChars="200"/>
              <w:rPr>
                <w:rFonts w:hint="eastAsia"/>
                <w:lang w:val="en-US" w:eastAsia="zh-CN"/>
              </w:rPr>
            </w:pPr>
            <w:r>
              <w:rPr>
                <w:rFonts w:hint="eastAsia"/>
                <w:lang w:val="en-US" w:eastAsia="zh-CN"/>
              </w:rPr>
              <w:t>（2）石油焦、油页岩、原油、重油、渣油、煤焦油。</w:t>
            </w:r>
          </w:p>
          <w:p w14:paraId="654F14D8">
            <w:pPr>
              <w:bidi w:val="0"/>
              <w:ind w:firstLine="420" w:firstLineChars="200"/>
              <w:rPr>
                <w:rFonts w:hint="eastAsia"/>
                <w:lang w:val="en-US" w:eastAsia="zh-CN"/>
              </w:rPr>
            </w:pPr>
            <w:r>
              <w:rPr>
                <w:rFonts w:hint="eastAsia"/>
                <w:lang w:val="en-US" w:eastAsia="zh-CN"/>
              </w:rPr>
              <w:t>（3）非专用锅炉或未配置高效除尘设施的专用锅炉燃用的生物质成型燃料。</w:t>
            </w:r>
          </w:p>
          <w:p w14:paraId="44E2203C">
            <w:pPr>
              <w:bidi w:val="0"/>
              <w:ind w:firstLine="420" w:firstLineChars="200"/>
              <w:rPr>
                <w:rFonts w:hint="eastAsia"/>
                <w:lang w:val="en-US" w:eastAsia="zh-CN"/>
              </w:rPr>
            </w:pPr>
            <w:r>
              <w:rPr>
                <w:rFonts w:hint="eastAsia"/>
                <w:lang w:val="en-US" w:eastAsia="zh-CN"/>
              </w:rPr>
              <w:t>2.禁燃区内禁止新建、扩建燃用高污染燃料的锅炉、炉窑、炉灶等燃烧设施（集中供热、电厂锅炉除外）。</w:t>
            </w:r>
          </w:p>
          <w:p w14:paraId="3F3C51B7">
            <w:pPr>
              <w:bidi w:val="0"/>
              <w:ind w:firstLine="420" w:firstLineChars="200"/>
              <w:rPr>
                <w:rFonts w:hint="eastAsia"/>
                <w:lang w:val="en-US" w:eastAsia="zh-CN"/>
              </w:rPr>
            </w:pPr>
            <w:r>
              <w:rPr>
                <w:rFonts w:hint="eastAsia"/>
                <w:lang w:val="en-US" w:eastAsia="zh-CN"/>
              </w:rPr>
              <w:t>3.自2020年1月1日起，禁燃区内禁止销售高污染燃料。</w:t>
            </w:r>
          </w:p>
          <w:p w14:paraId="39DAC8B3">
            <w:pPr>
              <w:bidi w:val="0"/>
              <w:ind w:firstLine="420" w:firstLineChars="200"/>
              <w:rPr>
                <w:rFonts w:hint="eastAsia"/>
                <w:lang w:val="en-US" w:eastAsia="zh-CN"/>
              </w:rPr>
            </w:pPr>
            <w:r>
              <w:rPr>
                <w:rFonts w:hint="eastAsia"/>
                <w:lang w:val="en-US" w:eastAsia="zh-CN"/>
              </w:rPr>
              <w:t>4.加强对集中供热、电厂锅炉、10蒸吨/时以上的在用燃煤锅炉以及改用清洁能源前的在用锅炉等燃烧设施的监管，确保达标排放。</w:t>
            </w:r>
          </w:p>
          <w:p w14:paraId="1DD0F108">
            <w:pPr>
              <w:bidi w:val="0"/>
              <w:rPr>
                <w:rFonts w:hint="eastAsia"/>
                <w:lang w:val="en-US" w:eastAsia="zh-CN"/>
              </w:rPr>
            </w:pPr>
            <w:r>
              <w:rPr>
                <w:rFonts w:hint="eastAsia"/>
                <w:lang w:val="en-US" w:eastAsia="zh-CN"/>
              </w:rPr>
              <w:t>其他资源利用效率要求</w:t>
            </w:r>
          </w:p>
          <w:p w14:paraId="66E6DB4E">
            <w:pPr>
              <w:bidi w:val="0"/>
              <w:ind w:firstLine="420" w:firstLineChars="200"/>
              <w:rPr>
                <w:rFonts w:hint="default"/>
                <w:lang w:val="en-US" w:eastAsia="zh-CN"/>
              </w:rPr>
            </w:pPr>
            <w:r>
              <w:rPr>
                <w:rFonts w:hint="eastAsia"/>
                <w:lang w:val="en-US" w:eastAsia="zh-CN"/>
              </w:rPr>
              <w:t>/</w:t>
            </w:r>
          </w:p>
        </w:tc>
        <w:tc>
          <w:tcPr>
            <w:tcW w:w="1910" w:type="dxa"/>
            <w:tcBorders>
              <w:tl2br w:val="nil"/>
              <w:tr2bl w:val="nil"/>
            </w:tcBorders>
            <w:noWrap w:val="0"/>
            <w:vAlign w:val="center"/>
          </w:tcPr>
          <w:p w14:paraId="43BF125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eastAsia" w:cs="Times New Roman"/>
                <w:color w:val="000000"/>
                <w:sz w:val="21"/>
                <w:szCs w:val="21"/>
                <w:vertAlign w:val="baseline"/>
                <w:lang w:val="en-US" w:eastAsia="zh-CN"/>
              </w:rPr>
              <w:t>本项目</w:t>
            </w:r>
            <w:r>
              <w:rPr>
                <w:rFonts w:hint="default" w:ascii="Times New Roman" w:hAnsi="Times New Roman" w:eastAsia="宋体" w:cs="Times New Roman"/>
                <w:color w:val="000000"/>
                <w:sz w:val="21"/>
                <w:szCs w:val="21"/>
                <w:vertAlign w:val="baseline"/>
                <w:lang w:val="en-US" w:eastAsia="zh-CN"/>
              </w:rPr>
              <w:t>项目</w:t>
            </w:r>
            <w:r>
              <w:rPr>
                <w:rFonts w:hint="eastAsia" w:cs="Times New Roman"/>
                <w:color w:val="000000"/>
                <w:sz w:val="21"/>
                <w:szCs w:val="21"/>
                <w:vertAlign w:val="baseline"/>
                <w:lang w:val="en-US" w:eastAsia="zh-CN"/>
              </w:rPr>
              <w:t>喷漆</w:t>
            </w:r>
            <w:r>
              <w:rPr>
                <w:rFonts w:hint="default" w:ascii="Times New Roman" w:hAnsi="Times New Roman" w:eastAsia="宋体" w:cs="Times New Roman"/>
                <w:color w:val="000000"/>
                <w:sz w:val="21"/>
                <w:szCs w:val="21"/>
                <w:vertAlign w:val="baseline"/>
                <w:lang w:val="en-US" w:eastAsia="zh-CN"/>
              </w:rPr>
              <w:t>废水</w:t>
            </w:r>
            <w:r>
              <w:rPr>
                <w:rFonts w:hint="eastAsia" w:cs="Times New Roman"/>
                <w:color w:val="000000"/>
                <w:sz w:val="21"/>
                <w:szCs w:val="21"/>
                <w:vertAlign w:val="baseline"/>
                <w:lang w:val="en-US" w:eastAsia="zh-CN"/>
              </w:rPr>
              <w:t>处理后回用，注塑冷却废水和生活废水经园区预处理池达标后排入</w:t>
            </w:r>
            <w:r>
              <w:rPr>
                <w:rFonts w:hint="default" w:ascii="Times New Roman" w:hAnsi="Times New Roman" w:cs="Times New Roman"/>
                <w:color w:val="auto"/>
                <w:spacing w:val="0"/>
                <w:sz w:val="21"/>
                <w:szCs w:val="21"/>
                <w:highlight w:val="none"/>
                <w:lang w:bidi="ar"/>
              </w:rPr>
              <w:t>蓬溪县经济开发区废水处理厂</w:t>
            </w:r>
            <w:r>
              <w:rPr>
                <w:rFonts w:hint="eastAsia" w:cs="Times New Roman"/>
                <w:color w:val="auto"/>
                <w:spacing w:val="0"/>
                <w:sz w:val="21"/>
                <w:szCs w:val="21"/>
                <w:highlight w:val="none"/>
                <w:lang w:eastAsia="zh-CN" w:bidi="ar"/>
              </w:rPr>
              <w:t>。</w:t>
            </w:r>
            <w:r>
              <w:rPr>
                <w:rFonts w:hint="eastAsia" w:cs="Times New Roman"/>
                <w:color w:val="000000"/>
                <w:sz w:val="21"/>
                <w:szCs w:val="21"/>
                <w:vertAlign w:val="baseline"/>
                <w:lang w:val="en-US" w:eastAsia="zh-CN"/>
              </w:rPr>
              <w:t>不涉及燃煤、燃油锅炉</w:t>
            </w:r>
            <w:r>
              <w:rPr>
                <w:rFonts w:hint="default" w:ascii="Times New Roman" w:hAnsi="Times New Roman" w:eastAsia="宋体" w:cs="Times New Roman"/>
                <w:color w:val="000000"/>
                <w:sz w:val="21"/>
                <w:szCs w:val="21"/>
                <w:vertAlign w:val="baseline"/>
                <w:lang w:val="en-US" w:eastAsia="zh-CN"/>
              </w:rPr>
              <w:t>。</w:t>
            </w:r>
          </w:p>
        </w:tc>
        <w:tc>
          <w:tcPr>
            <w:tcW w:w="920" w:type="dxa"/>
            <w:tcBorders>
              <w:tl2br w:val="nil"/>
              <w:tr2bl w:val="nil"/>
            </w:tcBorders>
            <w:noWrap w:val="0"/>
            <w:vAlign w:val="center"/>
          </w:tcPr>
          <w:p w14:paraId="58F4528F">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符合</w:t>
            </w:r>
          </w:p>
        </w:tc>
      </w:tr>
      <w:tr w14:paraId="5B247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14:paraId="0BDD1BC7">
            <w:pPr>
              <w:jc w:val="both"/>
              <w:rPr>
                <w:rFonts w:hint="eastAsia" w:ascii="宋体" w:hAnsi="宋体" w:eastAsia="宋体" w:cs="宋体"/>
                <w:color w:val="000000"/>
                <w:sz w:val="21"/>
                <w:szCs w:val="21"/>
                <w:vertAlign w:val="baseline"/>
              </w:rPr>
            </w:pPr>
          </w:p>
        </w:tc>
        <w:tc>
          <w:tcPr>
            <w:tcW w:w="682" w:type="dxa"/>
            <w:vMerge w:val="restart"/>
            <w:tcBorders>
              <w:tl2br w:val="nil"/>
              <w:tr2bl w:val="nil"/>
            </w:tcBorders>
            <w:noWrap w:val="0"/>
            <w:vAlign w:val="center"/>
          </w:tcPr>
          <w:p w14:paraId="5D44E3FE">
            <w:pPr>
              <w:jc w:val="both"/>
              <w:rPr>
                <w:rStyle w:val="29"/>
                <w:rFonts w:hint="eastAsia" w:ascii="宋体" w:hAnsi="宋体" w:eastAsia="宋体" w:cs="Times New Roman"/>
                <w:kern w:val="2"/>
                <w:sz w:val="21"/>
                <w:szCs w:val="21"/>
                <w:lang w:val="en-US" w:eastAsia="zh-CN" w:bidi="ar-SA"/>
              </w:rPr>
            </w:pPr>
            <w:r>
              <w:rPr>
                <w:rFonts w:hint="eastAsia" w:ascii="宋体" w:hAnsi="宋体" w:eastAsia="宋体" w:cs="宋体"/>
                <w:b w:val="0"/>
                <w:bCs w:val="0"/>
                <w:color w:val="000000"/>
                <w:kern w:val="0"/>
                <w:sz w:val="21"/>
                <w:szCs w:val="21"/>
                <w:lang w:val="en-US" w:eastAsia="zh-CN" w:bidi="ar-SA"/>
              </w:rPr>
              <w:t>单元特性管控要求</w:t>
            </w:r>
          </w:p>
        </w:tc>
        <w:tc>
          <w:tcPr>
            <w:tcW w:w="1248" w:type="dxa"/>
            <w:tcBorders>
              <w:tl2br w:val="nil"/>
              <w:tr2bl w:val="nil"/>
            </w:tcBorders>
            <w:noWrap w:val="0"/>
            <w:vAlign w:val="center"/>
          </w:tcPr>
          <w:p w14:paraId="41213A73">
            <w:pPr>
              <w:jc w:val="center"/>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空间布局约束</w:t>
            </w:r>
          </w:p>
        </w:tc>
        <w:tc>
          <w:tcPr>
            <w:tcW w:w="7990" w:type="dxa"/>
            <w:tcBorders>
              <w:tl2br w:val="nil"/>
              <w:tr2bl w:val="nil"/>
            </w:tcBorders>
            <w:noWrap w:val="0"/>
            <w:vAlign w:val="center"/>
          </w:tcPr>
          <w:p w14:paraId="5A6FCCAE">
            <w:pPr>
              <w:bidi w:val="0"/>
              <w:rPr>
                <w:lang w:val="en-US" w:eastAsia="zh-CN"/>
              </w:rPr>
            </w:pPr>
            <w:r>
              <w:rPr>
                <w:rFonts w:hint="eastAsia"/>
                <w:lang w:val="en-US" w:eastAsia="zh-CN"/>
              </w:rPr>
              <w:t>禁止开发建设活动的要求</w:t>
            </w:r>
          </w:p>
          <w:p w14:paraId="126B5C61">
            <w:pPr>
              <w:bidi w:val="0"/>
              <w:ind w:firstLine="210" w:firstLineChars="100"/>
              <w:rPr>
                <w:rFonts w:hint="eastAsia"/>
                <w:lang w:val="en-US" w:eastAsia="zh-CN"/>
              </w:rPr>
            </w:pPr>
            <w:r>
              <w:rPr>
                <w:rFonts w:hint="eastAsia"/>
                <w:lang w:val="en-US" w:eastAsia="zh-CN"/>
              </w:rPr>
              <w:t>1.严禁新建焦化、黄磷、水泥、冶炼、石墨及碳素制品等大气污染排放量大的企业</w:t>
            </w:r>
          </w:p>
          <w:p w14:paraId="577075CA">
            <w:pPr>
              <w:bidi w:val="0"/>
              <w:ind w:firstLine="210" w:firstLineChars="100"/>
              <w:rPr>
                <w:rFonts w:hint="eastAsia"/>
                <w:lang w:val="en-US" w:eastAsia="zh-CN"/>
              </w:rPr>
            </w:pPr>
            <w:r>
              <w:rPr>
                <w:rFonts w:hint="eastAsia"/>
                <w:lang w:val="en-US" w:eastAsia="zh-CN"/>
              </w:rPr>
              <w:t>2.严禁新建化工（除油漆、涂料）、皮革、化学制浆造纸、化学合成原料药、生物发酵原料药、印染、制革、农药、电镀等废水排放量大且难以处理的企业</w:t>
            </w:r>
          </w:p>
          <w:p w14:paraId="1CA59E74">
            <w:pPr>
              <w:bidi w:val="0"/>
              <w:ind w:firstLine="210" w:firstLineChars="100"/>
              <w:rPr>
                <w:rFonts w:hint="eastAsia"/>
                <w:lang w:val="en-US" w:eastAsia="zh-CN"/>
              </w:rPr>
            </w:pPr>
            <w:r>
              <w:rPr>
                <w:rFonts w:hint="eastAsia"/>
                <w:lang w:val="en-US" w:eastAsia="zh-CN"/>
              </w:rPr>
              <w:t>3.其他参照遂宁市总体准入要求-工业重点管控单元</w:t>
            </w:r>
          </w:p>
          <w:p w14:paraId="4303308A">
            <w:pPr>
              <w:bidi w:val="0"/>
              <w:rPr>
                <w:rFonts w:hint="eastAsia"/>
                <w:lang w:val="en-US" w:eastAsia="zh-CN"/>
              </w:rPr>
            </w:pPr>
            <w:r>
              <w:rPr>
                <w:rFonts w:hint="eastAsia"/>
                <w:lang w:val="en-US" w:eastAsia="zh-CN"/>
              </w:rPr>
              <w:t>限制开发建设活动的要求</w:t>
            </w:r>
          </w:p>
          <w:p w14:paraId="37DFF649">
            <w:pPr>
              <w:bidi w:val="0"/>
              <w:ind w:firstLine="210" w:firstLineChars="100"/>
              <w:rPr>
                <w:rFonts w:hint="eastAsia"/>
                <w:lang w:val="en-US" w:eastAsia="zh-CN"/>
              </w:rPr>
            </w:pPr>
            <w:r>
              <w:rPr>
                <w:rFonts w:hint="eastAsia"/>
                <w:lang w:val="en-US" w:eastAsia="zh-CN"/>
              </w:rPr>
              <w:t>参照遂宁市总体准入要求-工业重点管控单元</w:t>
            </w:r>
          </w:p>
          <w:p w14:paraId="6CEA33CC">
            <w:pPr>
              <w:bidi w:val="0"/>
              <w:rPr>
                <w:rFonts w:hint="eastAsia"/>
                <w:lang w:val="en-US" w:eastAsia="zh-CN"/>
              </w:rPr>
            </w:pPr>
            <w:r>
              <w:rPr>
                <w:rFonts w:hint="eastAsia"/>
                <w:lang w:val="en-US" w:eastAsia="zh-CN"/>
              </w:rPr>
              <w:t>允许开发建设活动的要求</w:t>
            </w:r>
          </w:p>
          <w:p w14:paraId="22E33726">
            <w:pPr>
              <w:bidi w:val="0"/>
              <w:rPr>
                <w:rFonts w:hint="eastAsia"/>
                <w:lang w:val="en-US" w:eastAsia="zh-CN"/>
              </w:rPr>
            </w:pPr>
            <w:r>
              <w:rPr>
                <w:rFonts w:hint="eastAsia"/>
                <w:lang w:val="en-US" w:eastAsia="zh-CN"/>
              </w:rPr>
              <w:t>/</w:t>
            </w:r>
          </w:p>
          <w:p w14:paraId="21D4704A">
            <w:pPr>
              <w:bidi w:val="0"/>
              <w:rPr>
                <w:rFonts w:hint="eastAsia"/>
                <w:lang w:val="en-US" w:eastAsia="zh-CN"/>
              </w:rPr>
            </w:pPr>
            <w:r>
              <w:rPr>
                <w:rFonts w:hint="eastAsia"/>
                <w:lang w:val="en-US" w:eastAsia="zh-CN"/>
              </w:rPr>
              <w:t>不符合空间布局要求活动的退出要求</w:t>
            </w:r>
          </w:p>
          <w:p w14:paraId="1B47D4EE">
            <w:pPr>
              <w:bidi w:val="0"/>
              <w:ind w:firstLine="210" w:firstLineChars="100"/>
              <w:rPr>
                <w:rFonts w:hint="eastAsia"/>
                <w:lang w:val="en-US" w:eastAsia="zh-CN"/>
              </w:rPr>
            </w:pPr>
            <w:r>
              <w:rPr>
                <w:rFonts w:hint="eastAsia"/>
                <w:lang w:val="en-US" w:eastAsia="zh-CN"/>
              </w:rPr>
              <w:t>参照遂宁市总体准入要求-工业重点管控单元</w:t>
            </w:r>
          </w:p>
          <w:p w14:paraId="6D408C55">
            <w:pPr>
              <w:bidi w:val="0"/>
              <w:rPr>
                <w:rFonts w:hint="eastAsia"/>
                <w:lang w:val="en-US" w:eastAsia="zh-CN"/>
              </w:rPr>
            </w:pPr>
            <w:r>
              <w:rPr>
                <w:rFonts w:hint="eastAsia"/>
                <w:lang w:val="en-US" w:eastAsia="zh-CN"/>
              </w:rPr>
              <w:t>其他空间布局约束要求</w:t>
            </w:r>
          </w:p>
          <w:p w14:paraId="51E45470">
            <w:pPr>
              <w:bidi w:val="0"/>
              <w:rPr>
                <w:rStyle w:val="29"/>
                <w:rFonts w:hint="eastAsia" w:ascii="宋体" w:hAnsi="宋体" w:eastAsia="宋体" w:cs="Times New Roman"/>
                <w:kern w:val="2"/>
                <w:szCs w:val="21"/>
                <w:lang w:val="en-US" w:eastAsia="zh-CN" w:bidi="ar-SA"/>
              </w:rPr>
            </w:pPr>
            <w:r>
              <w:rPr>
                <w:rFonts w:hint="eastAsia"/>
                <w:lang w:val="en-US" w:eastAsia="zh-CN"/>
              </w:rPr>
              <w:t>/</w:t>
            </w:r>
          </w:p>
        </w:tc>
        <w:tc>
          <w:tcPr>
            <w:tcW w:w="1910" w:type="dxa"/>
            <w:tcBorders>
              <w:tl2br w:val="nil"/>
              <w:tr2bl w:val="nil"/>
            </w:tcBorders>
            <w:noWrap w:val="0"/>
            <w:vAlign w:val="center"/>
          </w:tcPr>
          <w:p w14:paraId="211F1AF9">
            <w:pPr>
              <w:keepNext w:val="0"/>
              <w:keepLines w:val="0"/>
              <w:widowControl/>
              <w:suppressLineNumbers w:val="0"/>
              <w:jc w:val="left"/>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sz w:val="21"/>
                <w:szCs w:val="21"/>
                <w:vertAlign w:val="baseline"/>
                <w:lang w:val="en-US" w:eastAsia="zh-CN"/>
              </w:rPr>
              <w:t>本项目为</w:t>
            </w:r>
            <w:r>
              <w:rPr>
                <w:rFonts w:hint="default" w:ascii="Times New Roman" w:hAnsi="Times New Roman" w:eastAsia="宋体" w:cs="Times New Roman"/>
                <w:color w:val="000000"/>
                <w:kern w:val="0"/>
                <w:sz w:val="21"/>
                <w:szCs w:val="21"/>
                <w:lang w:val="en-US" w:eastAsia="zh-CN" w:bidi="ar"/>
              </w:rPr>
              <w:t>C2929</w:t>
            </w:r>
            <w:r>
              <w:rPr>
                <w:rFonts w:hint="eastAsia" w:ascii="宋体" w:hAnsi="宋体" w:eastAsia="宋体" w:cs="宋体"/>
                <w:color w:val="000000"/>
                <w:kern w:val="0"/>
                <w:sz w:val="21"/>
                <w:szCs w:val="21"/>
                <w:lang w:val="en-US" w:eastAsia="zh-CN" w:bidi="ar"/>
              </w:rPr>
              <w:t>塑料零件及其他塑料制品制造</w:t>
            </w:r>
            <w:r>
              <w:rPr>
                <w:rFonts w:hint="eastAsia" w:ascii="宋体" w:hAnsi="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C3670</w:t>
            </w:r>
            <w:r>
              <w:rPr>
                <w:rFonts w:hint="default" w:ascii="Times New Roman" w:hAnsi="Times New Roman" w:eastAsia="宋体" w:cs="Times New Roman"/>
                <w:color w:val="000000" w:themeColor="text1"/>
                <w:sz w:val="21"/>
                <w:szCs w:val="21"/>
                <w14:textFill>
                  <w14:solidFill>
                    <w14:schemeClr w14:val="tx1"/>
                  </w14:solidFill>
                </w14:textFill>
              </w:rPr>
              <w:t>汽车零部件及配件制造</w:t>
            </w:r>
            <w:r>
              <w:rPr>
                <w:rFonts w:hint="eastAsia" w:cs="Times New Roman"/>
                <w:color w:val="000000"/>
                <w:sz w:val="21"/>
                <w:szCs w:val="21"/>
                <w:vertAlign w:val="baseline"/>
                <w:lang w:val="en-US" w:eastAsia="zh-CN"/>
              </w:rPr>
              <w:t>，</w:t>
            </w:r>
            <w:r>
              <w:rPr>
                <w:rFonts w:hint="default" w:ascii="Times New Roman" w:hAnsi="Times New Roman" w:eastAsia="宋体" w:cs="Times New Roman"/>
                <w:color w:val="000000"/>
                <w:sz w:val="21"/>
                <w:szCs w:val="21"/>
                <w:vertAlign w:val="baseline"/>
                <w:lang w:val="en-US" w:eastAsia="zh-CN"/>
              </w:rPr>
              <w:t>不属于禁止、限制行业等情况。</w:t>
            </w:r>
          </w:p>
        </w:tc>
        <w:tc>
          <w:tcPr>
            <w:tcW w:w="920" w:type="dxa"/>
            <w:tcBorders>
              <w:tl2br w:val="nil"/>
              <w:tr2bl w:val="nil"/>
            </w:tcBorders>
            <w:noWrap w:val="0"/>
            <w:vAlign w:val="center"/>
          </w:tcPr>
          <w:p w14:paraId="0E5BCD1C">
            <w:pPr>
              <w:jc w:val="both"/>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符合</w:t>
            </w:r>
          </w:p>
        </w:tc>
      </w:tr>
      <w:tr w14:paraId="46F3F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14:paraId="7D2BF76C">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00E6423D">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6E66E707">
            <w:pPr>
              <w:jc w:val="center"/>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污染物排放管控</w:t>
            </w:r>
          </w:p>
        </w:tc>
        <w:tc>
          <w:tcPr>
            <w:tcW w:w="7990" w:type="dxa"/>
            <w:tcBorders>
              <w:tl2br w:val="nil"/>
              <w:tr2bl w:val="nil"/>
            </w:tcBorders>
            <w:noWrap w:val="0"/>
            <w:vAlign w:val="center"/>
          </w:tcPr>
          <w:p w14:paraId="57B46A3B">
            <w:pPr>
              <w:bidi w:val="0"/>
              <w:rPr>
                <w:lang w:val="en-US" w:eastAsia="zh-CN"/>
              </w:rPr>
            </w:pPr>
            <w:r>
              <w:rPr>
                <w:rFonts w:hint="eastAsia"/>
                <w:lang w:val="en-US" w:eastAsia="zh-CN"/>
              </w:rPr>
              <w:t>现有源提标升级改造</w:t>
            </w:r>
          </w:p>
          <w:p w14:paraId="766790F1">
            <w:pPr>
              <w:bidi w:val="0"/>
              <w:ind w:firstLine="210" w:firstLineChars="100"/>
              <w:rPr>
                <w:rFonts w:hint="eastAsia"/>
                <w:lang w:val="en-US" w:eastAsia="zh-CN"/>
              </w:rPr>
            </w:pPr>
            <w:r>
              <w:rPr>
                <w:rFonts w:hint="eastAsia"/>
                <w:lang w:val="en-US" w:eastAsia="zh-CN"/>
              </w:rPr>
              <w:t>1.园区内的现有化工企业必须执行初期雨水收集处理。</w:t>
            </w:r>
          </w:p>
          <w:p w14:paraId="3A402F88">
            <w:pPr>
              <w:bidi w:val="0"/>
              <w:ind w:firstLine="210" w:firstLineChars="100"/>
              <w:rPr>
                <w:rFonts w:hint="eastAsia"/>
                <w:lang w:val="en-US" w:eastAsia="zh-CN"/>
              </w:rPr>
            </w:pPr>
            <w:r>
              <w:rPr>
                <w:rFonts w:hint="eastAsia"/>
                <w:lang w:val="en-US" w:eastAsia="zh-CN"/>
              </w:rPr>
              <w:t>2.其他参照遂宁市总体准入要求-工业重点管控单元</w:t>
            </w:r>
          </w:p>
          <w:p w14:paraId="1D9CDBE2">
            <w:pPr>
              <w:bidi w:val="0"/>
              <w:rPr>
                <w:rFonts w:hint="eastAsia"/>
                <w:lang w:val="en-US" w:eastAsia="zh-CN"/>
              </w:rPr>
            </w:pPr>
            <w:r>
              <w:rPr>
                <w:rFonts w:hint="eastAsia"/>
                <w:lang w:val="en-US" w:eastAsia="zh-CN"/>
              </w:rPr>
              <w:t>新增源等量或倍量替代</w:t>
            </w:r>
          </w:p>
          <w:p w14:paraId="49379067">
            <w:pPr>
              <w:bidi w:val="0"/>
              <w:rPr>
                <w:rFonts w:hint="eastAsia"/>
                <w:lang w:val="en-US" w:eastAsia="zh-CN"/>
              </w:rPr>
            </w:pPr>
            <w:r>
              <w:rPr>
                <w:rFonts w:hint="eastAsia"/>
                <w:lang w:val="en-US" w:eastAsia="zh-CN"/>
              </w:rPr>
              <w:t>参照遂宁市总体准入要求-工业重点管控单元</w:t>
            </w:r>
          </w:p>
          <w:p w14:paraId="1582A69C">
            <w:pPr>
              <w:bidi w:val="0"/>
              <w:rPr>
                <w:rFonts w:hint="eastAsia"/>
                <w:lang w:val="en-US" w:eastAsia="zh-CN"/>
              </w:rPr>
            </w:pPr>
            <w:r>
              <w:rPr>
                <w:rFonts w:hint="eastAsia"/>
                <w:lang w:val="en-US" w:eastAsia="zh-CN"/>
              </w:rPr>
              <w:t>新增源排放标准限值</w:t>
            </w:r>
          </w:p>
          <w:p w14:paraId="335881EA">
            <w:pPr>
              <w:bidi w:val="0"/>
              <w:ind w:firstLine="210" w:firstLineChars="100"/>
              <w:rPr>
                <w:rFonts w:hint="eastAsia"/>
                <w:lang w:val="en-US" w:eastAsia="zh-CN"/>
              </w:rPr>
            </w:pPr>
            <w:r>
              <w:rPr>
                <w:rFonts w:hint="eastAsia"/>
                <w:lang w:val="en-US" w:eastAsia="zh-CN"/>
              </w:rPr>
              <w:t>1.项目产生的生产废水由企业自行处理达到《污水综合排放标准》三级或相应的行业排放标准后排入污水处理厂处理达《城镇污水处理厂污染物排放标准》一级A标或更严格标准后排放。</w:t>
            </w:r>
          </w:p>
          <w:p w14:paraId="18A234B2">
            <w:pPr>
              <w:bidi w:val="0"/>
              <w:ind w:firstLine="210" w:firstLineChars="100"/>
              <w:rPr>
                <w:rFonts w:hint="eastAsia"/>
                <w:lang w:val="en-US" w:eastAsia="zh-CN"/>
              </w:rPr>
            </w:pPr>
            <w:r>
              <w:rPr>
                <w:rFonts w:hint="eastAsia"/>
                <w:lang w:val="en-US" w:eastAsia="zh-CN"/>
              </w:rPr>
              <w:t>2.其他参照遂宁市总体准入要求-工业重点管控单元</w:t>
            </w:r>
          </w:p>
          <w:p w14:paraId="3FC429D8">
            <w:pPr>
              <w:bidi w:val="0"/>
              <w:rPr>
                <w:rFonts w:hint="eastAsia"/>
                <w:lang w:val="en-US" w:eastAsia="zh-CN"/>
              </w:rPr>
            </w:pPr>
            <w:r>
              <w:rPr>
                <w:rFonts w:hint="eastAsia"/>
                <w:lang w:val="en-US" w:eastAsia="zh-CN"/>
              </w:rPr>
              <w:t>污染物排放绩效水平准入要求</w:t>
            </w:r>
          </w:p>
          <w:p w14:paraId="4D34432B">
            <w:pPr>
              <w:bidi w:val="0"/>
              <w:ind w:firstLine="210" w:firstLineChars="100"/>
              <w:rPr>
                <w:rFonts w:hint="eastAsia"/>
                <w:lang w:val="en-US" w:eastAsia="zh-CN"/>
              </w:rPr>
            </w:pPr>
            <w:r>
              <w:rPr>
                <w:rFonts w:hint="eastAsia"/>
                <w:lang w:val="en-US" w:eastAsia="zh-CN"/>
              </w:rPr>
              <w:t>参照遂宁市总体准入要求-工业重点管控单元</w:t>
            </w:r>
          </w:p>
          <w:p w14:paraId="589BFA3B">
            <w:pPr>
              <w:bidi w:val="0"/>
              <w:rPr>
                <w:rFonts w:hint="eastAsia"/>
                <w:lang w:val="en-US" w:eastAsia="zh-CN"/>
              </w:rPr>
            </w:pPr>
            <w:r>
              <w:rPr>
                <w:rFonts w:hint="eastAsia"/>
                <w:lang w:val="en-US" w:eastAsia="zh-CN"/>
              </w:rPr>
              <w:t>其他污染物排放管控要求</w:t>
            </w:r>
          </w:p>
          <w:p w14:paraId="3735CFCC">
            <w:pPr>
              <w:bidi w:val="0"/>
              <w:rPr>
                <w:rStyle w:val="29"/>
                <w:rFonts w:hint="eastAsia" w:ascii="宋体" w:hAnsi="宋体" w:eastAsia="宋体" w:cs="Times New Roman"/>
                <w:kern w:val="2"/>
                <w:szCs w:val="21"/>
                <w:lang w:val="en-US" w:eastAsia="zh-CN" w:bidi="ar-SA"/>
              </w:rPr>
            </w:pPr>
            <w:r>
              <w:rPr>
                <w:rFonts w:hint="eastAsia"/>
                <w:lang w:val="en-US" w:eastAsia="zh-CN"/>
              </w:rPr>
              <w:t>/</w:t>
            </w:r>
          </w:p>
        </w:tc>
        <w:tc>
          <w:tcPr>
            <w:tcW w:w="1910" w:type="dxa"/>
            <w:tcBorders>
              <w:tl2br w:val="nil"/>
              <w:tr2bl w:val="nil"/>
            </w:tcBorders>
            <w:noWrap w:val="0"/>
            <w:vAlign w:val="center"/>
          </w:tcPr>
          <w:p w14:paraId="67FCCF7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本项目位于不属于化工行业；项目生产废水</w:t>
            </w:r>
            <w:r>
              <w:rPr>
                <w:rFonts w:hint="eastAsia" w:cs="Times New Roman"/>
                <w:color w:val="000000"/>
                <w:sz w:val="21"/>
                <w:szCs w:val="21"/>
                <w:vertAlign w:val="baseline"/>
                <w:lang w:val="en-US" w:eastAsia="zh-CN"/>
              </w:rPr>
              <w:t>处理后回用，注塑冷却水和生活废水经园区预处理池达标后排入</w:t>
            </w:r>
            <w:r>
              <w:rPr>
                <w:rFonts w:hint="default" w:ascii="Times New Roman" w:hAnsi="Times New Roman" w:cs="Times New Roman"/>
                <w:color w:val="auto"/>
                <w:spacing w:val="0"/>
                <w:sz w:val="21"/>
                <w:szCs w:val="21"/>
                <w:highlight w:val="none"/>
                <w:lang w:bidi="ar"/>
              </w:rPr>
              <w:t>蓬溪县经济开发区废水处理厂</w:t>
            </w:r>
            <w:r>
              <w:rPr>
                <w:rFonts w:hint="default" w:ascii="Times New Roman" w:hAnsi="Times New Roman" w:eastAsia="宋体" w:cs="Times New Roman"/>
                <w:color w:val="000000"/>
                <w:sz w:val="21"/>
                <w:szCs w:val="21"/>
                <w:vertAlign w:val="baseline"/>
                <w:lang w:val="en-US" w:eastAsia="zh-CN"/>
              </w:rPr>
              <w:t>。</w:t>
            </w:r>
          </w:p>
        </w:tc>
        <w:tc>
          <w:tcPr>
            <w:tcW w:w="920" w:type="dxa"/>
            <w:tcBorders>
              <w:tl2br w:val="nil"/>
              <w:tr2bl w:val="nil"/>
            </w:tcBorders>
            <w:noWrap w:val="0"/>
            <w:vAlign w:val="center"/>
          </w:tcPr>
          <w:p w14:paraId="5E588136">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val="en-US" w:eastAsia="zh-CN"/>
              </w:rPr>
              <w:t>符合</w:t>
            </w:r>
          </w:p>
        </w:tc>
      </w:tr>
      <w:tr w14:paraId="0273E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14:paraId="436BC148">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5010D404">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524C29E0">
            <w:pPr>
              <w:jc w:val="center"/>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环境风险管控</w:t>
            </w:r>
          </w:p>
        </w:tc>
        <w:tc>
          <w:tcPr>
            <w:tcW w:w="7990" w:type="dxa"/>
            <w:tcBorders>
              <w:tl2br w:val="nil"/>
              <w:tr2bl w:val="nil"/>
            </w:tcBorders>
            <w:noWrap w:val="0"/>
            <w:vAlign w:val="center"/>
          </w:tcPr>
          <w:p w14:paraId="4C942355">
            <w:pPr>
              <w:bidi w:val="0"/>
              <w:rPr>
                <w:lang w:val="en-US" w:eastAsia="zh-CN"/>
              </w:rPr>
            </w:pPr>
            <w:r>
              <w:rPr>
                <w:rFonts w:hint="eastAsia"/>
                <w:lang w:val="en-US" w:eastAsia="zh-CN"/>
              </w:rPr>
              <w:t>严格管控类农用地管控要求</w:t>
            </w:r>
          </w:p>
          <w:p w14:paraId="62A69CE3">
            <w:pPr>
              <w:bidi w:val="0"/>
              <w:ind w:firstLine="210" w:firstLineChars="100"/>
              <w:rPr>
                <w:rFonts w:hint="eastAsia"/>
                <w:lang w:val="en-US" w:eastAsia="zh-CN"/>
              </w:rPr>
            </w:pPr>
            <w:r>
              <w:rPr>
                <w:rFonts w:hint="eastAsia"/>
                <w:lang w:val="en-US" w:eastAsia="zh-CN"/>
              </w:rPr>
              <w:t>参照遂宁市总体准入要求-工业重点管控单元</w:t>
            </w:r>
          </w:p>
          <w:p w14:paraId="106EF5EE">
            <w:pPr>
              <w:bidi w:val="0"/>
              <w:rPr>
                <w:rFonts w:hint="eastAsia"/>
                <w:lang w:val="en-US" w:eastAsia="zh-CN"/>
              </w:rPr>
            </w:pPr>
            <w:r>
              <w:rPr>
                <w:rFonts w:hint="eastAsia"/>
                <w:lang w:val="en-US" w:eastAsia="zh-CN"/>
              </w:rPr>
              <w:t>安全利用类农用地管控要求</w:t>
            </w:r>
          </w:p>
          <w:p w14:paraId="7E0B0D7A">
            <w:pPr>
              <w:bidi w:val="0"/>
              <w:ind w:firstLine="210" w:firstLineChars="100"/>
              <w:rPr>
                <w:rFonts w:hint="eastAsia"/>
                <w:lang w:val="en-US" w:eastAsia="zh-CN"/>
              </w:rPr>
            </w:pPr>
            <w:r>
              <w:rPr>
                <w:rFonts w:hint="eastAsia"/>
                <w:lang w:val="en-US" w:eastAsia="zh-CN"/>
              </w:rPr>
              <w:t>参照遂宁市总体准入要求-工业重点管控单元</w:t>
            </w:r>
          </w:p>
          <w:p w14:paraId="4946ABF4">
            <w:pPr>
              <w:bidi w:val="0"/>
              <w:rPr>
                <w:rFonts w:hint="eastAsia"/>
                <w:lang w:val="en-US" w:eastAsia="zh-CN"/>
              </w:rPr>
            </w:pPr>
            <w:r>
              <w:rPr>
                <w:rFonts w:hint="eastAsia"/>
                <w:lang w:val="en-US" w:eastAsia="zh-CN"/>
              </w:rPr>
              <w:t>污染地块管控要求</w:t>
            </w:r>
          </w:p>
          <w:p w14:paraId="5EBAE9CD">
            <w:pPr>
              <w:bidi w:val="0"/>
              <w:ind w:firstLine="210" w:firstLineChars="100"/>
              <w:rPr>
                <w:rFonts w:hint="eastAsia"/>
                <w:lang w:val="en-US" w:eastAsia="zh-CN"/>
              </w:rPr>
            </w:pPr>
            <w:r>
              <w:rPr>
                <w:rFonts w:hint="eastAsia"/>
                <w:lang w:val="en-US" w:eastAsia="zh-CN"/>
              </w:rPr>
              <w:t>参照遂宁市总体准入要求-工业重点管控单元</w:t>
            </w:r>
          </w:p>
          <w:p w14:paraId="574D76B4">
            <w:pPr>
              <w:bidi w:val="0"/>
              <w:rPr>
                <w:rFonts w:hint="eastAsia"/>
                <w:lang w:val="en-US" w:eastAsia="zh-CN"/>
              </w:rPr>
            </w:pPr>
            <w:r>
              <w:rPr>
                <w:rFonts w:hint="eastAsia"/>
                <w:lang w:val="en-US" w:eastAsia="zh-CN"/>
              </w:rPr>
              <w:t>园区环境风险防控要求</w:t>
            </w:r>
          </w:p>
          <w:p w14:paraId="29F1528D">
            <w:pPr>
              <w:bidi w:val="0"/>
              <w:ind w:firstLine="210" w:firstLineChars="100"/>
              <w:rPr>
                <w:rFonts w:hint="eastAsia"/>
                <w:lang w:val="en-US" w:eastAsia="zh-CN"/>
              </w:rPr>
            </w:pPr>
            <w:r>
              <w:rPr>
                <w:rFonts w:hint="eastAsia"/>
                <w:lang w:val="en-US" w:eastAsia="zh-CN"/>
              </w:rPr>
              <w:t>参照遂宁市总体准入要求-工业重点管控单元</w:t>
            </w:r>
          </w:p>
          <w:p w14:paraId="23B86E63">
            <w:pPr>
              <w:bidi w:val="0"/>
              <w:rPr>
                <w:rFonts w:hint="eastAsia"/>
                <w:lang w:val="en-US" w:eastAsia="zh-CN"/>
              </w:rPr>
            </w:pPr>
            <w:r>
              <w:rPr>
                <w:rFonts w:hint="eastAsia"/>
                <w:lang w:val="en-US" w:eastAsia="zh-CN"/>
              </w:rPr>
              <w:t>企业环境风险防控要求</w:t>
            </w:r>
          </w:p>
          <w:p w14:paraId="7A1BEE03">
            <w:pPr>
              <w:bidi w:val="0"/>
              <w:ind w:firstLine="210" w:firstLineChars="100"/>
              <w:rPr>
                <w:rFonts w:hint="eastAsia"/>
                <w:lang w:val="en-US" w:eastAsia="zh-CN"/>
              </w:rPr>
            </w:pPr>
            <w:r>
              <w:rPr>
                <w:rFonts w:hint="eastAsia"/>
                <w:lang w:val="en-US" w:eastAsia="zh-CN"/>
              </w:rPr>
              <w:t>1.除化工企业配套的化学物质存储区外，禁止在区内另设置存储大宗危险化学物质的仓储项目。</w:t>
            </w:r>
          </w:p>
          <w:p w14:paraId="7DD4DC12">
            <w:pPr>
              <w:bidi w:val="0"/>
              <w:ind w:firstLine="210" w:firstLineChars="100"/>
              <w:rPr>
                <w:rFonts w:hint="eastAsia"/>
                <w:lang w:val="en-US" w:eastAsia="zh-CN"/>
              </w:rPr>
            </w:pPr>
            <w:r>
              <w:rPr>
                <w:rFonts w:hint="eastAsia"/>
                <w:lang w:val="en-US" w:eastAsia="zh-CN"/>
              </w:rPr>
              <w:t>2.其他参照遂宁市总体准入要求-工业重点管控单元</w:t>
            </w:r>
          </w:p>
          <w:p w14:paraId="128A3097">
            <w:pPr>
              <w:bidi w:val="0"/>
              <w:rPr>
                <w:rFonts w:hint="eastAsia"/>
                <w:lang w:val="en-US" w:eastAsia="zh-CN"/>
              </w:rPr>
            </w:pPr>
            <w:r>
              <w:rPr>
                <w:rFonts w:hint="eastAsia"/>
                <w:lang w:val="en-US" w:eastAsia="zh-CN"/>
              </w:rPr>
              <w:t>其他环境风险防控要求</w:t>
            </w:r>
          </w:p>
          <w:p w14:paraId="102E8A20">
            <w:pPr>
              <w:bidi w:val="0"/>
              <w:ind w:firstLine="210" w:firstLineChars="100"/>
              <w:rPr>
                <w:rStyle w:val="29"/>
                <w:rFonts w:hint="eastAsia" w:ascii="宋体" w:hAnsi="宋体" w:eastAsia="宋体" w:cs="Times New Roman"/>
                <w:kern w:val="2"/>
                <w:szCs w:val="21"/>
                <w:lang w:val="en-US" w:eastAsia="zh-CN" w:bidi="ar-SA"/>
              </w:rPr>
            </w:pPr>
            <w:r>
              <w:rPr>
                <w:rFonts w:hint="eastAsia"/>
                <w:lang w:val="en-US" w:eastAsia="zh-CN"/>
              </w:rPr>
              <w:t>/</w:t>
            </w:r>
          </w:p>
        </w:tc>
        <w:tc>
          <w:tcPr>
            <w:tcW w:w="1910" w:type="dxa"/>
            <w:tcBorders>
              <w:tl2br w:val="nil"/>
              <w:tr2bl w:val="nil"/>
            </w:tcBorders>
            <w:noWrap w:val="0"/>
            <w:vAlign w:val="center"/>
          </w:tcPr>
          <w:p w14:paraId="103CC91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w:t>
            </w:r>
            <w:r>
              <w:rPr>
                <w:rFonts w:hint="eastAsia" w:cs="Times New Roman"/>
                <w:color w:val="000000"/>
                <w:sz w:val="21"/>
                <w:szCs w:val="21"/>
                <w:vertAlign w:val="baseline"/>
                <w:lang w:val="en-US" w:eastAsia="zh-CN"/>
              </w:rPr>
              <w:t>用地为工业用地</w:t>
            </w:r>
            <w:r>
              <w:rPr>
                <w:rStyle w:val="29"/>
                <w:rFonts w:hint="default" w:ascii="Times New Roman" w:hAnsi="Times New Roman" w:eastAsia="宋体" w:cs="Times New Roman"/>
                <w:kern w:val="2"/>
                <w:sz w:val="21"/>
                <w:szCs w:val="21"/>
                <w:lang w:val="en-US" w:eastAsia="zh-CN" w:bidi="ar-SA"/>
              </w:rPr>
              <w:t>。</w:t>
            </w:r>
            <w:r>
              <w:rPr>
                <w:rStyle w:val="29"/>
                <w:rFonts w:hint="eastAsia" w:cs="Times New Roman"/>
                <w:kern w:val="2"/>
                <w:sz w:val="21"/>
                <w:szCs w:val="21"/>
                <w:lang w:val="en-US" w:eastAsia="zh-CN" w:bidi="ar-SA"/>
              </w:rPr>
              <w:t>项目不涉及</w:t>
            </w:r>
            <w:r>
              <w:rPr>
                <w:rFonts w:hint="eastAsia"/>
                <w:lang w:val="en-US" w:eastAsia="zh-CN"/>
              </w:rPr>
              <w:t>存储大宗危险化学物质的仓储项目</w:t>
            </w:r>
          </w:p>
        </w:tc>
        <w:tc>
          <w:tcPr>
            <w:tcW w:w="920" w:type="dxa"/>
            <w:tcBorders>
              <w:tl2br w:val="nil"/>
              <w:tr2bl w:val="nil"/>
            </w:tcBorders>
            <w:noWrap w:val="0"/>
            <w:vAlign w:val="center"/>
          </w:tcPr>
          <w:p w14:paraId="155AE797">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val="en-US" w:eastAsia="zh-CN"/>
              </w:rPr>
              <w:t>符合</w:t>
            </w:r>
          </w:p>
        </w:tc>
      </w:tr>
      <w:tr w14:paraId="243DD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14:paraId="30AFACB2">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14:paraId="7922538E">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14:paraId="77E7F155">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资源开发利用效率</w:t>
            </w:r>
          </w:p>
        </w:tc>
        <w:tc>
          <w:tcPr>
            <w:tcW w:w="7990" w:type="dxa"/>
            <w:tcBorders>
              <w:tl2br w:val="nil"/>
              <w:tr2bl w:val="nil"/>
            </w:tcBorders>
            <w:noWrap w:val="0"/>
            <w:vAlign w:val="center"/>
          </w:tcPr>
          <w:p w14:paraId="7D4CB186">
            <w:pPr>
              <w:bidi w:val="0"/>
              <w:rPr>
                <w:rFonts w:hint="default" w:ascii="Times New Roman" w:hAnsi="Times New Roman" w:cs="Times New Roman"/>
                <w:lang w:val="en-US" w:eastAsia="zh-CN"/>
              </w:rPr>
            </w:pPr>
            <w:r>
              <w:rPr>
                <w:rFonts w:hint="default" w:ascii="Times New Roman" w:hAnsi="Times New Roman" w:cs="Times New Roman"/>
                <w:lang w:val="en-US" w:eastAsia="zh-CN"/>
              </w:rPr>
              <w:t>水资源利用效率要求</w:t>
            </w:r>
          </w:p>
          <w:p w14:paraId="0B1D09A5">
            <w:pPr>
              <w:bidi w:val="0"/>
              <w:ind w:firstLine="210" w:firstLineChars="100"/>
              <w:rPr>
                <w:rFonts w:hint="default" w:ascii="Times New Roman" w:hAnsi="Times New Roman" w:cs="Times New Roman"/>
                <w:lang w:val="en-US" w:eastAsia="zh-CN"/>
              </w:rPr>
            </w:pPr>
            <w:r>
              <w:rPr>
                <w:rFonts w:hint="default" w:ascii="Times New Roman" w:hAnsi="Times New Roman" w:cs="Times New Roman"/>
                <w:lang w:val="en-US" w:eastAsia="zh-CN"/>
              </w:rPr>
              <w:t>参照遂宁市总体准入要求-工业重点管控单元</w:t>
            </w:r>
          </w:p>
          <w:p w14:paraId="0E22D238">
            <w:pPr>
              <w:bidi w:val="0"/>
              <w:rPr>
                <w:rFonts w:hint="default" w:ascii="Times New Roman" w:hAnsi="Times New Roman" w:cs="Times New Roman"/>
                <w:lang w:val="en-US" w:eastAsia="zh-CN"/>
              </w:rPr>
            </w:pPr>
            <w:r>
              <w:rPr>
                <w:rFonts w:hint="default" w:ascii="Times New Roman" w:hAnsi="Times New Roman" w:cs="Times New Roman"/>
                <w:lang w:val="en-US" w:eastAsia="zh-CN"/>
              </w:rPr>
              <w:t>地下水开采要求</w:t>
            </w:r>
          </w:p>
          <w:p w14:paraId="4C350284">
            <w:pPr>
              <w:bidi w:val="0"/>
              <w:ind w:firstLine="210" w:firstLineChars="100"/>
              <w:rPr>
                <w:rFonts w:hint="default" w:ascii="Times New Roman" w:hAnsi="Times New Roman" w:cs="Times New Roman"/>
                <w:lang w:val="en-US" w:eastAsia="zh-CN"/>
              </w:rPr>
            </w:pPr>
            <w:r>
              <w:rPr>
                <w:rFonts w:hint="default" w:ascii="Times New Roman" w:hAnsi="Times New Roman" w:cs="Times New Roman"/>
                <w:lang w:val="en-US" w:eastAsia="zh-CN"/>
              </w:rPr>
              <w:t>（1）蓬溪县2030年地下水开采控制控制量保持在0.09亿m3以内。（2）全面建设节水型社会，达到合理高效用水。</w:t>
            </w:r>
          </w:p>
          <w:p w14:paraId="3711A458">
            <w:pPr>
              <w:bidi w:val="0"/>
              <w:rPr>
                <w:rFonts w:hint="default" w:ascii="Times New Roman" w:hAnsi="Times New Roman" w:cs="Times New Roman"/>
                <w:lang w:val="en-US" w:eastAsia="zh-CN"/>
              </w:rPr>
            </w:pPr>
            <w:r>
              <w:rPr>
                <w:rFonts w:hint="default" w:ascii="Times New Roman" w:hAnsi="Times New Roman" w:cs="Times New Roman"/>
                <w:lang w:val="en-US" w:eastAsia="zh-CN"/>
              </w:rPr>
              <w:t>能源利用效率要求</w:t>
            </w:r>
          </w:p>
          <w:p w14:paraId="68DE2764">
            <w:pPr>
              <w:bidi w:val="0"/>
              <w:ind w:firstLine="210" w:firstLineChars="100"/>
              <w:rPr>
                <w:rFonts w:hint="default" w:ascii="Times New Roman" w:hAnsi="Times New Roman" w:cs="Times New Roman"/>
                <w:lang w:val="en-US" w:eastAsia="zh-CN"/>
              </w:rPr>
            </w:pPr>
            <w:r>
              <w:rPr>
                <w:rFonts w:hint="default" w:ascii="Times New Roman" w:hAnsi="Times New Roman" w:cs="Times New Roman"/>
                <w:lang w:val="en-US" w:eastAsia="zh-CN"/>
              </w:rPr>
              <w:t>参照遂宁市总体准入要求-工业重点管控单元</w:t>
            </w:r>
          </w:p>
          <w:p w14:paraId="5AB3B07A">
            <w:pPr>
              <w:bidi w:val="0"/>
              <w:rPr>
                <w:rFonts w:hint="default" w:ascii="Times New Roman" w:hAnsi="Times New Roman" w:cs="Times New Roman"/>
                <w:lang w:val="en-US" w:eastAsia="zh-CN"/>
              </w:rPr>
            </w:pPr>
            <w:r>
              <w:rPr>
                <w:rFonts w:hint="default" w:ascii="Times New Roman" w:hAnsi="Times New Roman" w:cs="Times New Roman"/>
                <w:lang w:val="en-US" w:eastAsia="zh-CN"/>
              </w:rPr>
              <w:t>其他资源利用效率要求</w:t>
            </w:r>
          </w:p>
          <w:p w14:paraId="248F7C16">
            <w:pPr>
              <w:keepNext w:val="0"/>
              <w:keepLines w:val="0"/>
              <w:pageBreakBefore w:val="0"/>
              <w:kinsoku/>
              <w:wordWrap/>
              <w:overflowPunct/>
              <w:topLinePunct w:val="0"/>
              <w:autoSpaceDE/>
              <w:autoSpaceDN/>
              <w:bidi w:val="0"/>
              <w:adjustRightInd/>
              <w:snapToGrid/>
              <w:spacing w:line="312" w:lineRule="auto"/>
              <w:ind w:firstLine="210" w:firstLineChars="100"/>
              <w:jc w:val="both"/>
              <w:textAlignment w:val="auto"/>
              <w:rPr>
                <w:rStyle w:val="29"/>
                <w:rFonts w:hint="eastAsia" w:ascii="宋体" w:hAnsi="宋体" w:eastAsia="宋体" w:cs="Times New Roman"/>
                <w:kern w:val="2"/>
                <w:sz w:val="21"/>
                <w:szCs w:val="21"/>
                <w:lang w:val="en-US" w:eastAsia="zh-CN" w:bidi="ar-SA"/>
              </w:rPr>
            </w:pPr>
            <w:r>
              <w:rPr>
                <w:rStyle w:val="29"/>
                <w:rFonts w:hint="eastAsia" w:ascii="宋体" w:hAnsi="宋体" w:eastAsia="宋体" w:cs="Times New Roman"/>
                <w:kern w:val="2"/>
                <w:sz w:val="21"/>
                <w:szCs w:val="21"/>
                <w:lang w:val="en-US" w:eastAsia="zh-CN" w:bidi="ar-SA"/>
              </w:rPr>
              <w:t>禁燃区管控要求：参照遂宁市总体准入要求-工业重点管控单元</w:t>
            </w:r>
          </w:p>
        </w:tc>
        <w:tc>
          <w:tcPr>
            <w:tcW w:w="1910" w:type="dxa"/>
            <w:tcBorders>
              <w:tl2br w:val="nil"/>
              <w:tr2bl w:val="nil"/>
            </w:tcBorders>
            <w:noWrap w:val="0"/>
            <w:vAlign w:val="center"/>
          </w:tcPr>
          <w:p w14:paraId="64936D2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本项目不涉及地下水开采</w:t>
            </w:r>
            <w:r>
              <w:rPr>
                <w:rFonts w:hint="eastAsia" w:cs="Times New Roman"/>
                <w:color w:val="000000"/>
                <w:sz w:val="21"/>
                <w:szCs w:val="21"/>
                <w:vertAlign w:val="baseline"/>
                <w:lang w:val="en-US" w:eastAsia="zh-CN"/>
              </w:rPr>
              <w:t>，生产废水处理后回用生产</w:t>
            </w:r>
            <w:r>
              <w:rPr>
                <w:rFonts w:hint="default" w:ascii="Times New Roman" w:hAnsi="Times New Roman" w:eastAsia="宋体" w:cs="Times New Roman"/>
                <w:color w:val="000000"/>
                <w:sz w:val="21"/>
                <w:szCs w:val="21"/>
                <w:vertAlign w:val="baseline"/>
                <w:lang w:val="en-US" w:eastAsia="zh-CN"/>
              </w:rPr>
              <w:t>。</w:t>
            </w:r>
          </w:p>
        </w:tc>
        <w:tc>
          <w:tcPr>
            <w:tcW w:w="920" w:type="dxa"/>
            <w:tcBorders>
              <w:tl2br w:val="nil"/>
              <w:tr2bl w:val="nil"/>
            </w:tcBorders>
            <w:noWrap w:val="0"/>
            <w:vAlign w:val="center"/>
          </w:tcPr>
          <w:p w14:paraId="7CDAE7C1">
            <w:pPr>
              <w:jc w:val="both"/>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符合</w:t>
            </w:r>
          </w:p>
        </w:tc>
      </w:tr>
    </w:tbl>
    <w:p w14:paraId="6F0D946D">
      <w:pPr>
        <w:pStyle w:val="69"/>
        <w:ind w:firstLine="480"/>
        <w:jc w:val="both"/>
        <w:rPr>
          <w:color w:val="000000"/>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r>
        <w:rPr>
          <w:rFonts w:ascii="Times New Roman" w:hAnsi="Times New Roman" w:cs="Times New Roman"/>
          <w:b/>
          <w:bCs/>
          <w:color w:val="000000"/>
        </w:rPr>
        <w:t>根据以上分析</w:t>
      </w:r>
      <w:r>
        <w:rPr>
          <w:rFonts w:hint="eastAsia" w:ascii="Times New Roman" w:hAnsi="Times New Roman" w:cs="Times New Roman"/>
          <w:b/>
          <w:bCs/>
          <w:color w:val="000000"/>
          <w:lang w:eastAsia="zh-CN"/>
        </w:rPr>
        <w:t>，本项目符合现有“三线一单”的相关</w:t>
      </w:r>
      <w:r>
        <w:rPr>
          <w:rFonts w:hint="eastAsia" w:ascii="Times New Roman" w:hAnsi="Times New Roman" w:cs="Times New Roman"/>
          <w:b/>
          <w:bCs/>
          <w:color w:val="000000"/>
          <w:lang w:val="en-US" w:eastAsia="zh-CN"/>
        </w:rPr>
        <w:t>管控</w:t>
      </w:r>
      <w:r>
        <w:rPr>
          <w:rFonts w:hint="eastAsia" w:ascii="Times New Roman" w:hAnsi="Times New Roman" w:cs="Times New Roman"/>
          <w:b/>
          <w:bCs/>
          <w:color w:val="000000"/>
          <w:lang w:eastAsia="zh-CN"/>
        </w:rPr>
        <w:t>要求</w:t>
      </w:r>
      <w:r>
        <w:rPr>
          <w:rFonts w:ascii="Times New Roman" w:hAnsi="Times New Roman" w:cs="Times New Roman"/>
          <w:b/>
          <w:bCs/>
          <w:color w:val="000000"/>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0EC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14:paraId="567E6E65">
            <w:pPr>
              <w:bidi w:val="0"/>
              <w:spacing w:line="360" w:lineRule="auto"/>
              <w:rPr>
                <w:rFonts w:hint="default"/>
                <w:b/>
                <w:bCs/>
                <w:lang w:val="zh-CN"/>
              </w:rPr>
            </w:pPr>
            <w:r>
              <w:rPr>
                <w:rFonts w:hint="default"/>
                <w:b/>
                <w:bCs/>
                <w:lang w:val="zh-CN"/>
              </w:rPr>
              <w:t>（</w:t>
            </w:r>
            <w:r>
              <w:rPr>
                <w:rFonts w:hint="eastAsia"/>
                <w:b/>
                <w:bCs/>
                <w:lang w:val="en-US" w:eastAsia="zh-CN"/>
              </w:rPr>
              <w:t>4</w:t>
            </w:r>
            <w:r>
              <w:rPr>
                <w:rFonts w:hint="default"/>
                <w:b/>
                <w:bCs/>
                <w:lang w:val="zh-CN"/>
              </w:rPr>
              <w:t>）</w:t>
            </w:r>
            <w:r>
              <w:rPr>
                <w:rFonts w:hint="default"/>
                <w:b/>
                <w:bCs/>
              </w:rPr>
              <w:t>与大气污染防治等相关规划符合性分析</w:t>
            </w:r>
          </w:p>
          <w:p w14:paraId="497BF886">
            <w:pPr>
              <w:bidi w:val="0"/>
              <w:spacing w:line="360" w:lineRule="auto"/>
              <w:ind w:firstLine="420" w:firstLineChars="200"/>
              <w:rPr>
                <w:rFonts w:hint="default"/>
              </w:rPr>
            </w:pPr>
            <w:r>
              <w:rPr>
                <w:rFonts w:hint="default"/>
              </w:rPr>
              <w:t>本项目与</w:t>
            </w:r>
            <w:r>
              <w:rPr>
                <w:rFonts w:hint="eastAsia"/>
                <w:lang w:val="en-US" w:eastAsia="zh-CN"/>
              </w:rPr>
              <w:t>《中华人民共和国大气污染防治法》</w:t>
            </w:r>
            <w:r>
              <w:rPr>
                <w:rFonts w:hint="default"/>
              </w:rPr>
              <w:t>《关于印发四川省打赢蓝天保卫战等九个实施方案的通知》</w:t>
            </w:r>
            <w:r>
              <w:rPr>
                <w:rFonts w:hint="eastAsia"/>
                <w:lang w:eastAsia="zh-CN"/>
              </w:rPr>
              <w:t>（</w:t>
            </w:r>
            <w:r>
              <w:rPr>
                <w:rFonts w:hint="default"/>
              </w:rPr>
              <w:t>川府发〔2019〕4号</w:t>
            </w:r>
            <w:r>
              <w:rPr>
                <w:rFonts w:hint="eastAsia"/>
                <w:lang w:eastAsia="zh-CN"/>
              </w:rPr>
              <w:t>）</w:t>
            </w:r>
            <w:r>
              <w:rPr>
                <w:rFonts w:hint="default"/>
              </w:rPr>
              <w:t>、《重点行业挥发性有机物综合治理方案》环大气〔2019〕53号等文件的符合性如下：</w:t>
            </w:r>
          </w:p>
          <w:p w14:paraId="063E9CBA">
            <w:pPr>
              <w:bidi w:val="0"/>
              <w:spacing w:line="240" w:lineRule="auto"/>
              <w:jc w:val="center"/>
              <w:rPr>
                <w:rFonts w:hint="eastAsia"/>
                <w:b/>
                <w:bCs/>
                <w:lang w:val="en-US" w:eastAsia="zh-CN"/>
              </w:rPr>
            </w:pPr>
            <w:r>
              <w:rPr>
                <w:rFonts w:hint="eastAsia"/>
                <w:b/>
                <w:bCs/>
                <w:lang w:val="en-US" w:eastAsia="zh-CN"/>
              </w:rPr>
              <w:t>表1-4项目法律法规符合性分析表</w:t>
            </w:r>
          </w:p>
          <w:tbl>
            <w:tblPr>
              <w:tblStyle w:val="27"/>
              <w:tblpPr w:leftFromText="180" w:rightFromText="180" w:vertAnchor="text" w:horzAnchor="page" w:tblpX="169" w:tblpY="88"/>
              <w:tblOverlap w:val="never"/>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49"/>
              <w:gridCol w:w="4684"/>
              <w:gridCol w:w="2111"/>
              <w:gridCol w:w="695"/>
            </w:tblGrid>
            <w:tr w14:paraId="114EF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763" w:type="pct"/>
                  <w:tcBorders>
                    <w:tl2br w:val="nil"/>
                    <w:tr2bl w:val="nil"/>
                  </w:tcBorders>
                  <w:noWrap w:val="0"/>
                  <w:tcMar>
                    <w:top w:w="12" w:type="dxa"/>
                    <w:left w:w="12" w:type="dxa"/>
                    <w:bottom w:w="0" w:type="dxa"/>
                    <w:right w:w="12" w:type="dxa"/>
                  </w:tcMar>
                  <w:vAlign w:val="center"/>
                </w:tcPr>
                <w:p w14:paraId="4D572F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法律法规</w:t>
                  </w:r>
                </w:p>
              </w:tc>
              <w:tc>
                <w:tcPr>
                  <w:tcW w:w="2649" w:type="pct"/>
                  <w:tcBorders>
                    <w:tl2br w:val="nil"/>
                    <w:tr2bl w:val="nil"/>
                  </w:tcBorders>
                  <w:noWrap w:val="0"/>
                  <w:tcMar>
                    <w:top w:w="12" w:type="dxa"/>
                    <w:left w:w="12" w:type="dxa"/>
                    <w:bottom w:w="0" w:type="dxa"/>
                    <w:right w:w="12" w:type="dxa"/>
                  </w:tcMar>
                  <w:vAlign w:val="center"/>
                </w:tcPr>
                <w:p w14:paraId="739849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相关要求</w:t>
                  </w:r>
                </w:p>
              </w:tc>
              <w:tc>
                <w:tcPr>
                  <w:tcW w:w="1194" w:type="pct"/>
                  <w:tcBorders>
                    <w:tl2br w:val="nil"/>
                    <w:tr2bl w:val="nil"/>
                  </w:tcBorders>
                  <w:noWrap w:val="0"/>
                  <w:tcMar>
                    <w:top w:w="12" w:type="dxa"/>
                    <w:left w:w="12" w:type="dxa"/>
                    <w:bottom w:w="0" w:type="dxa"/>
                    <w:right w:w="12" w:type="dxa"/>
                  </w:tcMar>
                  <w:vAlign w:val="center"/>
                </w:tcPr>
                <w:p w14:paraId="72456D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本项目</w:t>
                  </w:r>
                </w:p>
              </w:tc>
              <w:tc>
                <w:tcPr>
                  <w:tcW w:w="393" w:type="pct"/>
                  <w:tcBorders>
                    <w:tl2br w:val="nil"/>
                    <w:tr2bl w:val="nil"/>
                  </w:tcBorders>
                  <w:noWrap w:val="0"/>
                  <w:tcMar>
                    <w:top w:w="12" w:type="dxa"/>
                    <w:left w:w="12" w:type="dxa"/>
                    <w:bottom w:w="0" w:type="dxa"/>
                    <w:right w:w="12" w:type="dxa"/>
                  </w:tcMar>
                  <w:vAlign w:val="center"/>
                </w:tcPr>
                <w:p w14:paraId="66A592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符合性</w:t>
                  </w:r>
                </w:p>
              </w:tc>
            </w:tr>
            <w:tr w14:paraId="4571C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763" w:type="pct"/>
                  <w:vMerge w:val="restart"/>
                  <w:tcBorders>
                    <w:tl2br w:val="nil"/>
                    <w:tr2bl w:val="nil"/>
                  </w:tcBorders>
                  <w:noWrap w:val="0"/>
                  <w:vAlign w:val="center"/>
                </w:tcPr>
                <w:p w14:paraId="05711E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《中华人民共和国大气污染防治法》</w:t>
                  </w:r>
                </w:p>
              </w:tc>
              <w:tc>
                <w:tcPr>
                  <w:tcW w:w="2649" w:type="pct"/>
                  <w:tcBorders>
                    <w:tl2br w:val="nil"/>
                    <w:tr2bl w:val="nil"/>
                  </w:tcBorders>
                  <w:noWrap w:val="0"/>
                  <w:tcMar>
                    <w:top w:w="12" w:type="dxa"/>
                    <w:left w:w="12" w:type="dxa"/>
                    <w:bottom w:w="0" w:type="dxa"/>
                    <w:right w:w="12" w:type="dxa"/>
                  </w:tcMar>
                  <w:vAlign w:val="center"/>
                </w:tcPr>
                <w:p w14:paraId="168FBFC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生产、进口、销售和使用含挥发性有机物的原材料和产品的，其挥发性有机物含量应当符合质量标准或者要求</w:t>
                  </w:r>
                </w:p>
              </w:tc>
              <w:tc>
                <w:tcPr>
                  <w:tcW w:w="1194" w:type="pct"/>
                  <w:tcBorders>
                    <w:tl2br w:val="nil"/>
                    <w:tr2bl w:val="nil"/>
                  </w:tcBorders>
                  <w:noWrap w:val="0"/>
                  <w:tcMar>
                    <w:top w:w="12" w:type="dxa"/>
                    <w:left w:w="12" w:type="dxa"/>
                    <w:bottom w:w="0" w:type="dxa"/>
                    <w:right w:w="12" w:type="dxa"/>
                  </w:tcMar>
                  <w:vAlign w:val="center"/>
                </w:tcPr>
                <w:p w14:paraId="2732276B">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生产使用的原料均符合质量标准或要求</w:t>
                  </w:r>
                </w:p>
              </w:tc>
              <w:tc>
                <w:tcPr>
                  <w:tcW w:w="393" w:type="pct"/>
                  <w:tcBorders>
                    <w:tl2br w:val="nil"/>
                    <w:tr2bl w:val="nil"/>
                  </w:tcBorders>
                  <w:noWrap w:val="0"/>
                  <w:tcMar>
                    <w:top w:w="12" w:type="dxa"/>
                    <w:left w:w="12" w:type="dxa"/>
                    <w:bottom w:w="0" w:type="dxa"/>
                    <w:right w:w="12" w:type="dxa"/>
                  </w:tcMar>
                  <w:vAlign w:val="center"/>
                </w:tcPr>
                <w:p w14:paraId="1167ADD9">
                  <w:pPr>
                    <w:spacing w:line="240" w:lineRule="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50D60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763" w:type="pct"/>
                  <w:vMerge w:val="continue"/>
                  <w:tcBorders>
                    <w:tl2br w:val="nil"/>
                    <w:tr2bl w:val="nil"/>
                  </w:tcBorders>
                  <w:noWrap w:val="0"/>
                  <w:vAlign w:val="center"/>
                </w:tcPr>
                <w:p w14:paraId="7A4B476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0"/>
                      <w:sz w:val="21"/>
                      <w:szCs w:val="21"/>
                      <w:lang w:val="en-US" w:eastAsia="zh-CN"/>
                    </w:rPr>
                  </w:pPr>
                </w:p>
              </w:tc>
              <w:tc>
                <w:tcPr>
                  <w:tcW w:w="2649" w:type="pct"/>
                  <w:tcBorders>
                    <w:tl2br w:val="nil"/>
                    <w:tr2bl w:val="nil"/>
                  </w:tcBorders>
                  <w:noWrap w:val="0"/>
                  <w:tcMar>
                    <w:top w:w="12" w:type="dxa"/>
                    <w:left w:w="12" w:type="dxa"/>
                    <w:bottom w:w="0" w:type="dxa"/>
                    <w:right w:w="12" w:type="dxa"/>
                  </w:tcMar>
                  <w:vAlign w:val="center"/>
                </w:tcPr>
                <w:p w14:paraId="31C6986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产生含挥发性有机物废气的生产和服务活动，应当在密闭空间或者设备中进行，并按照规定安装、使用污染防治设施；无法密闭的，应当采取措施减少废气排放</w:t>
                  </w:r>
                </w:p>
              </w:tc>
              <w:tc>
                <w:tcPr>
                  <w:tcW w:w="1194" w:type="pct"/>
                  <w:tcBorders>
                    <w:tl2br w:val="nil"/>
                    <w:tr2bl w:val="nil"/>
                  </w:tcBorders>
                  <w:noWrap w:val="0"/>
                  <w:tcMar>
                    <w:top w:w="12" w:type="dxa"/>
                    <w:left w:w="12" w:type="dxa"/>
                    <w:bottom w:w="0" w:type="dxa"/>
                    <w:right w:w="12" w:type="dxa"/>
                  </w:tcMar>
                  <w:vAlign w:val="center"/>
                </w:tcPr>
                <w:p w14:paraId="2704E8E3">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项目有机废气</w:t>
                  </w:r>
                  <w:r>
                    <w:rPr>
                      <w:rFonts w:hint="eastAsia" w:cs="Times New Roman"/>
                      <w:color w:val="auto"/>
                      <w:kern w:val="0"/>
                      <w:sz w:val="21"/>
                      <w:szCs w:val="21"/>
                      <w:lang w:val="en-US" w:eastAsia="zh-CN"/>
                    </w:rPr>
                    <w:t>经密闭车间/集气罩+二级活性炭</w:t>
                  </w:r>
                  <w:r>
                    <w:rPr>
                      <w:rFonts w:hint="eastAsia" w:ascii="Times New Roman" w:hAnsi="Times New Roman" w:eastAsia="宋体" w:cs="Times New Roman"/>
                      <w:color w:val="auto"/>
                      <w:kern w:val="0"/>
                      <w:sz w:val="21"/>
                      <w:szCs w:val="21"/>
                      <w:lang w:val="en-US" w:eastAsia="zh-CN"/>
                    </w:rPr>
                    <w:t>吸附处理后通过</w:t>
                  </w:r>
                  <w:r>
                    <w:rPr>
                      <w:rFonts w:hint="eastAsia" w:cs="Times New Roman"/>
                      <w:color w:val="auto"/>
                      <w:kern w:val="0"/>
                      <w:sz w:val="21"/>
                      <w:szCs w:val="21"/>
                      <w:lang w:val="en-US" w:eastAsia="zh-CN"/>
                    </w:rPr>
                    <w:t>15</w:t>
                  </w:r>
                  <w:r>
                    <w:rPr>
                      <w:rFonts w:hint="eastAsia" w:ascii="Times New Roman" w:hAnsi="Times New Roman" w:eastAsia="宋体" w:cs="Times New Roman"/>
                      <w:color w:val="auto"/>
                      <w:kern w:val="0"/>
                      <w:sz w:val="21"/>
                      <w:szCs w:val="21"/>
                      <w:lang w:val="en-US" w:eastAsia="zh-CN"/>
                    </w:rPr>
                    <w:t>m排气筒排放</w:t>
                  </w:r>
                  <w:r>
                    <w:rPr>
                      <w:rFonts w:hint="eastAsia" w:cs="Times New Roman"/>
                      <w:color w:val="auto"/>
                      <w:kern w:val="0"/>
                      <w:sz w:val="21"/>
                      <w:szCs w:val="21"/>
                      <w:lang w:val="en-US" w:eastAsia="zh-CN"/>
                    </w:rPr>
                    <w:t>；破碎粉尘通过集气罩+布袋除尘器</w:t>
                  </w:r>
                  <w:r>
                    <w:rPr>
                      <w:rFonts w:hint="eastAsia" w:ascii="Times New Roman" w:hAnsi="Times New Roman" w:eastAsia="宋体" w:cs="Times New Roman"/>
                      <w:color w:val="auto"/>
                      <w:kern w:val="0"/>
                      <w:sz w:val="21"/>
                      <w:szCs w:val="21"/>
                      <w:lang w:val="en-US" w:eastAsia="zh-CN"/>
                    </w:rPr>
                    <w:t>处理后通过</w:t>
                  </w:r>
                  <w:r>
                    <w:rPr>
                      <w:rFonts w:hint="eastAsia" w:cs="Times New Roman"/>
                      <w:color w:val="auto"/>
                      <w:kern w:val="0"/>
                      <w:sz w:val="21"/>
                      <w:szCs w:val="21"/>
                      <w:lang w:val="en-US" w:eastAsia="zh-CN"/>
                    </w:rPr>
                    <w:t>15</w:t>
                  </w:r>
                  <w:r>
                    <w:rPr>
                      <w:rFonts w:hint="eastAsia" w:ascii="Times New Roman" w:hAnsi="Times New Roman" w:eastAsia="宋体" w:cs="Times New Roman"/>
                      <w:color w:val="auto"/>
                      <w:kern w:val="0"/>
                      <w:sz w:val="21"/>
                      <w:szCs w:val="21"/>
                      <w:lang w:val="en-US" w:eastAsia="zh-CN"/>
                    </w:rPr>
                    <w:t>m排气筒排放</w:t>
                  </w:r>
                  <w:r>
                    <w:rPr>
                      <w:rFonts w:hint="eastAsia" w:cs="Times New Roman"/>
                      <w:color w:val="auto"/>
                      <w:kern w:val="0"/>
                      <w:sz w:val="21"/>
                      <w:szCs w:val="21"/>
                      <w:lang w:val="en-US" w:eastAsia="zh-CN"/>
                    </w:rPr>
                    <w:t>。</w:t>
                  </w:r>
                </w:p>
              </w:tc>
              <w:tc>
                <w:tcPr>
                  <w:tcW w:w="393" w:type="pct"/>
                  <w:tcBorders>
                    <w:tl2br w:val="nil"/>
                    <w:tr2bl w:val="nil"/>
                  </w:tcBorders>
                  <w:noWrap w:val="0"/>
                  <w:tcMar>
                    <w:top w:w="12" w:type="dxa"/>
                    <w:left w:w="12" w:type="dxa"/>
                    <w:bottom w:w="0" w:type="dxa"/>
                    <w:right w:w="12" w:type="dxa"/>
                  </w:tcMar>
                  <w:vAlign w:val="center"/>
                </w:tcPr>
                <w:p w14:paraId="5B52820D">
                  <w:pPr>
                    <w:spacing w:line="240" w:lineRule="auto"/>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6316A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5" w:hRule="atLeast"/>
              </w:trPr>
              <w:tc>
                <w:tcPr>
                  <w:tcW w:w="763" w:type="pct"/>
                  <w:tcBorders>
                    <w:tl2br w:val="nil"/>
                    <w:tr2bl w:val="nil"/>
                  </w:tcBorders>
                  <w:noWrap w:val="0"/>
                  <w:tcMar>
                    <w:top w:w="12" w:type="dxa"/>
                    <w:left w:w="12" w:type="dxa"/>
                    <w:bottom w:w="0" w:type="dxa"/>
                    <w:right w:w="12" w:type="dxa"/>
                  </w:tcMar>
                  <w:vAlign w:val="center"/>
                </w:tcPr>
                <w:p w14:paraId="69E71012">
                  <w:pPr>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highlight w:val="none"/>
                      <w:lang w:val="en"/>
                    </w:rPr>
                    <w:t>《四川省打赢蓝天保卫战实施方案》川府发〔2019〕4号</w:t>
                  </w:r>
                </w:p>
              </w:tc>
              <w:tc>
                <w:tcPr>
                  <w:tcW w:w="2649" w:type="pct"/>
                  <w:tcBorders>
                    <w:tl2br w:val="nil"/>
                    <w:tr2bl w:val="nil"/>
                  </w:tcBorders>
                  <w:noWrap w:val="0"/>
                  <w:tcMar>
                    <w:top w:w="12" w:type="dxa"/>
                    <w:left w:w="12" w:type="dxa"/>
                    <w:bottom w:w="0" w:type="dxa"/>
                    <w:right w:w="12" w:type="dxa"/>
                  </w:tcMar>
                  <w:vAlign w:val="top"/>
                </w:tcPr>
                <w:p w14:paraId="39E69CF2">
                  <w:pPr>
                    <w:keepNext w:val="0"/>
                    <w:keepLines w:val="0"/>
                    <w:pageBreakBefore w:val="0"/>
                    <w:widowControl w:val="0"/>
                    <w:kinsoku/>
                    <w:wordWrap/>
                    <w:overflowPunct/>
                    <w:topLinePunct w:val="0"/>
                    <w:bidi w:val="0"/>
                    <w:spacing w:line="240" w:lineRule="auto"/>
                    <w:ind w:firstLine="210" w:firstLineChars="100"/>
                    <w:textAlignment w:val="auto"/>
                    <w:rPr>
                      <w:rFonts w:hint="default" w:ascii="Times New Roman" w:hAnsi="Times New Roman" w:cs="Times New Roman"/>
                      <w:color w:val="auto"/>
                      <w:kern w:val="0"/>
                      <w:sz w:val="21"/>
                      <w:szCs w:val="21"/>
                      <w:highlight w:val="none"/>
                      <w:lang w:val="en"/>
                    </w:rPr>
                  </w:pPr>
                  <w:r>
                    <w:rPr>
                      <w:rFonts w:hint="default" w:ascii="Times New Roman" w:hAnsi="Times New Roman" w:cs="Times New Roman"/>
                      <w:color w:val="auto"/>
                      <w:kern w:val="0"/>
                      <w:sz w:val="21"/>
                      <w:szCs w:val="21"/>
                      <w:highlight w:val="none"/>
                      <w:lang w:val="en"/>
                    </w:rPr>
                    <w:t>三、重点任务</w:t>
                  </w:r>
                </w:p>
                <w:p w14:paraId="7C3B0603">
                  <w:pPr>
                    <w:keepNext w:val="0"/>
                    <w:keepLines w:val="0"/>
                    <w:pageBreakBefore w:val="0"/>
                    <w:widowControl w:val="0"/>
                    <w:kinsoku/>
                    <w:wordWrap/>
                    <w:overflowPunct/>
                    <w:topLinePunct w:val="0"/>
                    <w:bidi w:val="0"/>
                    <w:spacing w:line="240" w:lineRule="auto"/>
                    <w:ind w:firstLine="210" w:firstLineChars="100"/>
                    <w:textAlignment w:val="auto"/>
                    <w:rPr>
                      <w:rFonts w:hint="default" w:ascii="Times New Roman" w:hAnsi="Times New Roman" w:cs="Times New Roman"/>
                      <w:color w:val="auto"/>
                      <w:kern w:val="0"/>
                      <w:sz w:val="21"/>
                      <w:szCs w:val="21"/>
                      <w:highlight w:val="none"/>
                      <w:lang w:val="en"/>
                    </w:rPr>
                  </w:pPr>
                  <w:r>
                    <w:rPr>
                      <w:rFonts w:hint="default" w:ascii="Times New Roman" w:hAnsi="Times New Roman" w:cs="Times New Roman"/>
                      <w:color w:val="auto"/>
                      <w:kern w:val="0"/>
                      <w:sz w:val="21"/>
                      <w:szCs w:val="21"/>
                      <w:highlight w:val="none"/>
                      <w:lang w:val="en"/>
                    </w:rPr>
                    <w:t>（一）调整产业结构，深化工业污染治理。</w:t>
                  </w:r>
                </w:p>
                <w:p w14:paraId="77300DE8">
                  <w:pPr>
                    <w:keepNext w:val="0"/>
                    <w:keepLines w:val="0"/>
                    <w:pageBreakBefore w:val="0"/>
                    <w:widowControl w:val="0"/>
                    <w:kinsoku/>
                    <w:wordWrap/>
                    <w:overflowPunct/>
                    <w:topLinePunct w:val="0"/>
                    <w:bidi w:val="0"/>
                    <w:spacing w:line="240" w:lineRule="auto"/>
                    <w:ind w:firstLine="210" w:firstLineChars="100"/>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highlight w:val="none"/>
                      <w:lang w:val="en"/>
                    </w:rPr>
                    <w:t>…强化挥发性有机物综合治理。严格涉及VOCs排放的建设项目环境准入，加强源头控制。提高涉及VOCs排放行业环保准入门槛，新建涉及VOCs排放的工业企业入驻园区。</w:t>
                  </w:r>
                </w:p>
              </w:tc>
              <w:tc>
                <w:tcPr>
                  <w:tcW w:w="1194" w:type="pct"/>
                  <w:tcBorders>
                    <w:tl2br w:val="nil"/>
                    <w:tr2bl w:val="nil"/>
                  </w:tcBorders>
                  <w:noWrap w:val="0"/>
                  <w:tcMar>
                    <w:top w:w="12" w:type="dxa"/>
                    <w:left w:w="12" w:type="dxa"/>
                    <w:bottom w:w="0" w:type="dxa"/>
                    <w:right w:w="12" w:type="dxa"/>
                  </w:tcMar>
                  <w:vAlign w:val="center"/>
                </w:tcPr>
                <w:p w14:paraId="7A1D6B31">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highlight w:val="none"/>
                      <w:lang w:val="en"/>
                    </w:rPr>
                    <w:t>本项目生产过程中涉及</w:t>
                  </w:r>
                  <w:r>
                    <w:rPr>
                      <w:rFonts w:hint="default" w:ascii="Times New Roman" w:hAnsi="Times New Roman" w:cs="Times New Roman"/>
                      <w:color w:val="auto"/>
                      <w:kern w:val="0"/>
                      <w:sz w:val="21"/>
                      <w:szCs w:val="21"/>
                      <w:highlight w:val="none"/>
                    </w:rPr>
                    <w:t>VOCs排放，项目位于</w:t>
                  </w:r>
                  <w:r>
                    <w:rPr>
                      <w:rFonts w:hint="default" w:ascii="Times New Roman" w:hAnsi="Times New Roman" w:cs="Times New Roman"/>
                      <w:sz w:val="21"/>
                      <w:szCs w:val="21"/>
                    </w:rPr>
                    <w:t>蓬溪县上游工业园产业聚集区</w:t>
                  </w:r>
                  <w:r>
                    <w:rPr>
                      <w:rFonts w:hint="default" w:ascii="Times New Roman" w:hAnsi="Times New Roman" w:cs="Times New Roman"/>
                      <w:sz w:val="21"/>
                      <w:szCs w:val="21"/>
                      <w:lang w:val="en-US" w:eastAsia="zh-CN"/>
                    </w:rPr>
                    <w:t>内</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
                    </w:rPr>
                    <w:t>属于入园项目，</w:t>
                  </w:r>
                  <w:r>
                    <w:rPr>
                      <w:rFonts w:hint="default" w:ascii="Times New Roman" w:hAnsi="Times New Roman" w:cs="Times New Roman"/>
                      <w:color w:val="auto"/>
                      <w:kern w:val="0"/>
                      <w:sz w:val="21"/>
                      <w:szCs w:val="21"/>
                      <w:highlight w:val="none"/>
                    </w:rPr>
                    <w:t>符合政策要求</w:t>
                  </w:r>
                  <w:r>
                    <w:rPr>
                      <w:rFonts w:hint="default" w:ascii="Times New Roman" w:hAnsi="Times New Roman" w:cs="Times New Roman"/>
                      <w:color w:val="auto"/>
                      <w:kern w:val="0"/>
                      <w:sz w:val="21"/>
                      <w:szCs w:val="21"/>
                      <w:highlight w:val="none"/>
                      <w:lang w:val="en"/>
                    </w:rPr>
                    <w:t>。</w:t>
                  </w:r>
                </w:p>
              </w:tc>
              <w:tc>
                <w:tcPr>
                  <w:tcW w:w="393" w:type="pct"/>
                  <w:tcBorders>
                    <w:tl2br w:val="nil"/>
                    <w:tr2bl w:val="nil"/>
                  </w:tcBorders>
                  <w:noWrap w:val="0"/>
                  <w:tcMar>
                    <w:top w:w="12" w:type="dxa"/>
                    <w:left w:w="12" w:type="dxa"/>
                    <w:bottom w:w="0" w:type="dxa"/>
                    <w:right w:w="12" w:type="dxa"/>
                  </w:tcMar>
                  <w:vAlign w:val="center"/>
                </w:tcPr>
                <w:p w14:paraId="5838C7AE">
                  <w:pPr>
                    <w:spacing w:line="240" w:lineRule="auto"/>
                    <w:jc w:val="center"/>
                    <w:rPr>
                      <w:rFonts w:hint="eastAsia"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
                    </w:rPr>
                    <w:t>符合</w:t>
                  </w:r>
                </w:p>
              </w:tc>
            </w:tr>
            <w:tr w14:paraId="4785A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0" w:hRule="atLeast"/>
              </w:trPr>
              <w:tc>
                <w:tcPr>
                  <w:tcW w:w="763" w:type="pct"/>
                  <w:tcBorders>
                    <w:tl2br w:val="nil"/>
                    <w:tr2bl w:val="nil"/>
                  </w:tcBorders>
                  <w:noWrap w:val="0"/>
                  <w:tcMar>
                    <w:top w:w="12" w:type="dxa"/>
                    <w:left w:w="12" w:type="dxa"/>
                    <w:bottom w:w="0" w:type="dxa"/>
                    <w:right w:w="12" w:type="dxa"/>
                  </w:tcMar>
                  <w:vAlign w:val="center"/>
                </w:tcPr>
                <w:p w14:paraId="266C27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《重点行业挥发性有机物综合治理方案的通知》（环大气[2019]53号）</w:t>
                  </w:r>
                </w:p>
              </w:tc>
              <w:tc>
                <w:tcPr>
                  <w:tcW w:w="2649" w:type="pct"/>
                  <w:tcBorders>
                    <w:tl2br w:val="nil"/>
                    <w:tr2bl w:val="nil"/>
                  </w:tcBorders>
                  <w:noWrap w:val="0"/>
                  <w:tcMar>
                    <w:top w:w="12" w:type="dxa"/>
                    <w:left w:w="12" w:type="dxa"/>
                    <w:bottom w:w="0" w:type="dxa"/>
                    <w:right w:w="12" w:type="dxa"/>
                  </w:tcMar>
                  <w:vAlign w:val="center"/>
                </w:tcPr>
                <w:p w14:paraId="72D0CAE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w:t>
                  </w:r>
                </w:p>
              </w:tc>
              <w:tc>
                <w:tcPr>
                  <w:tcW w:w="1194" w:type="pct"/>
                  <w:tcBorders>
                    <w:tl2br w:val="nil"/>
                    <w:tr2bl w:val="nil"/>
                  </w:tcBorders>
                  <w:noWrap w:val="0"/>
                  <w:tcMar>
                    <w:top w:w="12" w:type="dxa"/>
                    <w:left w:w="12" w:type="dxa"/>
                    <w:bottom w:w="0" w:type="dxa"/>
                    <w:right w:w="12" w:type="dxa"/>
                  </w:tcMar>
                  <w:vAlign w:val="center"/>
                </w:tcPr>
                <w:p w14:paraId="3A75448C">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项目有机废气</w:t>
                  </w:r>
                  <w:r>
                    <w:rPr>
                      <w:rFonts w:hint="eastAsia" w:cs="Times New Roman"/>
                      <w:color w:val="auto"/>
                      <w:kern w:val="0"/>
                      <w:sz w:val="21"/>
                      <w:szCs w:val="21"/>
                      <w:lang w:val="en-US" w:eastAsia="zh-CN"/>
                    </w:rPr>
                    <w:t>设置了密闭车间/集气罩+二级活性炭</w:t>
                  </w:r>
                  <w:r>
                    <w:rPr>
                      <w:rFonts w:hint="eastAsia" w:ascii="Times New Roman" w:hAnsi="Times New Roman" w:eastAsia="宋体" w:cs="Times New Roman"/>
                      <w:color w:val="auto"/>
                      <w:kern w:val="0"/>
                      <w:sz w:val="21"/>
                      <w:szCs w:val="21"/>
                      <w:lang w:val="en-US" w:eastAsia="zh-CN"/>
                    </w:rPr>
                    <w:t>吸附</w:t>
                  </w:r>
                  <w:r>
                    <w:rPr>
                      <w:rFonts w:hint="eastAsia" w:cs="Times New Roman"/>
                      <w:color w:val="auto"/>
                      <w:kern w:val="0"/>
                      <w:sz w:val="21"/>
                      <w:szCs w:val="21"/>
                      <w:lang w:val="en-US" w:eastAsia="zh-CN"/>
                    </w:rPr>
                    <w:t>装置；破碎粉尘设置了集气罩+布袋除尘器装置。</w:t>
                  </w:r>
                  <w:r>
                    <w:rPr>
                      <w:rFonts w:hint="eastAsia" w:ascii="Times New Roman" w:hAnsi="Times New Roman" w:eastAsia="宋体" w:cs="Times New Roman"/>
                      <w:color w:val="auto"/>
                      <w:kern w:val="0"/>
                      <w:sz w:val="21"/>
                      <w:szCs w:val="21"/>
                      <w:lang w:val="en-US" w:eastAsia="zh-CN"/>
                    </w:rPr>
                    <w:t>做到了废气应收尽收的原则，项目废气收集满足政策要求。</w:t>
                  </w:r>
                </w:p>
              </w:tc>
              <w:tc>
                <w:tcPr>
                  <w:tcW w:w="393" w:type="pct"/>
                  <w:tcBorders>
                    <w:tl2br w:val="nil"/>
                    <w:tr2bl w:val="nil"/>
                  </w:tcBorders>
                  <w:noWrap w:val="0"/>
                  <w:tcMar>
                    <w:top w:w="12" w:type="dxa"/>
                    <w:left w:w="12" w:type="dxa"/>
                    <w:bottom w:w="0" w:type="dxa"/>
                    <w:right w:w="12" w:type="dxa"/>
                  </w:tcMar>
                  <w:vAlign w:val="center"/>
                </w:tcPr>
                <w:p w14:paraId="02E762E1">
                  <w:pPr>
                    <w:spacing w:line="240" w:lineRule="auto"/>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07020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0" w:hRule="atLeast"/>
              </w:trPr>
              <w:tc>
                <w:tcPr>
                  <w:tcW w:w="763" w:type="pct"/>
                  <w:vMerge w:val="restart"/>
                  <w:tcBorders>
                    <w:tl2br w:val="nil"/>
                    <w:tr2bl w:val="nil"/>
                  </w:tcBorders>
                  <w:noWrap w:val="0"/>
                  <w:tcMar>
                    <w:top w:w="12" w:type="dxa"/>
                    <w:left w:w="12" w:type="dxa"/>
                    <w:bottom w:w="0" w:type="dxa"/>
                    <w:right w:w="12" w:type="dxa"/>
                  </w:tcMar>
                  <w:vAlign w:val="center"/>
                </w:tcPr>
                <w:p w14:paraId="5B9CDB0F">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kern w:val="0"/>
                      <w:sz w:val="21"/>
                      <w:szCs w:val="21"/>
                      <w:lang w:bidi="ar"/>
                    </w:rPr>
                    <w:t>《四川省挥发性有机物污染防治实施方案》（川环发〔2018〕44号）</w:t>
                  </w:r>
                </w:p>
              </w:tc>
              <w:tc>
                <w:tcPr>
                  <w:tcW w:w="2649" w:type="pct"/>
                  <w:tcBorders>
                    <w:tl2br w:val="nil"/>
                    <w:tr2bl w:val="nil"/>
                  </w:tcBorders>
                  <w:noWrap w:val="0"/>
                  <w:tcMar>
                    <w:top w:w="12" w:type="dxa"/>
                    <w:left w:w="12" w:type="dxa"/>
                    <w:bottom w:w="0" w:type="dxa"/>
                    <w:right w:w="12" w:type="dxa"/>
                  </w:tcMar>
                  <w:vAlign w:val="center"/>
                </w:tcPr>
                <w:p w14:paraId="1DB664A8">
                  <w:pPr>
                    <w:widowControl/>
                    <w:adjustRightInd w:val="0"/>
                    <w:snapToGrid w:val="0"/>
                    <w:spacing w:line="240" w:lineRule="auto"/>
                    <w:jc w:val="both"/>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kern w:val="0"/>
                      <w:sz w:val="21"/>
                      <w:szCs w:val="21"/>
                      <w:lang w:bidi="ar"/>
                    </w:rPr>
                    <w:t>严格建设项目准入中要求“新建涉VOCs排放的工业企业要入园区；“加大工业涂装VOCs治理力度”中提出“通过采用低挥发性涂料替代、提高涂着效率、深化末端治理等综合措施，全面推进汽车、木质家具、船舶、工程机械、钢结构、卷材等工业涂装挥发性有机物减排控制。”</w:t>
                  </w:r>
                </w:p>
              </w:tc>
              <w:tc>
                <w:tcPr>
                  <w:tcW w:w="1194" w:type="pct"/>
                  <w:tcBorders>
                    <w:tl2br w:val="nil"/>
                    <w:tr2bl w:val="nil"/>
                  </w:tcBorders>
                  <w:noWrap w:val="0"/>
                  <w:tcMar>
                    <w:top w:w="12" w:type="dxa"/>
                    <w:left w:w="12" w:type="dxa"/>
                    <w:bottom w:w="0" w:type="dxa"/>
                    <w:right w:w="12" w:type="dxa"/>
                  </w:tcMar>
                  <w:vAlign w:val="center"/>
                </w:tcPr>
                <w:p w14:paraId="77664031">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bidi="ar"/>
                    </w:rPr>
                    <w:t>本项目位于蓬溪县上游工业园区内，</w:t>
                  </w:r>
                  <w:r>
                    <w:rPr>
                      <w:rFonts w:hint="eastAsia" w:ascii="Times New Roman" w:hAnsi="Times New Roman" w:cs="Times New Roman"/>
                      <w:color w:val="auto"/>
                      <w:kern w:val="0"/>
                      <w:sz w:val="21"/>
                      <w:szCs w:val="21"/>
                      <w:lang w:val="en-US" w:eastAsia="zh-CN" w:bidi="ar"/>
                    </w:rPr>
                    <w:t>项目使用水性面漆、色漆、</w:t>
                  </w:r>
                  <w:r>
                    <w:rPr>
                      <w:rFonts w:hint="eastAsia" w:cs="Times New Roman"/>
                      <w:color w:val="auto"/>
                      <w:kern w:val="0"/>
                      <w:sz w:val="21"/>
                      <w:szCs w:val="21"/>
                      <w:lang w:val="en-US" w:eastAsia="zh-CN" w:bidi="ar"/>
                    </w:rPr>
                    <w:t>清</w:t>
                  </w:r>
                  <w:r>
                    <w:rPr>
                      <w:rFonts w:hint="eastAsia" w:ascii="Times New Roman" w:hAnsi="Times New Roman" w:cs="Times New Roman"/>
                      <w:color w:val="auto"/>
                      <w:kern w:val="0"/>
                      <w:sz w:val="21"/>
                      <w:szCs w:val="21"/>
                      <w:lang w:val="en-US" w:eastAsia="zh-CN" w:bidi="ar"/>
                    </w:rPr>
                    <w:t>漆等均为低挥发性涂料</w:t>
                  </w:r>
                  <w:r>
                    <w:rPr>
                      <w:rFonts w:hint="default" w:ascii="Times New Roman" w:hAnsi="Times New Roman" w:cs="Times New Roman"/>
                      <w:color w:val="auto"/>
                      <w:kern w:val="0"/>
                      <w:sz w:val="21"/>
                      <w:szCs w:val="21"/>
                      <w:lang w:bidi="ar"/>
                    </w:rPr>
                    <w:t>。</w:t>
                  </w:r>
                </w:p>
              </w:tc>
              <w:tc>
                <w:tcPr>
                  <w:tcW w:w="393" w:type="pct"/>
                  <w:tcBorders>
                    <w:tl2br w:val="nil"/>
                    <w:tr2bl w:val="nil"/>
                  </w:tcBorders>
                  <w:noWrap w:val="0"/>
                  <w:tcMar>
                    <w:top w:w="12" w:type="dxa"/>
                    <w:left w:w="12" w:type="dxa"/>
                    <w:bottom w:w="0" w:type="dxa"/>
                    <w:right w:w="12" w:type="dxa"/>
                  </w:tcMar>
                  <w:vAlign w:val="center"/>
                </w:tcPr>
                <w:p w14:paraId="0C4F6DAC">
                  <w:pPr>
                    <w:widowControl/>
                    <w:adjustRightInd w:val="0"/>
                    <w:snapToGrid w:val="0"/>
                    <w:spacing w:line="240" w:lineRule="auto"/>
                    <w:jc w:val="center"/>
                    <w:rPr>
                      <w:rFonts w:hint="eastAsia" w:ascii="Times New Roman" w:hAnsi="Times New Roman" w:cs="Times New Roman"/>
                      <w:color w:val="auto"/>
                      <w:kern w:val="0"/>
                      <w:sz w:val="21"/>
                      <w:szCs w:val="21"/>
                      <w:highlight w:val="none"/>
                      <w:lang w:val="en-US" w:eastAsia="zh-CN"/>
                    </w:rPr>
                  </w:pPr>
                  <w:r>
                    <w:rPr>
                      <w:rFonts w:hint="default" w:ascii="Times New Roman" w:hAnsi="Times New Roman" w:cs="Times New Roman"/>
                      <w:bCs/>
                      <w:kern w:val="0"/>
                      <w:sz w:val="21"/>
                      <w:szCs w:val="21"/>
                      <w:lang w:val="zh-CN"/>
                    </w:rPr>
                    <w:t>符合</w:t>
                  </w:r>
                </w:p>
              </w:tc>
            </w:tr>
            <w:tr w14:paraId="11AE1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0" w:hRule="atLeast"/>
              </w:trPr>
              <w:tc>
                <w:tcPr>
                  <w:tcW w:w="763" w:type="pct"/>
                  <w:vMerge w:val="continue"/>
                  <w:tcBorders>
                    <w:tl2br w:val="nil"/>
                    <w:tr2bl w:val="nil"/>
                  </w:tcBorders>
                  <w:noWrap w:val="0"/>
                  <w:tcMar>
                    <w:top w:w="12" w:type="dxa"/>
                    <w:left w:w="12" w:type="dxa"/>
                    <w:bottom w:w="0" w:type="dxa"/>
                    <w:right w:w="12" w:type="dxa"/>
                  </w:tcMar>
                  <w:vAlign w:val="center"/>
                </w:tcPr>
                <w:p w14:paraId="191BF811">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p>
              </w:tc>
              <w:tc>
                <w:tcPr>
                  <w:tcW w:w="2649" w:type="pct"/>
                  <w:tcBorders>
                    <w:tl2br w:val="nil"/>
                    <w:tr2bl w:val="nil"/>
                  </w:tcBorders>
                  <w:noWrap w:val="0"/>
                  <w:tcMar>
                    <w:top w:w="12" w:type="dxa"/>
                    <w:left w:w="12" w:type="dxa"/>
                    <w:bottom w:w="0" w:type="dxa"/>
                    <w:right w:w="12" w:type="dxa"/>
                  </w:tcMar>
                  <w:vAlign w:val="center"/>
                </w:tcPr>
                <w:p w14:paraId="561D60D5">
                  <w:pPr>
                    <w:spacing w:beforeLines="0" w:afterLines="0"/>
                    <w:jc w:val="left"/>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rPr>
                    <w:t>1</w:t>
                  </w:r>
                  <w:r>
                    <w:rPr>
                      <w:rFonts w:hint="default" w:ascii="Times New Roman" w:hAnsi="Times New Roman" w:eastAsia="宋体" w:cs="Times New Roman"/>
                      <w:sz w:val="21"/>
                      <w:szCs w:val="21"/>
                    </w:rPr>
                    <w:t>）汽车制造行业</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有机废气收集率</w:t>
                  </w:r>
                  <w:r>
                    <w:rPr>
                      <w:rFonts w:hint="eastAsia" w:cs="Times New Roman"/>
                      <w:sz w:val="21"/>
                      <w:szCs w:val="21"/>
                      <w:lang w:eastAsia="zh-CN"/>
                    </w:rPr>
                    <w:t>，</w:t>
                  </w:r>
                  <w:r>
                    <w:rPr>
                      <w:rFonts w:hint="default" w:ascii="Times New Roman" w:hAnsi="Times New Roman" w:eastAsia="宋体" w:cs="Times New Roman"/>
                      <w:sz w:val="21"/>
                      <w:szCs w:val="21"/>
                    </w:rPr>
                    <w:t>其他汽车制造企业不低于80%</w:t>
                  </w:r>
                  <w:r>
                    <w:rPr>
                      <w:rFonts w:hint="default" w:ascii="Times New Roman" w:hAnsi="Times New Roman" w:eastAsia="宋体" w:cs="Times New Roman"/>
                      <w:kern w:val="0"/>
                      <w:sz w:val="21"/>
                      <w:szCs w:val="21"/>
                      <w:lang w:bidi="ar"/>
                    </w:rPr>
                    <w:t>；</w:t>
                  </w:r>
                  <w:r>
                    <w:rPr>
                      <w:rFonts w:hint="default" w:ascii="Times New Roman" w:hAnsi="Times New Roman" w:eastAsia="宋体" w:cs="Times New Roman"/>
                      <w:sz w:val="21"/>
                      <w:szCs w:val="21"/>
                    </w:rPr>
                    <w:t>对喷漆、流平、烘干等环节产生的废气，采取吸附燃烧等末端治理措施。</w:t>
                  </w:r>
                  <w:r>
                    <w:rPr>
                      <w:rFonts w:hint="default" w:ascii="Times New Roman" w:hAnsi="Times New Roman" w:eastAsia="宋体" w:cs="Times New Roman"/>
                      <w:kern w:val="0"/>
                      <w:sz w:val="21"/>
                      <w:szCs w:val="21"/>
                      <w:lang w:bidi="ar"/>
                    </w:rPr>
                    <w:t>到2020年，</w:t>
                  </w:r>
                  <w:r>
                    <w:rPr>
                      <w:rFonts w:hint="default" w:ascii="Times New Roman" w:hAnsi="Times New Roman" w:eastAsia="宋体" w:cs="Times New Roman"/>
                      <w:kern w:val="0"/>
                      <w:sz w:val="21"/>
                      <w:szCs w:val="21"/>
                      <w:lang w:val="en-US" w:eastAsia="zh-CN" w:bidi="ar"/>
                    </w:rPr>
                    <w:t>其他汽车制造</w:t>
                  </w:r>
                  <w:r>
                    <w:rPr>
                      <w:rFonts w:hint="default" w:ascii="Times New Roman" w:hAnsi="Times New Roman" w:eastAsia="宋体" w:cs="Times New Roman"/>
                      <w:kern w:val="0"/>
                      <w:sz w:val="21"/>
                      <w:szCs w:val="21"/>
                      <w:lang w:bidi="ar"/>
                    </w:rPr>
                    <w:t>企业综合去除率达50%以上。</w:t>
                  </w:r>
                </w:p>
              </w:tc>
              <w:tc>
                <w:tcPr>
                  <w:tcW w:w="1194" w:type="pct"/>
                  <w:tcBorders>
                    <w:tl2br w:val="nil"/>
                    <w:tr2bl w:val="nil"/>
                  </w:tcBorders>
                  <w:noWrap w:val="0"/>
                  <w:tcMar>
                    <w:top w:w="12" w:type="dxa"/>
                    <w:left w:w="12" w:type="dxa"/>
                    <w:bottom w:w="0" w:type="dxa"/>
                    <w:right w:w="12" w:type="dxa"/>
                  </w:tcMar>
                  <w:vAlign w:val="center"/>
                </w:tcPr>
                <w:p w14:paraId="0650A0B7">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bidi="ar"/>
                    </w:rPr>
                    <w:t>本项目产生的VOCs采用“</w:t>
                  </w:r>
                  <w:r>
                    <w:rPr>
                      <w:rFonts w:hint="eastAsia" w:ascii="Times New Roman" w:hAnsi="Times New Roman" w:cs="Times New Roman"/>
                      <w:color w:val="auto"/>
                      <w:kern w:val="0"/>
                      <w:sz w:val="21"/>
                      <w:szCs w:val="21"/>
                      <w:lang w:val="en-US" w:eastAsia="zh-CN" w:bidi="ar"/>
                    </w:rPr>
                    <w:t>集气罩</w:t>
                  </w:r>
                  <w:r>
                    <w:rPr>
                      <w:rFonts w:hint="eastAsia" w:cs="Times New Roman"/>
                      <w:color w:val="auto"/>
                      <w:kern w:val="0"/>
                      <w:sz w:val="21"/>
                      <w:szCs w:val="21"/>
                      <w:lang w:val="en-US" w:eastAsia="zh-CN" w:bidi="ar"/>
                    </w:rPr>
                    <w:t>/密闭房间</w:t>
                  </w:r>
                  <w:r>
                    <w:rPr>
                      <w:rFonts w:hint="eastAsia" w:ascii="Times New Roman" w:hAnsi="Times New Roman" w:cs="Times New Roman"/>
                      <w:color w:val="auto"/>
                      <w:kern w:val="0"/>
                      <w:sz w:val="21"/>
                      <w:szCs w:val="21"/>
                      <w:lang w:val="en-US" w:eastAsia="zh-CN" w:bidi="ar"/>
                    </w:rPr>
                    <w:t>+</w:t>
                  </w:r>
                  <w:r>
                    <w:rPr>
                      <w:rFonts w:hint="default" w:ascii="Times New Roman" w:hAnsi="Times New Roman" w:cs="Times New Roman"/>
                      <w:color w:val="auto"/>
                      <w:kern w:val="0"/>
                      <w:sz w:val="21"/>
                      <w:szCs w:val="21"/>
                      <w:lang w:bidi="ar"/>
                    </w:rPr>
                    <w:t>二级活性炭吸附”处理后通过</w:t>
                  </w:r>
                  <w:r>
                    <w:rPr>
                      <w:rFonts w:hint="eastAsia" w:cs="Times New Roman"/>
                      <w:color w:val="auto"/>
                      <w:kern w:val="0"/>
                      <w:sz w:val="21"/>
                      <w:szCs w:val="21"/>
                      <w:lang w:val="en-US" w:eastAsia="zh-CN" w:bidi="ar"/>
                    </w:rPr>
                    <w:t>15</w:t>
                  </w:r>
                  <w:r>
                    <w:rPr>
                      <w:rFonts w:hint="eastAsia" w:ascii="Times New Roman" w:hAnsi="Times New Roman" w:cs="Times New Roman"/>
                      <w:color w:val="auto"/>
                      <w:kern w:val="0"/>
                      <w:sz w:val="21"/>
                      <w:szCs w:val="21"/>
                      <w:lang w:eastAsia="zh-CN" w:bidi="ar"/>
                    </w:rPr>
                    <w:t>m排气筒</w:t>
                  </w:r>
                  <w:r>
                    <w:rPr>
                      <w:rFonts w:hint="default" w:ascii="Times New Roman" w:hAnsi="Times New Roman" w:cs="Times New Roman"/>
                      <w:color w:val="auto"/>
                      <w:kern w:val="0"/>
                      <w:sz w:val="21"/>
                      <w:szCs w:val="21"/>
                      <w:highlight w:val="none"/>
                      <w:lang w:bidi="ar"/>
                    </w:rPr>
                    <w:t>排放，</w:t>
                  </w:r>
                  <w:r>
                    <w:rPr>
                      <w:rFonts w:hint="eastAsia" w:cs="Times New Roman"/>
                      <w:color w:val="auto"/>
                      <w:kern w:val="0"/>
                      <w:sz w:val="21"/>
                      <w:szCs w:val="21"/>
                      <w:highlight w:val="none"/>
                      <w:lang w:val="en-US" w:eastAsia="zh-CN" w:bidi="ar"/>
                    </w:rPr>
                    <w:t>注塑车间</w:t>
                  </w:r>
                  <w:r>
                    <w:rPr>
                      <w:rFonts w:hint="default" w:ascii="Times New Roman" w:hAnsi="Times New Roman" w:cs="Times New Roman"/>
                      <w:color w:val="auto"/>
                      <w:kern w:val="0"/>
                      <w:sz w:val="21"/>
                      <w:szCs w:val="21"/>
                      <w:highlight w:val="none"/>
                      <w:lang w:bidi="ar"/>
                    </w:rPr>
                    <w:t>收集效率</w:t>
                  </w:r>
                  <w:r>
                    <w:rPr>
                      <w:rFonts w:hint="eastAsia" w:cs="Times New Roman"/>
                      <w:color w:val="auto"/>
                      <w:kern w:val="0"/>
                      <w:sz w:val="21"/>
                      <w:szCs w:val="21"/>
                      <w:highlight w:val="none"/>
                      <w:lang w:val="en-US" w:eastAsia="zh-CN" w:bidi="ar"/>
                    </w:rPr>
                    <w:t>为90%，喷涂车间</w:t>
                  </w:r>
                  <w:r>
                    <w:rPr>
                      <w:rFonts w:hint="default" w:ascii="Times New Roman" w:hAnsi="Times New Roman" w:cs="Times New Roman"/>
                      <w:color w:val="auto"/>
                      <w:kern w:val="0"/>
                      <w:sz w:val="21"/>
                      <w:szCs w:val="21"/>
                      <w:highlight w:val="none"/>
                      <w:lang w:bidi="ar"/>
                    </w:rPr>
                    <w:t>收集效率</w:t>
                  </w:r>
                  <w:r>
                    <w:rPr>
                      <w:rFonts w:hint="eastAsia" w:cs="Times New Roman"/>
                      <w:color w:val="auto"/>
                      <w:kern w:val="0"/>
                      <w:sz w:val="21"/>
                      <w:szCs w:val="21"/>
                      <w:highlight w:val="none"/>
                      <w:lang w:val="en-US" w:eastAsia="zh-CN" w:bidi="ar"/>
                    </w:rPr>
                    <w:t>为95%，</w:t>
                  </w:r>
                  <w:r>
                    <w:rPr>
                      <w:rFonts w:hint="default" w:ascii="Times New Roman" w:hAnsi="Times New Roman" w:cs="Times New Roman"/>
                      <w:color w:val="auto"/>
                      <w:kern w:val="0"/>
                      <w:sz w:val="21"/>
                      <w:szCs w:val="21"/>
                      <w:highlight w:val="none"/>
                      <w:lang w:bidi="ar"/>
                    </w:rPr>
                    <w:t>处理效率</w:t>
                  </w:r>
                  <w:r>
                    <w:rPr>
                      <w:rFonts w:hint="eastAsia" w:cs="Times New Roman"/>
                      <w:color w:val="auto"/>
                      <w:kern w:val="0"/>
                      <w:sz w:val="21"/>
                      <w:szCs w:val="21"/>
                      <w:highlight w:val="none"/>
                      <w:lang w:val="en-US" w:eastAsia="zh-CN" w:bidi="ar"/>
                    </w:rPr>
                    <w:t>都</w:t>
                  </w:r>
                  <w:r>
                    <w:rPr>
                      <w:rFonts w:hint="default" w:ascii="Times New Roman" w:hAnsi="Times New Roman" w:cs="Times New Roman"/>
                      <w:color w:val="auto"/>
                      <w:kern w:val="0"/>
                      <w:sz w:val="21"/>
                      <w:szCs w:val="21"/>
                      <w:highlight w:val="none"/>
                      <w:lang w:bidi="ar"/>
                    </w:rPr>
                    <w:t>为9</w:t>
                  </w:r>
                  <w:r>
                    <w:rPr>
                      <w:rFonts w:hint="eastAsia" w:ascii="Times New Roman" w:hAnsi="Times New Roman" w:cs="Times New Roman"/>
                      <w:color w:val="auto"/>
                      <w:kern w:val="0"/>
                      <w:sz w:val="21"/>
                      <w:szCs w:val="21"/>
                      <w:highlight w:val="none"/>
                      <w:lang w:val="en-US" w:eastAsia="zh-CN" w:bidi="ar"/>
                    </w:rPr>
                    <w:t>0</w:t>
                  </w:r>
                  <w:r>
                    <w:rPr>
                      <w:rFonts w:hint="default" w:ascii="Times New Roman" w:hAnsi="Times New Roman" w:cs="Times New Roman"/>
                      <w:color w:val="auto"/>
                      <w:kern w:val="0"/>
                      <w:sz w:val="21"/>
                      <w:szCs w:val="21"/>
                      <w:highlight w:val="none"/>
                      <w:lang w:bidi="ar"/>
                    </w:rPr>
                    <w:t>%</w:t>
                  </w:r>
                </w:p>
              </w:tc>
              <w:tc>
                <w:tcPr>
                  <w:tcW w:w="393" w:type="pct"/>
                  <w:tcBorders>
                    <w:tl2br w:val="nil"/>
                    <w:tr2bl w:val="nil"/>
                  </w:tcBorders>
                  <w:noWrap w:val="0"/>
                  <w:tcMar>
                    <w:top w:w="12" w:type="dxa"/>
                    <w:left w:w="12" w:type="dxa"/>
                    <w:bottom w:w="0" w:type="dxa"/>
                    <w:right w:w="12" w:type="dxa"/>
                  </w:tcMar>
                  <w:vAlign w:val="center"/>
                </w:tcPr>
                <w:p w14:paraId="72B9C7AB">
                  <w:pPr>
                    <w:widowControl/>
                    <w:adjustRightInd w:val="0"/>
                    <w:snapToGrid w:val="0"/>
                    <w:spacing w:line="240" w:lineRule="auto"/>
                    <w:jc w:val="center"/>
                    <w:rPr>
                      <w:rFonts w:hint="eastAsia" w:ascii="Times New Roman" w:hAnsi="Times New Roman" w:cs="Times New Roman"/>
                      <w:color w:val="auto"/>
                      <w:kern w:val="0"/>
                      <w:sz w:val="21"/>
                      <w:szCs w:val="21"/>
                      <w:highlight w:val="none"/>
                      <w:lang w:val="en-US" w:eastAsia="zh-CN"/>
                    </w:rPr>
                  </w:pPr>
                  <w:r>
                    <w:rPr>
                      <w:rFonts w:hint="default" w:ascii="Times New Roman" w:hAnsi="Times New Roman" w:cs="Times New Roman"/>
                      <w:bCs/>
                      <w:kern w:val="0"/>
                      <w:sz w:val="21"/>
                      <w:szCs w:val="21"/>
                      <w:lang w:val="zh-CN"/>
                    </w:rPr>
                    <w:t>符合</w:t>
                  </w:r>
                </w:p>
              </w:tc>
            </w:tr>
            <w:tr w14:paraId="4DD73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8" w:hRule="atLeast"/>
              </w:trPr>
              <w:tc>
                <w:tcPr>
                  <w:tcW w:w="763" w:type="pct"/>
                  <w:tcBorders>
                    <w:tl2br w:val="nil"/>
                    <w:tr2bl w:val="nil"/>
                  </w:tcBorders>
                  <w:noWrap w:val="0"/>
                  <w:tcMar>
                    <w:top w:w="12" w:type="dxa"/>
                    <w:left w:w="12" w:type="dxa"/>
                    <w:bottom w:w="0" w:type="dxa"/>
                    <w:right w:w="12" w:type="dxa"/>
                  </w:tcMar>
                  <w:vAlign w:val="center"/>
                </w:tcPr>
                <w:p w14:paraId="43A4342A">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bCs/>
                      <w:kern w:val="0"/>
                      <w:sz w:val="21"/>
                      <w:szCs w:val="21"/>
                      <w:lang w:val="zh-CN"/>
                    </w:rPr>
                    <w:t>《关于加快解决当前挥发性有机物治理突出问题的通知》（环大气〔2021〕65号）</w:t>
                  </w:r>
                </w:p>
              </w:tc>
              <w:tc>
                <w:tcPr>
                  <w:tcW w:w="2649" w:type="pct"/>
                  <w:tcBorders>
                    <w:tl2br w:val="nil"/>
                    <w:tr2bl w:val="nil"/>
                  </w:tcBorders>
                  <w:noWrap w:val="0"/>
                  <w:tcMar>
                    <w:top w:w="12" w:type="dxa"/>
                    <w:left w:w="12" w:type="dxa"/>
                    <w:bottom w:w="0" w:type="dxa"/>
                    <w:right w:w="12" w:type="dxa"/>
                  </w:tcMar>
                  <w:vAlign w:val="center"/>
                </w:tcPr>
                <w:p w14:paraId="731DA019">
                  <w:pPr>
                    <w:widowControl/>
                    <w:adjustRightInd w:val="0"/>
                    <w:snapToGrid w:val="0"/>
                    <w:spacing w:line="240" w:lineRule="auto"/>
                    <w:jc w:val="both"/>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bCs/>
                      <w:kern w:val="0"/>
                      <w:sz w:val="21"/>
                      <w:szCs w:val="21"/>
                      <w:lang w:val="zh-CN"/>
                    </w:rPr>
                    <w:t>七、有机废气治理设施</w:t>
                  </w:r>
                </w:p>
                <w:p w14:paraId="1B60F200">
                  <w:pPr>
                    <w:widowControl/>
                    <w:adjustRightInd w:val="0"/>
                    <w:snapToGrid w:val="0"/>
                    <w:spacing w:line="240" w:lineRule="auto"/>
                    <w:jc w:val="center"/>
                    <w:rPr>
                      <w:sz w:val="21"/>
                      <w:szCs w:val="21"/>
                    </w:rPr>
                  </w:pPr>
                  <w:r>
                    <w:rPr>
                      <w:rFonts w:hint="default" w:ascii="Times New Roman" w:hAnsi="Times New Roman" w:cs="Times New Roman"/>
                      <w:bCs/>
                      <w:kern w:val="0"/>
                      <w:sz w:val="21"/>
                      <w:szCs w:val="21"/>
                      <w:lang w:val="zh-CN"/>
                    </w:rPr>
                    <w:t>治理要求。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tc>
              <w:tc>
                <w:tcPr>
                  <w:tcW w:w="1194" w:type="pct"/>
                  <w:tcBorders>
                    <w:tl2br w:val="nil"/>
                    <w:tr2bl w:val="nil"/>
                  </w:tcBorders>
                  <w:noWrap w:val="0"/>
                  <w:tcMar>
                    <w:top w:w="12" w:type="dxa"/>
                    <w:left w:w="12" w:type="dxa"/>
                    <w:bottom w:w="0" w:type="dxa"/>
                    <w:right w:w="12" w:type="dxa"/>
                  </w:tcMar>
                  <w:vAlign w:val="center"/>
                </w:tcPr>
                <w:p w14:paraId="07B41F25">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rPr>
                    <w:t>项目产生的VOCs</w:t>
                  </w:r>
                  <w:r>
                    <w:rPr>
                      <w:rFonts w:hint="eastAsia" w:cs="Times New Roman"/>
                      <w:color w:val="auto"/>
                      <w:sz w:val="21"/>
                      <w:szCs w:val="21"/>
                      <w:lang w:val="en-US" w:eastAsia="zh-CN"/>
                    </w:rPr>
                    <w:t>注塑车间</w:t>
                  </w:r>
                  <w:r>
                    <w:rPr>
                      <w:rFonts w:hint="default" w:ascii="Times New Roman" w:hAnsi="Times New Roman" w:cs="Times New Roman"/>
                      <w:color w:val="auto"/>
                      <w:sz w:val="21"/>
                      <w:szCs w:val="21"/>
                    </w:rPr>
                    <w:t>采用</w:t>
                  </w:r>
                  <w:r>
                    <w:rPr>
                      <w:rFonts w:hint="default" w:ascii="Times New Roman" w:hAnsi="Times New Roman" w:cs="Times New Roman"/>
                      <w:color w:val="auto"/>
                      <w:kern w:val="0"/>
                      <w:sz w:val="21"/>
                      <w:szCs w:val="21"/>
                      <w:lang w:bidi="ar"/>
                    </w:rPr>
                    <w:t>“</w:t>
                  </w:r>
                  <w:r>
                    <w:rPr>
                      <w:rFonts w:hint="eastAsia" w:ascii="Times New Roman" w:hAnsi="Times New Roman" w:cs="Times New Roman"/>
                      <w:color w:val="auto"/>
                      <w:kern w:val="0"/>
                      <w:sz w:val="21"/>
                      <w:szCs w:val="21"/>
                      <w:lang w:val="en-US" w:eastAsia="zh-CN" w:bidi="ar"/>
                    </w:rPr>
                    <w:t>集气罩+</w:t>
                  </w:r>
                  <w:r>
                    <w:rPr>
                      <w:rFonts w:hint="default" w:ascii="Times New Roman" w:hAnsi="Times New Roman" w:cs="Times New Roman"/>
                      <w:color w:val="auto"/>
                      <w:kern w:val="0"/>
                      <w:sz w:val="21"/>
                      <w:szCs w:val="21"/>
                      <w:lang w:bidi="ar"/>
                    </w:rPr>
                    <w:t>二级活性炭吸附”处理</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喷涂车间采用“密闭房间+</w:t>
                  </w:r>
                  <w:r>
                    <w:rPr>
                      <w:rFonts w:hint="eastAsia"/>
                      <w:sz w:val="21"/>
                      <w:szCs w:val="21"/>
                      <w:lang w:val="en-US" w:eastAsia="zh-CN"/>
                    </w:rPr>
                    <w:t>水帘水洗柜除漆雾装置+吸附棉+二级活性炭吸附</w:t>
                  </w:r>
                  <w:r>
                    <w:rPr>
                      <w:rFonts w:hint="eastAsia" w:cs="Times New Roman"/>
                      <w:color w:val="auto"/>
                      <w:kern w:val="0"/>
                      <w:sz w:val="21"/>
                      <w:szCs w:val="21"/>
                      <w:lang w:val="en-US" w:eastAsia="zh-CN" w:bidi="ar"/>
                    </w:rPr>
                    <w:t>”</w:t>
                  </w:r>
                  <w:r>
                    <w:rPr>
                      <w:rFonts w:hint="default" w:ascii="Times New Roman" w:hAnsi="Times New Roman" w:cs="Times New Roman"/>
                      <w:color w:val="auto"/>
                      <w:kern w:val="0"/>
                      <w:sz w:val="21"/>
                      <w:szCs w:val="21"/>
                      <w:lang w:bidi="ar"/>
                    </w:rPr>
                    <w:t>后通过</w:t>
                  </w:r>
                  <w:r>
                    <w:rPr>
                      <w:rFonts w:hint="eastAsia" w:cs="Times New Roman"/>
                      <w:color w:val="auto"/>
                      <w:kern w:val="0"/>
                      <w:sz w:val="21"/>
                      <w:szCs w:val="21"/>
                      <w:lang w:val="en-US" w:eastAsia="zh-CN" w:bidi="ar"/>
                    </w:rPr>
                    <w:t>15m</w:t>
                  </w:r>
                  <w:r>
                    <w:rPr>
                      <w:rFonts w:hint="eastAsia" w:ascii="Times New Roman" w:hAnsi="Times New Roman" w:cs="Times New Roman"/>
                      <w:color w:val="auto"/>
                      <w:kern w:val="0"/>
                      <w:sz w:val="21"/>
                      <w:szCs w:val="21"/>
                      <w:lang w:eastAsia="zh-CN" w:bidi="ar"/>
                    </w:rPr>
                    <w:t>排气筒</w:t>
                  </w:r>
                  <w:r>
                    <w:rPr>
                      <w:rFonts w:hint="default" w:ascii="Times New Roman" w:hAnsi="Times New Roman" w:cs="Times New Roman"/>
                      <w:color w:val="auto"/>
                      <w:kern w:val="0"/>
                      <w:sz w:val="21"/>
                      <w:szCs w:val="21"/>
                      <w:lang w:bidi="ar"/>
                    </w:rPr>
                    <w:t>排放</w:t>
                  </w:r>
                  <w:r>
                    <w:rPr>
                      <w:rFonts w:hint="default" w:ascii="Times New Roman" w:hAnsi="Times New Roman" w:cs="Times New Roman"/>
                      <w:bCs/>
                      <w:color w:val="auto"/>
                      <w:kern w:val="0"/>
                      <w:sz w:val="21"/>
                      <w:szCs w:val="21"/>
                    </w:rPr>
                    <w:t>，</w:t>
                  </w:r>
                  <w:r>
                    <w:rPr>
                      <w:rFonts w:hint="default" w:ascii="Times New Roman" w:hAnsi="Times New Roman" w:cs="Times New Roman"/>
                      <w:bCs/>
                      <w:color w:val="auto"/>
                      <w:kern w:val="0"/>
                      <w:sz w:val="21"/>
                      <w:szCs w:val="21"/>
                      <w:lang w:val="zh-CN"/>
                    </w:rPr>
                    <w:t>VOCs</w:t>
                  </w:r>
                  <w:r>
                    <w:rPr>
                      <w:rFonts w:hint="default" w:ascii="Times New Roman" w:hAnsi="Times New Roman" w:cs="Times New Roman"/>
                      <w:bCs/>
                      <w:color w:val="auto"/>
                      <w:kern w:val="0"/>
                      <w:sz w:val="21"/>
                      <w:szCs w:val="21"/>
                    </w:rPr>
                    <w:t>经治理后能达标排放。</w:t>
                  </w:r>
                </w:p>
              </w:tc>
              <w:tc>
                <w:tcPr>
                  <w:tcW w:w="393" w:type="pct"/>
                  <w:tcBorders>
                    <w:tl2br w:val="nil"/>
                    <w:tr2bl w:val="nil"/>
                  </w:tcBorders>
                  <w:noWrap w:val="0"/>
                  <w:tcMar>
                    <w:top w:w="12" w:type="dxa"/>
                    <w:left w:w="12" w:type="dxa"/>
                    <w:bottom w:w="0" w:type="dxa"/>
                    <w:right w:w="12" w:type="dxa"/>
                  </w:tcMar>
                  <w:vAlign w:val="center"/>
                </w:tcPr>
                <w:p w14:paraId="6246AF4B">
                  <w:pPr>
                    <w:widowControl/>
                    <w:adjustRightInd w:val="0"/>
                    <w:snapToGrid w:val="0"/>
                    <w:spacing w:line="240" w:lineRule="auto"/>
                    <w:jc w:val="center"/>
                    <w:rPr>
                      <w:rFonts w:hint="eastAsia" w:ascii="Times New Roman" w:hAnsi="Times New Roman" w:cs="Times New Roman"/>
                      <w:color w:val="auto"/>
                      <w:kern w:val="0"/>
                      <w:sz w:val="21"/>
                      <w:szCs w:val="21"/>
                      <w:highlight w:val="none"/>
                      <w:lang w:val="en-US" w:eastAsia="zh-CN"/>
                    </w:rPr>
                  </w:pPr>
                  <w:r>
                    <w:rPr>
                      <w:rFonts w:hint="default" w:ascii="Times New Roman" w:hAnsi="Times New Roman" w:cs="Times New Roman"/>
                      <w:bCs/>
                      <w:kern w:val="0"/>
                      <w:sz w:val="21"/>
                      <w:szCs w:val="21"/>
                      <w:lang w:val="zh-CN"/>
                    </w:rPr>
                    <w:t>符合</w:t>
                  </w:r>
                </w:p>
              </w:tc>
            </w:tr>
            <w:tr w14:paraId="1CD29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0" w:hRule="atLeast"/>
              </w:trPr>
              <w:tc>
                <w:tcPr>
                  <w:tcW w:w="763" w:type="pct"/>
                  <w:tcBorders>
                    <w:tl2br w:val="nil"/>
                    <w:tr2bl w:val="nil"/>
                  </w:tcBorders>
                  <w:noWrap w:val="0"/>
                  <w:tcMar>
                    <w:top w:w="12" w:type="dxa"/>
                    <w:left w:w="12" w:type="dxa"/>
                    <w:bottom w:w="0" w:type="dxa"/>
                    <w:right w:w="12" w:type="dxa"/>
                  </w:tcMar>
                  <w:vAlign w:val="center"/>
                </w:tcPr>
                <w:p w14:paraId="4BC323A6">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kern w:val="0"/>
                      <w:sz w:val="21"/>
                      <w:szCs w:val="21"/>
                      <w:lang w:bidi="ar"/>
                    </w:rPr>
                    <w:t>《四川省“十四五”生态环境保护规划》川府发〔2022〕2号</w:t>
                  </w:r>
                </w:p>
              </w:tc>
              <w:tc>
                <w:tcPr>
                  <w:tcW w:w="2649" w:type="pct"/>
                  <w:tcBorders>
                    <w:tl2br w:val="nil"/>
                    <w:tr2bl w:val="nil"/>
                  </w:tcBorders>
                  <w:noWrap w:val="0"/>
                  <w:tcMar>
                    <w:top w:w="12" w:type="dxa"/>
                    <w:left w:w="12" w:type="dxa"/>
                    <w:bottom w:w="0" w:type="dxa"/>
                    <w:right w:w="12" w:type="dxa"/>
                  </w:tcMar>
                  <w:vAlign w:val="center"/>
                </w:tcPr>
                <w:p w14:paraId="0084D32C">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kern w:val="0"/>
                      <w:sz w:val="21"/>
                      <w:szCs w:val="21"/>
                      <w:lang w:bidi="ar"/>
                    </w:rPr>
                    <w:t>严格控制VOCs排放总量，新建VOCs项目应实施等量或倍量替代。强化VOCs源头削减，以工业涂装、家具制造、包装印刷等行业为重点，大力推进低（无）VOCs含量原辅材料替代。严格控制生产和使用高VOCs含量溶剂型涂料、油墨、胶粘剂、清洗剂等建设项目。强化VOCs综合治理，以石化、化工、工业涂装、包装印刷、电子、纺织印染、制鞋、家具制造、油品储运销等行业为重点，提升废气收集率、治污设施同步运行率和去除率，科学合理选择治理工艺，推进设施设备提标升级改造。</w:t>
                  </w:r>
                </w:p>
              </w:tc>
              <w:tc>
                <w:tcPr>
                  <w:tcW w:w="1194" w:type="pct"/>
                  <w:vMerge w:val="restart"/>
                  <w:tcBorders>
                    <w:tl2br w:val="nil"/>
                    <w:tr2bl w:val="nil"/>
                  </w:tcBorders>
                  <w:noWrap w:val="0"/>
                  <w:tcMar>
                    <w:top w:w="12" w:type="dxa"/>
                    <w:left w:w="12" w:type="dxa"/>
                    <w:bottom w:w="0" w:type="dxa"/>
                    <w:right w:w="12" w:type="dxa"/>
                  </w:tcMar>
                  <w:vAlign w:val="center"/>
                </w:tcPr>
                <w:p w14:paraId="7D90BD65">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bidi="ar"/>
                    </w:rPr>
                    <w:t>本项目</w:t>
                  </w:r>
                  <w:r>
                    <w:rPr>
                      <w:rFonts w:hint="default" w:ascii="Times New Roman" w:hAnsi="Times New Roman" w:cs="Times New Roman"/>
                      <w:color w:val="auto"/>
                      <w:kern w:val="0"/>
                      <w:sz w:val="21"/>
                      <w:szCs w:val="21"/>
                      <w:lang w:val="en-US" w:eastAsia="zh-CN" w:bidi="ar"/>
                    </w:rPr>
                    <w:t>原辅料中</w:t>
                  </w:r>
                  <w:r>
                    <w:rPr>
                      <w:rFonts w:hint="eastAsia" w:cs="Times New Roman"/>
                      <w:color w:val="auto"/>
                      <w:kern w:val="0"/>
                      <w:sz w:val="21"/>
                      <w:szCs w:val="21"/>
                      <w:lang w:val="en-US" w:eastAsia="zh-CN" w:bidi="ar"/>
                    </w:rPr>
                    <w:t>使用的底漆、面漆、清漆等均为低VOCs含量涂料</w:t>
                  </w:r>
                  <w:r>
                    <w:rPr>
                      <w:rFonts w:hint="eastAsia" w:ascii="Times New Roman" w:hAnsi="Times New Roman" w:cs="Times New Roman"/>
                      <w:color w:val="auto"/>
                      <w:kern w:val="0"/>
                      <w:sz w:val="21"/>
                      <w:szCs w:val="21"/>
                      <w:lang w:val="en-US" w:eastAsia="zh-CN" w:bidi="ar"/>
                    </w:rPr>
                    <w:t>，水性涂料使用替代量达60%以上，废气采取集气罩或密闭房间负压抽风进行收集，</w:t>
                  </w:r>
                  <w:r>
                    <w:rPr>
                      <w:rFonts w:hint="eastAsia" w:cs="Times New Roman"/>
                      <w:color w:val="auto"/>
                      <w:kern w:val="0"/>
                      <w:sz w:val="21"/>
                      <w:szCs w:val="21"/>
                      <w:lang w:val="en-US" w:eastAsia="zh-CN" w:bidi="ar"/>
                    </w:rPr>
                    <w:t>注塑车间</w:t>
                  </w:r>
                  <w:r>
                    <w:rPr>
                      <w:rFonts w:hint="eastAsia" w:ascii="Times New Roman" w:hAnsi="Times New Roman" w:cs="Times New Roman"/>
                      <w:color w:val="auto"/>
                      <w:kern w:val="0"/>
                      <w:sz w:val="21"/>
                      <w:szCs w:val="21"/>
                      <w:lang w:val="en-US" w:eastAsia="zh-CN" w:bidi="ar"/>
                    </w:rPr>
                    <w:t>收集效率达9</w:t>
                  </w:r>
                  <w:r>
                    <w:rPr>
                      <w:rFonts w:hint="eastAsia" w:cs="Times New Roman"/>
                      <w:color w:val="auto"/>
                      <w:kern w:val="0"/>
                      <w:sz w:val="21"/>
                      <w:szCs w:val="21"/>
                      <w:lang w:val="en-US" w:eastAsia="zh-CN" w:bidi="ar"/>
                    </w:rPr>
                    <w:t>0</w:t>
                  </w:r>
                  <w:r>
                    <w:rPr>
                      <w:rFonts w:hint="eastAsia" w:ascii="Times New Roman" w:hAnsi="Times New Roman" w:cs="Times New Roman"/>
                      <w:color w:val="auto"/>
                      <w:kern w:val="0"/>
                      <w:sz w:val="21"/>
                      <w:szCs w:val="21"/>
                      <w:lang w:val="en-US" w:eastAsia="zh-CN" w:bidi="ar"/>
                    </w:rPr>
                    <w:t>%，</w:t>
                  </w:r>
                  <w:r>
                    <w:rPr>
                      <w:rFonts w:hint="eastAsia" w:cs="Times New Roman"/>
                      <w:color w:val="auto"/>
                      <w:kern w:val="0"/>
                      <w:sz w:val="21"/>
                      <w:szCs w:val="21"/>
                      <w:lang w:val="en-US" w:eastAsia="zh-CN" w:bidi="ar"/>
                    </w:rPr>
                    <w:t>喷涂车间收集率达95%注塑</w:t>
                  </w:r>
                  <w:r>
                    <w:rPr>
                      <w:rFonts w:hint="eastAsia" w:ascii="Times New Roman" w:hAnsi="Times New Roman" w:cs="Times New Roman"/>
                      <w:color w:val="auto"/>
                      <w:kern w:val="0"/>
                      <w:sz w:val="21"/>
                      <w:szCs w:val="21"/>
                      <w:lang w:val="en-US" w:eastAsia="zh-CN" w:bidi="ar"/>
                    </w:rPr>
                    <w:t>有机废气采取“集气罩+</w:t>
                  </w:r>
                  <w:r>
                    <w:rPr>
                      <w:rFonts w:hint="default" w:ascii="Times New Roman" w:hAnsi="Times New Roman" w:cs="Times New Roman"/>
                      <w:color w:val="auto"/>
                      <w:kern w:val="0"/>
                      <w:sz w:val="21"/>
                      <w:szCs w:val="21"/>
                      <w:lang w:bidi="ar"/>
                    </w:rPr>
                    <w:t>二级活性炭吸附</w:t>
                  </w:r>
                  <w:r>
                    <w:rPr>
                      <w:rFonts w:hint="eastAsia" w:ascii="Times New Roman" w:hAnsi="Times New Roman" w:cs="Times New Roman"/>
                      <w:color w:val="auto"/>
                      <w:kern w:val="0"/>
                      <w:sz w:val="21"/>
                      <w:szCs w:val="21"/>
                      <w:lang w:val="en-US" w:eastAsia="zh-CN" w:bidi="ar"/>
                    </w:rPr>
                    <w:t>”进行处理</w:t>
                  </w:r>
                  <w:r>
                    <w:rPr>
                      <w:rFonts w:hint="eastAsia" w:cs="Times New Roman"/>
                      <w:color w:val="auto"/>
                      <w:kern w:val="0"/>
                      <w:sz w:val="21"/>
                      <w:szCs w:val="21"/>
                      <w:lang w:val="en-US" w:eastAsia="zh-CN" w:bidi="ar"/>
                    </w:rPr>
                    <w:t>；喷涂有机废气采取“密闭房间+</w:t>
                  </w:r>
                  <w:r>
                    <w:rPr>
                      <w:rFonts w:hint="eastAsia"/>
                      <w:sz w:val="21"/>
                      <w:szCs w:val="21"/>
                      <w:lang w:val="en-US" w:eastAsia="zh-CN"/>
                    </w:rPr>
                    <w:t>水帘水洗柜除漆雾装置+吸附棉+二级活性炭吸附</w:t>
                  </w:r>
                  <w:r>
                    <w:rPr>
                      <w:rFonts w:hint="eastAsia" w:cs="Times New Roman"/>
                      <w:color w:val="auto"/>
                      <w:kern w:val="0"/>
                      <w:sz w:val="21"/>
                      <w:szCs w:val="21"/>
                      <w:lang w:val="en-US" w:eastAsia="zh-CN" w:bidi="ar"/>
                    </w:rPr>
                    <w:t>”</w:t>
                  </w:r>
                  <w:r>
                    <w:rPr>
                      <w:rFonts w:hint="eastAsia" w:ascii="Times New Roman" w:hAnsi="Times New Roman" w:cs="Times New Roman"/>
                      <w:color w:val="auto"/>
                      <w:kern w:val="0"/>
                      <w:sz w:val="21"/>
                      <w:szCs w:val="21"/>
                      <w:lang w:val="en-US" w:eastAsia="zh-CN" w:bidi="ar"/>
                    </w:rPr>
                    <w:t>进行处理</w:t>
                  </w:r>
                  <w:r>
                    <w:rPr>
                      <w:rFonts w:hint="eastAsia" w:cs="Times New Roman"/>
                      <w:color w:val="auto"/>
                      <w:kern w:val="0"/>
                      <w:sz w:val="21"/>
                      <w:szCs w:val="21"/>
                      <w:lang w:val="en-US" w:eastAsia="zh-CN" w:bidi="ar"/>
                    </w:rPr>
                    <w:t>，</w:t>
                  </w:r>
                  <w:r>
                    <w:rPr>
                      <w:rFonts w:hint="eastAsia" w:ascii="Times New Roman" w:hAnsi="Times New Roman" w:cs="Times New Roman"/>
                      <w:color w:val="auto"/>
                      <w:kern w:val="0"/>
                      <w:sz w:val="21"/>
                      <w:szCs w:val="21"/>
                      <w:lang w:val="en-US" w:eastAsia="zh-CN" w:bidi="ar"/>
                    </w:rPr>
                    <w:t>处理效率达90%</w:t>
                  </w:r>
                  <w:r>
                    <w:rPr>
                      <w:rFonts w:hint="default" w:ascii="Times New Roman" w:hAnsi="Times New Roman" w:cs="Times New Roman"/>
                      <w:color w:val="auto"/>
                      <w:kern w:val="0"/>
                      <w:sz w:val="21"/>
                      <w:szCs w:val="21"/>
                      <w:lang w:val="en-US" w:eastAsia="zh-CN" w:bidi="ar"/>
                    </w:rPr>
                    <w:t>。</w:t>
                  </w:r>
                </w:p>
              </w:tc>
              <w:tc>
                <w:tcPr>
                  <w:tcW w:w="393" w:type="pct"/>
                  <w:tcBorders>
                    <w:tl2br w:val="nil"/>
                    <w:tr2bl w:val="nil"/>
                  </w:tcBorders>
                  <w:noWrap w:val="0"/>
                  <w:tcMar>
                    <w:top w:w="12" w:type="dxa"/>
                    <w:left w:w="12" w:type="dxa"/>
                    <w:bottom w:w="0" w:type="dxa"/>
                    <w:right w:w="12" w:type="dxa"/>
                  </w:tcMar>
                  <w:vAlign w:val="center"/>
                </w:tcPr>
                <w:p w14:paraId="391DE360">
                  <w:pPr>
                    <w:widowControl/>
                    <w:adjustRightInd w:val="0"/>
                    <w:snapToGrid w:val="0"/>
                    <w:spacing w:line="240" w:lineRule="auto"/>
                    <w:jc w:val="center"/>
                    <w:rPr>
                      <w:rFonts w:hint="eastAsia" w:ascii="Times New Roman" w:hAnsi="Times New Roman" w:cs="Times New Roman"/>
                      <w:color w:val="auto"/>
                      <w:kern w:val="0"/>
                      <w:sz w:val="21"/>
                      <w:szCs w:val="21"/>
                      <w:highlight w:val="none"/>
                      <w:lang w:val="en-US" w:eastAsia="zh-CN"/>
                    </w:rPr>
                  </w:pPr>
                  <w:r>
                    <w:rPr>
                      <w:rFonts w:hint="default" w:ascii="Times New Roman" w:hAnsi="Times New Roman" w:cs="Times New Roman"/>
                      <w:bCs/>
                      <w:kern w:val="0"/>
                      <w:sz w:val="21"/>
                      <w:szCs w:val="21"/>
                      <w:lang w:val="zh-CN"/>
                    </w:rPr>
                    <w:t>符合</w:t>
                  </w:r>
                </w:p>
              </w:tc>
            </w:tr>
            <w:tr w14:paraId="02587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0" w:hRule="atLeast"/>
              </w:trPr>
              <w:tc>
                <w:tcPr>
                  <w:tcW w:w="763" w:type="pct"/>
                  <w:tcBorders>
                    <w:tl2br w:val="nil"/>
                    <w:tr2bl w:val="nil"/>
                  </w:tcBorders>
                  <w:noWrap w:val="0"/>
                  <w:tcMar>
                    <w:top w:w="12" w:type="dxa"/>
                    <w:left w:w="12" w:type="dxa"/>
                    <w:bottom w:w="0" w:type="dxa"/>
                    <w:right w:w="12" w:type="dxa"/>
                  </w:tcMar>
                  <w:vAlign w:val="center"/>
                </w:tcPr>
                <w:p w14:paraId="367773E8">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kern w:val="0"/>
                      <w:sz w:val="21"/>
                      <w:szCs w:val="21"/>
                      <w:lang w:bidi="ar"/>
                    </w:rPr>
                    <w:t>《遂宁市“十四五”生态环境保护规划》</w:t>
                  </w:r>
                </w:p>
              </w:tc>
              <w:tc>
                <w:tcPr>
                  <w:tcW w:w="2649" w:type="pct"/>
                  <w:tcBorders>
                    <w:tl2br w:val="nil"/>
                    <w:tr2bl w:val="nil"/>
                  </w:tcBorders>
                  <w:noWrap w:val="0"/>
                  <w:tcMar>
                    <w:top w:w="12" w:type="dxa"/>
                    <w:left w:w="12" w:type="dxa"/>
                    <w:bottom w:w="0" w:type="dxa"/>
                    <w:right w:w="12" w:type="dxa"/>
                  </w:tcMar>
                  <w:vAlign w:val="center"/>
                </w:tcPr>
                <w:p w14:paraId="7C5477C3">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kern w:val="0"/>
                      <w:sz w:val="21"/>
                      <w:szCs w:val="21"/>
                      <w:lang w:bidi="ar"/>
                    </w:rPr>
                    <w:t>大力推进重点行业VOCs治理。严格新增VOCs排放建设项目环境准入，更新、优化VOCs和NOx排放清单，制定NOx与VOCs协同减排计划，建立VOCs治理台账，加快推进整改。突出抓好化工、涂装、包装印刷、油品储运销等行业（领域）关键环节VOCs治理突出问题排查整治，推进建设高效治污设施，</w:t>
                  </w:r>
                  <w:r>
                    <w:rPr>
                      <w:rFonts w:hint="eastAsia" w:ascii="Times New Roman" w:hAnsi="Times New Roman" w:cs="Times New Roman"/>
                      <w:kern w:val="0"/>
                      <w:sz w:val="21"/>
                      <w:szCs w:val="21"/>
                      <w:lang w:eastAsia="zh-CN" w:bidi="ar"/>
                    </w:rPr>
                    <w:t>深入</w:t>
                  </w:r>
                  <w:r>
                    <w:rPr>
                      <w:rFonts w:hint="default" w:ascii="Times New Roman" w:hAnsi="Times New Roman" w:cs="Times New Roman"/>
                      <w:kern w:val="0"/>
                      <w:sz w:val="21"/>
                      <w:szCs w:val="21"/>
                      <w:lang w:bidi="ar"/>
                    </w:rPr>
                    <w:cr/>
                  </w:r>
                  <w:r>
                    <w:rPr>
                      <w:rFonts w:hint="default" w:ascii="Times New Roman" w:hAnsi="Times New Roman" w:cs="Times New Roman"/>
                      <w:kern w:val="0"/>
                      <w:sz w:val="21"/>
                      <w:szCs w:val="21"/>
                      <w:lang w:bidi="ar"/>
                    </w:rPr>
                    <w:t>推行“一厂一策”，提高VOCs治理效率。</w:t>
                  </w:r>
                </w:p>
              </w:tc>
              <w:tc>
                <w:tcPr>
                  <w:tcW w:w="1194" w:type="pct"/>
                  <w:vMerge w:val="continue"/>
                  <w:tcBorders>
                    <w:tl2br w:val="nil"/>
                    <w:tr2bl w:val="nil"/>
                  </w:tcBorders>
                  <w:noWrap w:val="0"/>
                  <w:tcMar>
                    <w:top w:w="12" w:type="dxa"/>
                    <w:left w:w="12" w:type="dxa"/>
                    <w:bottom w:w="0" w:type="dxa"/>
                    <w:right w:w="12" w:type="dxa"/>
                  </w:tcMar>
                  <w:vAlign w:val="center"/>
                </w:tcPr>
                <w:p w14:paraId="2C5E361D">
                  <w:pPr>
                    <w:widowControl/>
                    <w:adjustRightInd w:val="0"/>
                    <w:snapToGrid w:val="0"/>
                    <w:spacing w:line="240" w:lineRule="auto"/>
                    <w:jc w:val="center"/>
                    <w:rPr>
                      <w:rFonts w:hint="eastAsia" w:ascii="Times New Roman" w:hAnsi="Times New Roman" w:eastAsia="宋体" w:cs="Times New Roman"/>
                      <w:color w:val="auto"/>
                      <w:kern w:val="0"/>
                      <w:sz w:val="21"/>
                      <w:szCs w:val="21"/>
                      <w:lang w:val="en-US" w:eastAsia="zh-CN"/>
                    </w:rPr>
                  </w:pPr>
                </w:p>
              </w:tc>
              <w:tc>
                <w:tcPr>
                  <w:tcW w:w="393" w:type="pct"/>
                  <w:tcBorders>
                    <w:tl2br w:val="nil"/>
                    <w:tr2bl w:val="nil"/>
                  </w:tcBorders>
                  <w:noWrap w:val="0"/>
                  <w:tcMar>
                    <w:top w:w="12" w:type="dxa"/>
                    <w:left w:w="12" w:type="dxa"/>
                    <w:bottom w:w="0" w:type="dxa"/>
                    <w:right w:w="12" w:type="dxa"/>
                  </w:tcMar>
                  <w:vAlign w:val="center"/>
                </w:tcPr>
                <w:p w14:paraId="6590AB26">
                  <w:pPr>
                    <w:widowControl/>
                    <w:adjustRightInd w:val="0"/>
                    <w:snapToGrid w:val="0"/>
                    <w:spacing w:line="240" w:lineRule="auto"/>
                    <w:jc w:val="center"/>
                    <w:rPr>
                      <w:rFonts w:hint="eastAsia" w:ascii="Times New Roman" w:hAnsi="Times New Roman" w:cs="Times New Roman"/>
                      <w:color w:val="auto"/>
                      <w:kern w:val="0"/>
                      <w:sz w:val="21"/>
                      <w:szCs w:val="21"/>
                      <w:highlight w:val="none"/>
                      <w:lang w:val="en-US" w:eastAsia="zh-CN"/>
                    </w:rPr>
                  </w:pPr>
                  <w:r>
                    <w:rPr>
                      <w:rFonts w:hint="default" w:ascii="Times New Roman" w:hAnsi="Times New Roman" w:cs="Times New Roman"/>
                      <w:bCs/>
                      <w:kern w:val="0"/>
                      <w:sz w:val="21"/>
                      <w:szCs w:val="21"/>
                    </w:rPr>
                    <w:t>符合</w:t>
                  </w:r>
                </w:p>
              </w:tc>
            </w:tr>
          </w:tbl>
          <w:p w14:paraId="44CCCD09">
            <w:pPr>
              <w:bidi w:val="0"/>
              <w:spacing w:line="360" w:lineRule="auto"/>
              <w:ind w:firstLine="420" w:firstLineChars="200"/>
              <w:rPr>
                <w:rFonts w:hint="default"/>
                <w:lang w:val="zh-CN"/>
              </w:rPr>
            </w:pPr>
            <w:r>
              <w:rPr>
                <w:rFonts w:hint="default"/>
                <w:lang w:val="zh-CN"/>
              </w:rPr>
              <w:t>根据以上分析，本项目的建设符合</w:t>
            </w:r>
            <w:r>
              <w:rPr>
                <w:rFonts w:hint="eastAsia"/>
                <w:lang w:val="en-US" w:eastAsia="zh-CN"/>
              </w:rPr>
              <w:t>《中华人民共和国大气污染防治法》</w:t>
            </w:r>
            <w:r>
              <w:rPr>
                <w:rFonts w:hint="default"/>
              </w:rPr>
              <w:t>《关于印发四川省打赢蓝天保卫战等九个实施方案的通知》</w:t>
            </w:r>
            <w:r>
              <w:rPr>
                <w:rFonts w:hint="eastAsia"/>
                <w:lang w:eastAsia="zh-CN"/>
              </w:rPr>
              <w:t>（</w:t>
            </w:r>
            <w:r>
              <w:rPr>
                <w:rFonts w:hint="default"/>
              </w:rPr>
              <w:t>川府发〔2019〕4号</w:t>
            </w:r>
            <w:r>
              <w:rPr>
                <w:rFonts w:hint="eastAsia"/>
                <w:lang w:eastAsia="zh-CN"/>
              </w:rPr>
              <w:t>）</w:t>
            </w:r>
            <w:r>
              <w:rPr>
                <w:rFonts w:hint="default"/>
              </w:rPr>
              <w:t>、《重点行业挥发性有机物综合治理方案》环大气〔2019〕53号</w:t>
            </w:r>
            <w:r>
              <w:rPr>
                <w:rFonts w:hint="eastAsia"/>
                <w:lang w:eastAsia="zh-CN"/>
              </w:rPr>
              <w:t>、</w:t>
            </w:r>
            <w:r>
              <w:rPr>
                <w:rFonts w:hint="default" w:ascii="Times New Roman" w:hAnsi="Times New Roman" w:cs="Times New Roman"/>
                <w:kern w:val="0"/>
                <w:sz w:val="21"/>
                <w:szCs w:val="21"/>
                <w:lang w:bidi="ar"/>
              </w:rPr>
              <w:t>《四川省挥发性有机物污染防治实施方案》（川环发〔2018〕44号）</w:t>
            </w:r>
            <w:r>
              <w:rPr>
                <w:rFonts w:hint="eastAsia" w:ascii="Times New Roman" w:hAnsi="Times New Roman" w:cs="Times New Roman"/>
                <w:kern w:val="0"/>
                <w:sz w:val="21"/>
                <w:szCs w:val="21"/>
                <w:lang w:eastAsia="zh-CN" w:bidi="ar"/>
              </w:rPr>
              <w:t>、</w:t>
            </w:r>
            <w:r>
              <w:rPr>
                <w:rFonts w:hint="default" w:ascii="Times New Roman" w:hAnsi="Times New Roman" w:cs="Times New Roman"/>
                <w:bCs/>
                <w:kern w:val="0"/>
                <w:sz w:val="21"/>
                <w:szCs w:val="21"/>
                <w:lang w:val="zh-CN"/>
              </w:rPr>
              <w:t>《关于加快解决当前挥发性有机物治理突出问题的通知》（环大气〔2021〕65号）</w:t>
            </w:r>
            <w:r>
              <w:rPr>
                <w:rFonts w:hint="eastAsia" w:ascii="Times New Roman" w:hAnsi="Times New Roman" w:cs="Times New Roman"/>
                <w:bCs/>
                <w:kern w:val="0"/>
                <w:sz w:val="21"/>
                <w:szCs w:val="21"/>
                <w:lang w:val="zh-CN"/>
              </w:rPr>
              <w:t>、</w:t>
            </w:r>
            <w:r>
              <w:rPr>
                <w:rFonts w:hint="default" w:ascii="Times New Roman" w:hAnsi="Times New Roman" w:cs="Times New Roman"/>
                <w:kern w:val="0"/>
                <w:sz w:val="21"/>
                <w:szCs w:val="21"/>
                <w:lang w:bidi="ar"/>
              </w:rPr>
              <w:t>《四川省“十四五”生态环境保护规划》川府发〔2022〕2号</w:t>
            </w:r>
            <w:r>
              <w:rPr>
                <w:rFonts w:hint="eastAsia" w:ascii="Times New Roman" w:hAnsi="Times New Roman" w:cs="Times New Roman"/>
                <w:kern w:val="0"/>
                <w:sz w:val="21"/>
                <w:szCs w:val="21"/>
                <w:lang w:eastAsia="zh-CN" w:bidi="ar"/>
              </w:rPr>
              <w:t>、</w:t>
            </w:r>
            <w:r>
              <w:rPr>
                <w:rFonts w:hint="default" w:ascii="Times New Roman" w:hAnsi="Times New Roman" w:cs="Times New Roman"/>
                <w:kern w:val="0"/>
                <w:sz w:val="21"/>
                <w:szCs w:val="21"/>
                <w:lang w:bidi="ar"/>
              </w:rPr>
              <w:t>《遂宁市“十四五”生态环境保护规划》</w:t>
            </w:r>
            <w:r>
              <w:rPr>
                <w:rFonts w:hint="default"/>
                <w:lang w:val="zh-CN"/>
              </w:rPr>
              <w:t>的政策要求。</w:t>
            </w:r>
          </w:p>
          <w:p w14:paraId="6CB42761">
            <w:pPr>
              <w:pStyle w:val="81"/>
              <w:ind w:firstLine="482"/>
              <w:jc w:val="center"/>
              <w:rPr>
                <w:b/>
                <w:sz w:val="21"/>
                <w:szCs w:val="21"/>
              </w:rPr>
            </w:pPr>
            <w:r>
              <w:rPr>
                <w:rFonts w:hint="eastAsia"/>
                <w:b/>
                <w:sz w:val="21"/>
                <w:szCs w:val="21"/>
              </w:rPr>
              <w:t>表1-</w:t>
            </w:r>
            <w:r>
              <w:rPr>
                <w:rFonts w:hint="eastAsia"/>
                <w:b/>
                <w:sz w:val="21"/>
                <w:szCs w:val="21"/>
                <w:lang w:val="en-US" w:eastAsia="zh-CN"/>
              </w:rPr>
              <w:t>5</w:t>
            </w:r>
            <w:r>
              <w:rPr>
                <w:rFonts w:hint="eastAsia"/>
                <w:b/>
                <w:sz w:val="21"/>
                <w:szCs w:val="21"/>
              </w:rPr>
              <w:t>与《</w:t>
            </w:r>
            <w:r>
              <w:rPr>
                <w:b/>
                <w:sz w:val="21"/>
                <w:szCs w:val="21"/>
              </w:rPr>
              <w:t>四川省重污染天气金属表面处理及热处理加工等10个行业应急减排措施制定技术指南（试行）</w:t>
            </w:r>
            <w:r>
              <w:rPr>
                <w:rFonts w:hint="eastAsia"/>
                <w:b/>
                <w:sz w:val="21"/>
                <w:szCs w:val="21"/>
              </w:rPr>
              <w:t>》中</w:t>
            </w:r>
            <w:r>
              <w:rPr>
                <w:rFonts w:hint="eastAsia"/>
                <w:b/>
                <w:sz w:val="21"/>
                <w:szCs w:val="21"/>
                <w:lang w:val="en-US" w:eastAsia="zh-CN"/>
              </w:rPr>
              <w:t>塑料制品</w:t>
            </w:r>
            <w:r>
              <w:rPr>
                <w:rFonts w:hint="eastAsia"/>
                <w:b/>
                <w:sz w:val="21"/>
                <w:szCs w:val="21"/>
              </w:rPr>
              <w:t>行业企业引领性指标符合性分析</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4394"/>
              <w:gridCol w:w="3033"/>
              <w:gridCol w:w="651"/>
            </w:tblGrid>
            <w:tr w14:paraId="142B5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14:paraId="45A87F3F">
                  <w:pPr>
                    <w:pStyle w:val="81"/>
                    <w:spacing w:line="240" w:lineRule="auto"/>
                    <w:ind w:firstLine="0" w:firstLineChars="0"/>
                    <w:jc w:val="center"/>
                    <w:rPr>
                      <w:sz w:val="21"/>
                      <w:szCs w:val="21"/>
                    </w:rPr>
                  </w:pPr>
                  <w:r>
                    <w:rPr>
                      <w:sz w:val="21"/>
                      <w:szCs w:val="21"/>
                    </w:rPr>
                    <w:t>引领性指标</w:t>
                  </w:r>
                </w:p>
              </w:tc>
              <w:tc>
                <w:tcPr>
                  <w:tcW w:w="4394" w:type="dxa"/>
                  <w:vAlign w:val="center"/>
                </w:tcPr>
                <w:p w14:paraId="30D3EE19">
                  <w:pPr>
                    <w:pStyle w:val="81"/>
                    <w:spacing w:line="240" w:lineRule="auto"/>
                    <w:ind w:firstLine="0" w:firstLineChars="0"/>
                    <w:jc w:val="center"/>
                    <w:rPr>
                      <w:sz w:val="21"/>
                      <w:szCs w:val="21"/>
                    </w:rPr>
                  </w:pPr>
                  <w:r>
                    <w:rPr>
                      <w:sz w:val="21"/>
                      <w:szCs w:val="21"/>
                    </w:rPr>
                    <w:t>相关要求</w:t>
                  </w:r>
                </w:p>
              </w:tc>
              <w:tc>
                <w:tcPr>
                  <w:tcW w:w="3033" w:type="dxa"/>
                  <w:vAlign w:val="center"/>
                </w:tcPr>
                <w:p w14:paraId="77061C8B">
                  <w:pPr>
                    <w:pStyle w:val="81"/>
                    <w:spacing w:line="240" w:lineRule="auto"/>
                    <w:ind w:firstLine="0" w:firstLineChars="0"/>
                    <w:jc w:val="center"/>
                    <w:rPr>
                      <w:sz w:val="21"/>
                      <w:szCs w:val="21"/>
                    </w:rPr>
                  </w:pPr>
                  <w:r>
                    <w:rPr>
                      <w:sz w:val="21"/>
                      <w:szCs w:val="21"/>
                    </w:rPr>
                    <w:t>本项目</w:t>
                  </w:r>
                </w:p>
              </w:tc>
              <w:tc>
                <w:tcPr>
                  <w:tcW w:w="651" w:type="dxa"/>
                  <w:vAlign w:val="center"/>
                </w:tcPr>
                <w:p w14:paraId="460FEEA3">
                  <w:pPr>
                    <w:pStyle w:val="81"/>
                    <w:spacing w:line="240" w:lineRule="auto"/>
                    <w:ind w:firstLine="0" w:firstLineChars="0"/>
                    <w:jc w:val="center"/>
                    <w:rPr>
                      <w:sz w:val="21"/>
                      <w:szCs w:val="21"/>
                    </w:rPr>
                  </w:pPr>
                  <w:r>
                    <w:rPr>
                      <w:sz w:val="21"/>
                      <w:szCs w:val="21"/>
                    </w:rPr>
                    <w:t>符合性</w:t>
                  </w:r>
                </w:p>
              </w:tc>
            </w:tr>
            <w:tr w14:paraId="169F0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14:paraId="427B8564">
                  <w:pPr>
                    <w:pStyle w:val="81"/>
                    <w:spacing w:line="240" w:lineRule="auto"/>
                    <w:ind w:firstLine="0" w:firstLineChars="0"/>
                    <w:jc w:val="center"/>
                    <w:rPr>
                      <w:sz w:val="21"/>
                      <w:szCs w:val="21"/>
                    </w:rPr>
                  </w:pPr>
                  <w:r>
                    <w:rPr>
                      <w:sz w:val="21"/>
                      <w:szCs w:val="21"/>
                    </w:rPr>
                    <w:t>原辅材料</w:t>
                  </w:r>
                </w:p>
              </w:tc>
              <w:tc>
                <w:tcPr>
                  <w:tcW w:w="4394" w:type="dxa"/>
                  <w:vAlign w:val="center"/>
                </w:tcPr>
                <w:p w14:paraId="38785045">
                  <w:pPr>
                    <w:pStyle w:val="81"/>
                    <w:spacing w:line="240" w:lineRule="auto"/>
                    <w:ind w:firstLine="0" w:firstLineChars="0"/>
                    <w:jc w:val="center"/>
                    <w:rPr>
                      <w:sz w:val="21"/>
                      <w:szCs w:val="21"/>
                    </w:rPr>
                  </w:pPr>
                  <w:r>
                    <w:rPr>
                      <w:rFonts w:hint="eastAsia"/>
                      <w:sz w:val="21"/>
                      <w:szCs w:val="21"/>
                    </w:rPr>
                    <w:t>1、原料全部使用非再生料（即使用原包料，非废旧塑料）；2、能源使用电、天然气、液化石油气等清洁能源。</w:t>
                  </w:r>
                </w:p>
              </w:tc>
              <w:tc>
                <w:tcPr>
                  <w:tcW w:w="3033" w:type="dxa"/>
                  <w:vAlign w:val="center"/>
                </w:tcPr>
                <w:p w14:paraId="76546CB6">
                  <w:pPr>
                    <w:pStyle w:val="81"/>
                    <w:spacing w:line="240" w:lineRule="auto"/>
                    <w:ind w:firstLine="0" w:firstLineChars="0"/>
                    <w:rPr>
                      <w:rFonts w:hint="eastAsia" w:eastAsia="宋体"/>
                      <w:sz w:val="21"/>
                      <w:szCs w:val="21"/>
                      <w:lang w:val="en-US" w:eastAsia="zh-CN"/>
                    </w:rPr>
                  </w:pPr>
                  <w:r>
                    <w:rPr>
                      <w:rFonts w:hint="eastAsia"/>
                      <w:sz w:val="21"/>
                      <w:szCs w:val="21"/>
                      <w:lang w:val="en-US" w:eastAsia="zh-CN"/>
                    </w:rPr>
                    <w:t>本项目</w:t>
                  </w:r>
                  <w:r>
                    <w:rPr>
                      <w:rFonts w:hint="eastAsia"/>
                      <w:sz w:val="21"/>
                      <w:szCs w:val="21"/>
                    </w:rPr>
                    <w:t>原料全部使用</w:t>
                  </w:r>
                  <w:r>
                    <w:rPr>
                      <w:rFonts w:hint="eastAsia"/>
                      <w:sz w:val="21"/>
                      <w:szCs w:val="21"/>
                      <w:lang w:val="en-US" w:eastAsia="zh-CN"/>
                    </w:rPr>
                    <w:t>新料</w:t>
                  </w:r>
                  <w:r>
                    <w:rPr>
                      <w:rFonts w:hint="eastAsia"/>
                      <w:sz w:val="21"/>
                      <w:szCs w:val="21"/>
                      <w:lang w:eastAsia="zh-CN"/>
                    </w:rPr>
                    <w:t>，</w:t>
                  </w:r>
                  <w:r>
                    <w:rPr>
                      <w:rFonts w:hint="eastAsia"/>
                      <w:sz w:val="21"/>
                      <w:szCs w:val="21"/>
                      <w:lang w:val="en-US" w:eastAsia="zh-CN"/>
                    </w:rPr>
                    <w:t>能源使用</w:t>
                  </w:r>
                  <w:r>
                    <w:rPr>
                      <w:rFonts w:hint="eastAsia"/>
                      <w:sz w:val="21"/>
                      <w:szCs w:val="21"/>
                    </w:rPr>
                    <w:t>电、天然气清洁能源</w:t>
                  </w:r>
                  <w:r>
                    <w:rPr>
                      <w:rFonts w:hint="eastAsia"/>
                      <w:sz w:val="21"/>
                      <w:szCs w:val="21"/>
                      <w:lang w:eastAsia="zh-CN"/>
                    </w:rPr>
                    <w:t>。</w:t>
                  </w:r>
                </w:p>
              </w:tc>
              <w:tc>
                <w:tcPr>
                  <w:tcW w:w="651" w:type="dxa"/>
                  <w:vAlign w:val="center"/>
                </w:tcPr>
                <w:p w14:paraId="7C009AF0">
                  <w:pPr>
                    <w:pStyle w:val="81"/>
                    <w:spacing w:line="240" w:lineRule="auto"/>
                    <w:ind w:firstLine="0" w:firstLineChars="0"/>
                    <w:jc w:val="center"/>
                    <w:rPr>
                      <w:sz w:val="21"/>
                      <w:szCs w:val="21"/>
                    </w:rPr>
                  </w:pPr>
                  <w:r>
                    <w:rPr>
                      <w:sz w:val="21"/>
                      <w:szCs w:val="21"/>
                    </w:rPr>
                    <w:t>符合</w:t>
                  </w:r>
                </w:p>
              </w:tc>
            </w:tr>
            <w:tr w14:paraId="0A21D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14:paraId="685F17ED">
                  <w:pPr>
                    <w:pStyle w:val="81"/>
                    <w:spacing w:line="240" w:lineRule="auto"/>
                    <w:ind w:firstLine="0" w:firstLineChars="0"/>
                    <w:jc w:val="center"/>
                    <w:rPr>
                      <w:sz w:val="21"/>
                      <w:szCs w:val="21"/>
                    </w:rPr>
                  </w:pPr>
                  <w:r>
                    <w:rPr>
                      <w:rFonts w:hint="eastAsia"/>
                      <w:sz w:val="21"/>
                      <w:szCs w:val="21"/>
                    </w:rPr>
                    <w:t>生产工艺及装备水平</w:t>
                  </w:r>
                </w:p>
              </w:tc>
              <w:tc>
                <w:tcPr>
                  <w:tcW w:w="4394" w:type="dxa"/>
                  <w:vAlign w:val="center"/>
                </w:tcPr>
                <w:p w14:paraId="09692A70">
                  <w:pPr>
                    <w:pStyle w:val="81"/>
                    <w:spacing w:line="240" w:lineRule="auto"/>
                    <w:ind w:firstLine="0" w:firstLineChars="0"/>
                    <w:jc w:val="center"/>
                    <w:rPr>
                      <w:sz w:val="21"/>
                      <w:szCs w:val="21"/>
                    </w:rPr>
                  </w:pPr>
                  <w:r>
                    <w:rPr>
                      <w:rFonts w:ascii="宋体" w:hAnsi="宋体" w:eastAsia="宋体" w:cs="宋体"/>
                      <w:sz w:val="21"/>
                      <w:szCs w:val="21"/>
                    </w:rPr>
                    <w:t>属于《产业结构调整指导目录》鼓励类和允许类。</w:t>
                  </w:r>
                </w:p>
              </w:tc>
              <w:tc>
                <w:tcPr>
                  <w:tcW w:w="3033" w:type="dxa"/>
                  <w:vAlign w:val="center"/>
                </w:tcPr>
                <w:p w14:paraId="0195AED8">
                  <w:pPr>
                    <w:pStyle w:val="81"/>
                    <w:spacing w:line="240" w:lineRule="auto"/>
                    <w:ind w:firstLine="0" w:firstLineChars="0"/>
                    <w:rPr>
                      <w:rFonts w:hint="eastAsia" w:eastAsia="宋体"/>
                      <w:sz w:val="21"/>
                      <w:szCs w:val="21"/>
                      <w:lang w:val="en-US" w:eastAsia="zh-CN"/>
                    </w:rPr>
                  </w:pPr>
                  <w:r>
                    <w:rPr>
                      <w:rFonts w:hint="eastAsia"/>
                      <w:sz w:val="21"/>
                      <w:szCs w:val="21"/>
                      <w:lang w:val="en-US" w:eastAsia="zh-CN"/>
                    </w:rPr>
                    <w:t>本项目属于</w:t>
                  </w:r>
                  <w:r>
                    <w:rPr>
                      <w:rFonts w:ascii="宋体" w:hAnsi="宋体" w:eastAsia="宋体" w:cs="宋体"/>
                      <w:sz w:val="21"/>
                      <w:szCs w:val="21"/>
                    </w:rPr>
                    <w:t>《产业结构调整指导目录》允许类</w:t>
                  </w:r>
                  <w:r>
                    <w:rPr>
                      <w:rFonts w:hint="eastAsia" w:ascii="宋体" w:hAnsi="宋体" w:cs="宋体"/>
                      <w:sz w:val="21"/>
                      <w:szCs w:val="21"/>
                      <w:lang w:eastAsia="zh-CN"/>
                    </w:rPr>
                    <w:t>。</w:t>
                  </w:r>
                </w:p>
              </w:tc>
              <w:tc>
                <w:tcPr>
                  <w:tcW w:w="651" w:type="dxa"/>
                  <w:vAlign w:val="center"/>
                </w:tcPr>
                <w:p w14:paraId="2AEDC032">
                  <w:pPr>
                    <w:pStyle w:val="81"/>
                    <w:spacing w:line="240" w:lineRule="auto"/>
                    <w:ind w:firstLine="0" w:firstLineChars="0"/>
                    <w:jc w:val="center"/>
                    <w:rPr>
                      <w:sz w:val="21"/>
                      <w:szCs w:val="21"/>
                    </w:rPr>
                  </w:pPr>
                  <w:r>
                    <w:rPr>
                      <w:sz w:val="21"/>
                      <w:szCs w:val="21"/>
                    </w:rPr>
                    <w:t>符合</w:t>
                  </w:r>
                </w:p>
              </w:tc>
            </w:tr>
            <w:tr w14:paraId="79F9D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14:paraId="179DCF4A">
                  <w:pPr>
                    <w:pStyle w:val="81"/>
                    <w:spacing w:line="240" w:lineRule="auto"/>
                    <w:ind w:firstLine="0" w:firstLineChars="0"/>
                    <w:jc w:val="center"/>
                    <w:rPr>
                      <w:sz w:val="21"/>
                      <w:szCs w:val="21"/>
                    </w:rPr>
                  </w:pPr>
                  <w:r>
                    <w:rPr>
                      <w:rFonts w:hint="eastAsia"/>
                      <w:sz w:val="21"/>
                      <w:szCs w:val="21"/>
                    </w:rPr>
                    <w:t>污染治理技术</w:t>
                  </w:r>
                </w:p>
              </w:tc>
              <w:tc>
                <w:tcPr>
                  <w:tcW w:w="4394" w:type="dxa"/>
                  <w:vAlign w:val="center"/>
                </w:tcPr>
                <w:p w14:paraId="6F6D123C">
                  <w:pPr>
                    <w:pStyle w:val="81"/>
                    <w:numPr>
                      <w:ilvl w:val="0"/>
                      <w:numId w:val="4"/>
                    </w:numPr>
                    <w:spacing w:line="240" w:lineRule="auto"/>
                    <w:ind w:firstLine="0" w:firstLineChars="0"/>
                    <w:rPr>
                      <w:rFonts w:hint="eastAsia"/>
                      <w:sz w:val="21"/>
                      <w:szCs w:val="21"/>
                    </w:rPr>
                  </w:pPr>
                  <w:r>
                    <w:rPr>
                      <w:rFonts w:hint="eastAsia"/>
                      <w:sz w:val="21"/>
                      <w:szCs w:val="21"/>
                    </w:rPr>
                    <w:t>VOCs治理采用燃烧工艺（包括直接燃烧、催化燃烧和蓄热燃烧），吸附浓缩+燃烧工艺（包括直接燃烧、催化燃烧和蓄热燃烧），或采用喷淋、吸附等两级及以上组合工艺处理（采用一次活性炭吸附的，活性炭碘值不低于 800mg/g，预处理单元配备压差表），或引至锅炉燃烧。</w:t>
                  </w:r>
                </w:p>
                <w:p w14:paraId="006DE60D">
                  <w:pPr>
                    <w:pStyle w:val="81"/>
                    <w:numPr>
                      <w:ilvl w:val="0"/>
                      <w:numId w:val="4"/>
                    </w:numPr>
                    <w:spacing w:line="240" w:lineRule="auto"/>
                    <w:ind w:left="0" w:leftChars="0" w:firstLine="0" w:firstLineChars="0"/>
                    <w:rPr>
                      <w:rFonts w:hint="eastAsia"/>
                      <w:sz w:val="21"/>
                      <w:szCs w:val="21"/>
                    </w:rPr>
                  </w:pPr>
                  <w:r>
                    <w:rPr>
                      <w:rFonts w:hint="eastAsia"/>
                      <w:sz w:val="21"/>
                      <w:szCs w:val="21"/>
                    </w:rPr>
                    <w:t>除尘采用袋式除尘、滤筒除尘等高效除尘技术。</w:t>
                  </w:r>
                </w:p>
                <w:p w14:paraId="6415FFC1">
                  <w:pPr>
                    <w:pStyle w:val="81"/>
                    <w:numPr>
                      <w:ilvl w:val="0"/>
                      <w:numId w:val="0"/>
                    </w:numPr>
                    <w:spacing w:line="240" w:lineRule="auto"/>
                    <w:ind w:leftChars="0"/>
                    <w:rPr>
                      <w:sz w:val="21"/>
                      <w:szCs w:val="21"/>
                    </w:rPr>
                  </w:pPr>
                  <w:r>
                    <w:rPr>
                      <w:rFonts w:hint="eastAsia"/>
                      <w:sz w:val="21"/>
                      <w:szCs w:val="21"/>
                    </w:rPr>
                    <w:t>3、NOx采用低氮燃烧、SNCR/SCR等适宜技术。</w:t>
                  </w:r>
                </w:p>
              </w:tc>
              <w:tc>
                <w:tcPr>
                  <w:tcW w:w="3033" w:type="dxa"/>
                  <w:vAlign w:val="center"/>
                </w:tcPr>
                <w:p w14:paraId="5231D2FE">
                  <w:pPr>
                    <w:pStyle w:val="81"/>
                    <w:spacing w:line="240" w:lineRule="auto"/>
                    <w:ind w:firstLine="0" w:firstLineChars="0"/>
                    <w:rPr>
                      <w:rFonts w:hint="default" w:eastAsia="宋体"/>
                      <w:sz w:val="21"/>
                      <w:szCs w:val="21"/>
                      <w:lang w:val="en-US" w:eastAsia="zh-CN"/>
                    </w:rPr>
                  </w:pPr>
                  <w:r>
                    <w:rPr>
                      <w:rFonts w:hint="eastAsia"/>
                      <w:sz w:val="21"/>
                      <w:szCs w:val="21"/>
                    </w:rPr>
                    <w:t>1.本项目</w:t>
                  </w:r>
                  <w:r>
                    <w:rPr>
                      <w:rFonts w:hint="eastAsia"/>
                      <w:sz w:val="21"/>
                      <w:szCs w:val="21"/>
                      <w:lang w:val="en-US" w:eastAsia="zh-CN"/>
                    </w:rPr>
                    <w:t>注塑车间</w:t>
                  </w:r>
                  <w:r>
                    <w:rPr>
                      <w:rFonts w:hint="eastAsia"/>
                      <w:sz w:val="21"/>
                      <w:szCs w:val="21"/>
                    </w:rPr>
                    <w:t>VOCs治理采用</w:t>
                  </w:r>
                  <w:r>
                    <w:rPr>
                      <w:rFonts w:hint="eastAsia"/>
                      <w:sz w:val="21"/>
                      <w:szCs w:val="21"/>
                      <w:lang w:val="en-US" w:eastAsia="zh-CN"/>
                    </w:rPr>
                    <w:t>二级活性炭吸附装置处理；喷涂车间</w:t>
                  </w:r>
                  <w:r>
                    <w:rPr>
                      <w:rFonts w:hint="eastAsia"/>
                      <w:sz w:val="21"/>
                      <w:szCs w:val="21"/>
                    </w:rPr>
                    <w:t>VOCs治理采用</w:t>
                  </w:r>
                  <w:r>
                    <w:rPr>
                      <w:rFonts w:hint="eastAsia"/>
                      <w:sz w:val="21"/>
                      <w:szCs w:val="21"/>
                      <w:lang w:val="en-US" w:eastAsia="zh-CN"/>
                    </w:rPr>
                    <w:t>水帘水洗柜除漆雾装置+吸附棉+二级活性炭吸附装置处理。</w:t>
                  </w:r>
                </w:p>
                <w:p w14:paraId="7E204264">
                  <w:pPr>
                    <w:pStyle w:val="81"/>
                    <w:spacing w:line="240" w:lineRule="auto"/>
                    <w:ind w:firstLine="0" w:firstLineChars="0"/>
                    <w:rPr>
                      <w:rFonts w:hint="eastAsia" w:eastAsia="宋体"/>
                      <w:sz w:val="21"/>
                      <w:szCs w:val="21"/>
                      <w:lang w:eastAsia="zh-CN"/>
                    </w:rPr>
                  </w:pPr>
                  <w:r>
                    <w:rPr>
                      <w:rFonts w:hint="eastAsia"/>
                      <w:sz w:val="21"/>
                      <w:szCs w:val="21"/>
                    </w:rPr>
                    <w:t>2.本项目</w:t>
                  </w:r>
                  <w:r>
                    <w:rPr>
                      <w:rFonts w:hint="eastAsia"/>
                      <w:sz w:val="21"/>
                      <w:szCs w:val="21"/>
                      <w:lang w:val="en-US" w:eastAsia="zh-CN"/>
                    </w:rPr>
                    <w:t>破碎粉尘</w:t>
                  </w:r>
                  <w:r>
                    <w:rPr>
                      <w:rFonts w:hint="eastAsia"/>
                      <w:sz w:val="21"/>
                      <w:szCs w:val="21"/>
                    </w:rPr>
                    <w:t>采用</w:t>
                  </w:r>
                  <w:r>
                    <w:rPr>
                      <w:rFonts w:hint="eastAsia"/>
                      <w:sz w:val="21"/>
                      <w:szCs w:val="21"/>
                      <w:lang w:val="en-US" w:eastAsia="zh-CN"/>
                    </w:rPr>
                    <w:t>集气罩+布袋</w:t>
                  </w:r>
                  <w:r>
                    <w:rPr>
                      <w:rFonts w:hint="eastAsia"/>
                      <w:sz w:val="21"/>
                      <w:szCs w:val="21"/>
                    </w:rPr>
                    <w:t>除尘</w:t>
                  </w:r>
                  <w:r>
                    <w:rPr>
                      <w:rFonts w:hint="eastAsia"/>
                      <w:sz w:val="21"/>
                      <w:szCs w:val="21"/>
                      <w:lang w:eastAsia="zh-CN"/>
                    </w:rPr>
                    <w:t>；</w:t>
                  </w:r>
                </w:p>
                <w:p w14:paraId="1E7B5B69">
                  <w:pPr>
                    <w:pStyle w:val="81"/>
                    <w:spacing w:line="240" w:lineRule="auto"/>
                    <w:ind w:firstLine="0" w:firstLineChars="0"/>
                    <w:rPr>
                      <w:rFonts w:hint="default" w:eastAsia="宋体"/>
                      <w:sz w:val="21"/>
                      <w:szCs w:val="21"/>
                      <w:vertAlign w:val="subscript"/>
                      <w:lang w:val="en-US" w:eastAsia="zh-CN"/>
                    </w:rPr>
                  </w:pPr>
                  <w:r>
                    <w:rPr>
                      <w:rFonts w:hint="eastAsia"/>
                      <w:sz w:val="21"/>
                      <w:szCs w:val="21"/>
                    </w:rPr>
                    <w:t>3.本项目</w:t>
                  </w:r>
                  <w:r>
                    <w:rPr>
                      <w:rFonts w:hint="eastAsia"/>
                      <w:sz w:val="21"/>
                      <w:szCs w:val="21"/>
                      <w:lang w:val="en-US" w:eastAsia="zh-CN"/>
                    </w:rPr>
                    <w:t>不产生NO</w:t>
                  </w:r>
                  <w:r>
                    <w:rPr>
                      <w:rFonts w:hint="eastAsia"/>
                      <w:sz w:val="21"/>
                      <w:szCs w:val="21"/>
                      <w:vertAlign w:val="subscript"/>
                      <w:lang w:val="en-US" w:eastAsia="zh-CN"/>
                    </w:rPr>
                    <w:t>X</w:t>
                  </w:r>
                  <w:r>
                    <w:rPr>
                      <w:rFonts w:hint="eastAsia"/>
                      <w:sz w:val="21"/>
                      <w:szCs w:val="21"/>
                      <w:vertAlign w:val="baseline"/>
                      <w:lang w:val="en-US" w:eastAsia="zh-CN"/>
                    </w:rPr>
                    <w:t>。</w:t>
                  </w:r>
                </w:p>
              </w:tc>
              <w:tc>
                <w:tcPr>
                  <w:tcW w:w="651" w:type="dxa"/>
                  <w:vAlign w:val="center"/>
                </w:tcPr>
                <w:p w14:paraId="081D13AA">
                  <w:pPr>
                    <w:pStyle w:val="81"/>
                    <w:spacing w:line="240" w:lineRule="auto"/>
                    <w:ind w:firstLine="0" w:firstLineChars="0"/>
                    <w:jc w:val="center"/>
                    <w:rPr>
                      <w:sz w:val="21"/>
                      <w:szCs w:val="21"/>
                    </w:rPr>
                  </w:pPr>
                  <w:r>
                    <w:rPr>
                      <w:sz w:val="21"/>
                      <w:szCs w:val="21"/>
                    </w:rPr>
                    <w:t>符合</w:t>
                  </w:r>
                </w:p>
              </w:tc>
            </w:tr>
            <w:tr w14:paraId="1F94F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14:paraId="7474C12A">
                  <w:pPr>
                    <w:pStyle w:val="81"/>
                    <w:spacing w:line="240" w:lineRule="auto"/>
                    <w:ind w:firstLine="0" w:firstLineChars="0"/>
                    <w:jc w:val="center"/>
                    <w:rPr>
                      <w:sz w:val="21"/>
                      <w:szCs w:val="21"/>
                    </w:rPr>
                  </w:pPr>
                  <w:r>
                    <w:rPr>
                      <w:rFonts w:hint="eastAsia"/>
                      <w:sz w:val="21"/>
                      <w:szCs w:val="21"/>
                    </w:rPr>
                    <w:t>无组织管控</w:t>
                  </w:r>
                </w:p>
              </w:tc>
              <w:tc>
                <w:tcPr>
                  <w:tcW w:w="4394" w:type="dxa"/>
                  <w:vAlign w:val="center"/>
                </w:tcPr>
                <w:p w14:paraId="2862F90F">
                  <w:pPr>
                    <w:pStyle w:val="81"/>
                    <w:numPr>
                      <w:ilvl w:val="0"/>
                      <w:numId w:val="5"/>
                    </w:numPr>
                    <w:spacing w:line="240" w:lineRule="auto"/>
                    <w:ind w:firstLine="0" w:firstLineChars="0"/>
                    <w:rPr>
                      <w:rFonts w:hint="eastAsia"/>
                      <w:sz w:val="21"/>
                      <w:szCs w:val="21"/>
                    </w:rPr>
                  </w:pPr>
                  <w:r>
                    <w:rPr>
                      <w:rFonts w:hint="eastAsia"/>
                      <w:sz w:val="21"/>
                      <w:szCs w:val="21"/>
                    </w:rPr>
                    <w:t>VOCs物料储存于密闭的容器、包装袋、储罐、储库、料仓中；盛装VOCs物料的容器或包装袋存放于室内；盛装VOCs物料的容器或包装袋在非取用状态时应加盖、封口，保持密闭；储存真实蒸气压≥76.6kPa的挥发性有机液体储罐，应采用低压罐、压力罐或其他等效措施；储存真实蒸气压≥10.3kPa但＜76.6kPa且储罐容积≥20m</w:t>
                  </w:r>
                  <w:r>
                    <w:rPr>
                      <w:rFonts w:hint="eastAsia"/>
                      <w:sz w:val="21"/>
                      <w:szCs w:val="21"/>
                      <w:vertAlign w:val="superscript"/>
                    </w:rPr>
                    <w:t>3</w:t>
                  </w:r>
                  <w:r>
                    <w:rPr>
                      <w:rFonts w:hint="eastAsia"/>
                      <w:sz w:val="21"/>
                      <w:szCs w:val="21"/>
                    </w:rPr>
                    <w:t>的挥发性有机液体储罐，以及储存真实蒸气压≥0.7kPa但＜10.3kPa且储罐容积≥30m</w:t>
                  </w:r>
                  <w:r>
                    <w:rPr>
                      <w:rFonts w:hint="eastAsia"/>
                      <w:sz w:val="21"/>
                      <w:szCs w:val="21"/>
                      <w:vertAlign w:val="superscript"/>
                    </w:rPr>
                    <w:t>3</w:t>
                  </w:r>
                  <w:r>
                    <w:rPr>
                      <w:rFonts w:hint="eastAsia"/>
                      <w:sz w:val="21"/>
                      <w:szCs w:val="21"/>
                    </w:rPr>
                    <w:t>的挥发性有机液体储罐，采用高级密封方式的浮顶罐或采用固定顶罐密闭排气至VOCs治理设施。</w:t>
                  </w:r>
                </w:p>
                <w:p w14:paraId="7BC805F1">
                  <w:pPr>
                    <w:pStyle w:val="81"/>
                    <w:numPr>
                      <w:ilvl w:val="0"/>
                      <w:numId w:val="5"/>
                    </w:numPr>
                    <w:spacing w:line="240" w:lineRule="auto"/>
                    <w:ind w:left="0" w:leftChars="0" w:firstLine="0" w:firstLineChars="0"/>
                    <w:rPr>
                      <w:rFonts w:hint="eastAsia"/>
                      <w:sz w:val="21"/>
                      <w:szCs w:val="21"/>
                    </w:rPr>
                  </w:pPr>
                  <w:r>
                    <w:rPr>
                      <w:rFonts w:hint="eastAsia"/>
                      <w:sz w:val="21"/>
                      <w:szCs w:val="21"/>
                    </w:rPr>
                    <w:t>粉状物料采取气力输送、管状带式输送机、螺旋输送机等自动化、密闭输送方式；粒状物料采用封闭皮带等自动化、封闭输送方式；液态VOCs物料采用密闭管道输送。</w:t>
                  </w:r>
                </w:p>
                <w:p w14:paraId="159E77E8">
                  <w:pPr>
                    <w:pStyle w:val="81"/>
                    <w:numPr>
                      <w:ilvl w:val="0"/>
                      <w:numId w:val="5"/>
                    </w:numPr>
                    <w:spacing w:line="240" w:lineRule="auto"/>
                    <w:ind w:left="0" w:leftChars="0" w:firstLine="0" w:firstLineChars="0"/>
                    <w:rPr>
                      <w:rFonts w:hint="eastAsia"/>
                      <w:sz w:val="21"/>
                      <w:szCs w:val="21"/>
                    </w:rPr>
                  </w:pPr>
                  <w:r>
                    <w:rPr>
                      <w:rFonts w:hint="eastAsia"/>
                      <w:sz w:val="21"/>
                      <w:szCs w:val="21"/>
                    </w:rPr>
                    <w:t>投料、挤塑、注塑、滚塑、吹塑、压延、挤出、造粒、热定型、冷却、发泡、熟化、干燥等涉VOCs工序采用密闭设备或在密闭空间内操作，废气收集至VOCs废气处理设施；采用局部气体收集的，距排风罩开口面最远处的VOCs无组织排放位置，控制风速不低于0.3m/s。</w:t>
                  </w:r>
                </w:p>
                <w:p w14:paraId="20D7B8B3">
                  <w:pPr>
                    <w:pStyle w:val="81"/>
                    <w:numPr>
                      <w:ilvl w:val="0"/>
                      <w:numId w:val="5"/>
                    </w:numPr>
                    <w:spacing w:line="240" w:lineRule="auto"/>
                    <w:ind w:left="0" w:leftChars="0" w:firstLine="0" w:firstLineChars="0"/>
                    <w:rPr>
                      <w:rFonts w:hint="eastAsia"/>
                      <w:sz w:val="21"/>
                      <w:szCs w:val="21"/>
                    </w:rPr>
                  </w:pPr>
                  <w:r>
                    <w:rPr>
                      <w:rFonts w:hint="eastAsia"/>
                      <w:sz w:val="21"/>
                      <w:szCs w:val="21"/>
                    </w:rPr>
                    <w:t>废吸附剂应采用密闭的包装袋或容器储存、转运，并建立储存、处置台账。</w:t>
                  </w:r>
                </w:p>
                <w:p w14:paraId="6B08AEDF">
                  <w:pPr>
                    <w:pStyle w:val="81"/>
                    <w:numPr>
                      <w:ilvl w:val="0"/>
                      <w:numId w:val="5"/>
                    </w:numPr>
                    <w:spacing w:line="240" w:lineRule="auto"/>
                    <w:ind w:left="0" w:leftChars="0" w:firstLine="0" w:firstLineChars="0"/>
                    <w:rPr>
                      <w:rFonts w:hint="eastAsia"/>
                      <w:sz w:val="21"/>
                      <w:szCs w:val="21"/>
                    </w:rPr>
                  </w:pPr>
                  <w:r>
                    <w:rPr>
                      <w:rFonts w:hint="eastAsia"/>
                      <w:sz w:val="21"/>
                      <w:szCs w:val="21"/>
                    </w:rPr>
                    <w:t>按照《挥发性有机物无组织排放控制标准》（GB37822-2019）相关要求，开展泄漏检测与修复工作。受控密封点在1000个及以上的企业，建立LDAR管理平台。</w:t>
                  </w:r>
                </w:p>
                <w:p w14:paraId="77E1F38E">
                  <w:pPr>
                    <w:pStyle w:val="81"/>
                    <w:numPr>
                      <w:ilvl w:val="0"/>
                      <w:numId w:val="0"/>
                    </w:numPr>
                    <w:spacing w:line="240" w:lineRule="auto"/>
                    <w:ind w:leftChars="0"/>
                    <w:rPr>
                      <w:sz w:val="21"/>
                      <w:szCs w:val="21"/>
                    </w:rPr>
                  </w:pPr>
                  <w:r>
                    <w:rPr>
                      <w:rFonts w:hint="eastAsia"/>
                      <w:sz w:val="21"/>
                      <w:szCs w:val="21"/>
                    </w:rPr>
                    <w:t>6、厂区道路硬化，并采取清扫、洒水等措施，保持整洁；车间内不得有可见粉尘外逸及明显异味。</w:t>
                  </w:r>
                </w:p>
              </w:tc>
              <w:tc>
                <w:tcPr>
                  <w:tcW w:w="3033" w:type="dxa"/>
                  <w:vAlign w:val="center"/>
                </w:tcPr>
                <w:p w14:paraId="24067405">
                  <w:pPr>
                    <w:pStyle w:val="81"/>
                    <w:spacing w:line="240" w:lineRule="auto"/>
                    <w:ind w:firstLine="0" w:firstLineChars="0"/>
                    <w:rPr>
                      <w:sz w:val="21"/>
                      <w:szCs w:val="21"/>
                    </w:rPr>
                  </w:pPr>
                  <w:r>
                    <w:rPr>
                      <w:rFonts w:hint="eastAsia"/>
                      <w:sz w:val="21"/>
                      <w:szCs w:val="21"/>
                    </w:rPr>
                    <w:t>1.本项目VOCs物料储</w:t>
                  </w:r>
                  <w:r>
                    <w:rPr>
                      <w:rFonts w:hint="eastAsia"/>
                      <w:sz w:val="21"/>
                      <w:szCs w:val="21"/>
                      <w:lang w:val="en-US" w:eastAsia="zh-CN"/>
                    </w:rPr>
                    <w:t>用</w:t>
                  </w:r>
                  <w:r>
                    <w:rPr>
                      <w:rFonts w:hint="eastAsia"/>
                      <w:sz w:val="21"/>
                      <w:szCs w:val="21"/>
                    </w:rPr>
                    <w:t>密闭的容器</w:t>
                  </w:r>
                  <w:r>
                    <w:rPr>
                      <w:rFonts w:hint="eastAsia"/>
                      <w:sz w:val="21"/>
                      <w:szCs w:val="21"/>
                      <w:lang w:val="en-US" w:eastAsia="zh-CN"/>
                    </w:rPr>
                    <w:t>存放于仓库</w:t>
                  </w:r>
                  <w:r>
                    <w:rPr>
                      <w:rFonts w:hint="eastAsia"/>
                      <w:sz w:val="21"/>
                      <w:szCs w:val="21"/>
                    </w:rPr>
                    <w:t>；</w:t>
                  </w:r>
                </w:p>
                <w:p w14:paraId="124F3750">
                  <w:pPr>
                    <w:keepNext w:val="0"/>
                    <w:keepLines w:val="0"/>
                    <w:widowControl/>
                    <w:suppressLineNumbers w:val="0"/>
                    <w:jc w:val="left"/>
                    <w:rPr>
                      <w:sz w:val="21"/>
                      <w:szCs w:val="21"/>
                    </w:rPr>
                  </w:pPr>
                  <w:r>
                    <w:rPr>
                      <w:rFonts w:hint="eastAsia"/>
                      <w:sz w:val="21"/>
                      <w:szCs w:val="21"/>
                    </w:rPr>
                    <w:t>2.</w:t>
                  </w:r>
                  <w:r>
                    <w:rPr>
                      <w:rFonts w:hint="eastAsia"/>
                      <w:sz w:val="21"/>
                      <w:szCs w:val="21"/>
                      <w:lang w:val="en-US" w:eastAsia="zh-CN"/>
                    </w:rPr>
                    <w:t>项目</w:t>
                  </w:r>
                  <w:r>
                    <w:rPr>
                      <w:rFonts w:hint="eastAsia" w:ascii="宋体" w:hAnsi="宋体" w:eastAsia="宋体" w:cs="宋体"/>
                      <w:color w:val="000000"/>
                      <w:kern w:val="0"/>
                      <w:sz w:val="21"/>
                      <w:szCs w:val="21"/>
                      <w:lang w:val="en-US" w:eastAsia="zh-CN" w:bidi="ar"/>
                    </w:rPr>
                    <w:t>项目塑料颗粒全部存放于包装袋内，</w:t>
                  </w:r>
                  <w:r>
                    <w:rPr>
                      <w:rFonts w:hint="eastAsia"/>
                      <w:sz w:val="21"/>
                      <w:szCs w:val="21"/>
                      <w:lang w:val="en-US" w:eastAsia="zh-CN"/>
                    </w:rPr>
                    <w:t>液态涂料</w:t>
                  </w:r>
                  <w:r>
                    <w:rPr>
                      <w:sz w:val="21"/>
                      <w:szCs w:val="21"/>
                    </w:rPr>
                    <w:t>；</w:t>
                  </w:r>
                </w:p>
                <w:p w14:paraId="1430FDE0">
                  <w:pPr>
                    <w:pStyle w:val="81"/>
                    <w:spacing w:line="240" w:lineRule="auto"/>
                    <w:ind w:firstLine="0" w:firstLineChars="0"/>
                    <w:rPr>
                      <w:sz w:val="21"/>
                      <w:szCs w:val="21"/>
                    </w:rPr>
                  </w:pPr>
                  <w:r>
                    <w:rPr>
                      <w:rFonts w:hint="eastAsia"/>
                      <w:sz w:val="21"/>
                      <w:szCs w:val="21"/>
                    </w:rPr>
                    <w:t>3.</w:t>
                  </w:r>
                  <w:r>
                    <w:rPr>
                      <w:rFonts w:hint="eastAsia"/>
                      <w:sz w:val="21"/>
                      <w:szCs w:val="21"/>
                      <w:lang w:val="en-US" w:eastAsia="zh-CN"/>
                    </w:rPr>
                    <w:t>项目</w:t>
                  </w:r>
                  <w:r>
                    <w:rPr>
                      <w:rFonts w:hint="eastAsia"/>
                      <w:sz w:val="21"/>
                      <w:szCs w:val="21"/>
                    </w:rPr>
                    <w:t>涉VOCs工序</w:t>
                  </w:r>
                  <w:r>
                    <w:rPr>
                      <w:rFonts w:hint="eastAsia"/>
                      <w:sz w:val="21"/>
                      <w:szCs w:val="21"/>
                      <w:lang w:val="en-US" w:eastAsia="zh-CN"/>
                    </w:rPr>
                    <w:t>注塑工序在密闭车间进行，废气通过集气罩+二级活性炭装置处理；喷涂工序密闭房间进行，废气通过水帘水洗柜除漆雾装置+吸附棉+二级活性炭处理</w:t>
                  </w:r>
                  <w:r>
                    <w:rPr>
                      <w:sz w:val="21"/>
                      <w:szCs w:val="21"/>
                    </w:rPr>
                    <w:t>；</w:t>
                  </w:r>
                </w:p>
                <w:p w14:paraId="661DF4C6">
                  <w:pPr>
                    <w:pStyle w:val="81"/>
                    <w:spacing w:line="240" w:lineRule="auto"/>
                    <w:ind w:firstLine="0" w:firstLineChars="0"/>
                    <w:rPr>
                      <w:sz w:val="21"/>
                      <w:szCs w:val="21"/>
                    </w:rPr>
                  </w:pPr>
                  <w:r>
                    <w:rPr>
                      <w:rFonts w:hint="eastAsia"/>
                      <w:sz w:val="21"/>
                      <w:szCs w:val="21"/>
                    </w:rPr>
                    <w:t>4.</w:t>
                  </w:r>
                  <w:r>
                    <w:rPr>
                      <w:rFonts w:hint="eastAsia"/>
                      <w:sz w:val="21"/>
                      <w:szCs w:val="21"/>
                      <w:lang w:val="en-US" w:eastAsia="zh-CN"/>
                    </w:rPr>
                    <w:t>废吸附棉和废活性炭密闭包装收集后存于危废暂存间并建立储存处置台账</w:t>
                  </w:r>
                  <w:r>
                    <w:rPr>
                      <w:rFonts w:hint="eastAsia"/>
                      <w:sz w:val="21"/>
                      <w:szCs w:val="21"/>
                    </w:rPr>
                    <w:t>；</w:t>
                  </w:r>
                </w:p>
                <w:p w14:paraId="43CF93AC">
                  <w:pPr>
                    <w:pStyle w:val="81"/>
                    <w:spacing w:line="240" w:lineRule="auto"/>
                    <w:ind w:firstLine="0" w:firstLineChars="0"/>
                    <w:rPr>
                      <w:rFonts w:hint="eastAsia"/>
                      <w:sz w:val="21"/>
                      <w:szCs w:val="21"/>
                      <w:lang w:eastAsia="zh-CN"/>
                    </w:rPr>
                  </w:pPr>
                  <w:r>
                    <w:rPr>
                      <w:rFonts w:hint="eastAsia"/>
                      <w:sz w:val="21"/>
                      <w:szCs w:val="21"/>
                    </w:rPr>
                    <w:t>5.项目建成后将开展泄漏检测与修复工作</w:t>
                  </w:r>
                  <w:r>
                    <w:rPr>
                      <w:rFonts w:hint="eastAsia"/>
                      <w:sz w:val="21"/>
                      <w:szCs w:val="21"/>
                      <w:lang w:eastAsia="zh-CN"/>
                    </w:rPr>
                    <w:t>；</w:t>
                  </w:r>
                </w:p>
                <w:p w14:paraId="6F271770">
                  <w:pPr>
                    <w:pStyle w:val="81"/>
                    <w:spacing w:line="240" w:lineRule="auto"/>
                    <w:ind w:firstLine="0" w:firstLineChars="0"/>
                    <w:rPr>
                      <w:rFonts w:hint="default" w:eastAsia="宋体"/>
                      <w:sz w:val="21"/>
                      <w:szCs w:val="21"/>
                      <w:lang w:val="en-US" w:eastAsia="zh-CN"/>
                    </w:rPr>
                  </w:pPr>
                  <w:r>
                    <w:rPr>
                      <w:rFonts w:hint="eastAsia"/>
                      <w:sz w:val="21"/>
                      <w:szCs w:val="21"/>
                      <w:lang w:val="en-US" w:eastAsia="zh-CN"/>
                    </w:rPr>
                    <w:t>6</w:t>
                  </w:r>
                  <w:r>
                    <w:rPr>
                      <w:rFonts w:hint="eastAsia"/>
                      <w:sz w:val="21"/>
                      <w:szCs w:val="21"/>
                    </w:rPr>
                    <w:t>.</w:t>
                  </w:r>
                  <w:r>
                    <w:rPr>
                      <w:rFonts w:hint="eastAsia"/>
                      <w:sz w:val="21"/>
                      <w:szCs w:val="21"/>
                      <w:lang w:val="en-US" w:eastAsia="zh-CN"/>
                    </w:rPr>
                    <w:t>厂区道路已硬化并采取定期清扫措施；项目车间粉尘产生量极少，肉眼难以可见；项目异味气体为苯乙烯，其经过收集后，无组排放的苯乙烯量非常小，不会出现明显异味。</w:t>
                  </w:r>
                </w:p>
              </w:tc>
              <w:tc>
                <w:tcPr>
                  <w:tcW w:w="651" w:type="dxa"/>
                  <w:vAlign w:val="center"/>
                </w:tcPr>
                <w:p w14:paraId="00624D05">
                  <w:pPr>
                    <w:pStyle w:val="81"/>
                    <w:spacing w:line="240" w:lineRule="auto"/>
                    <w:ind w:firstLine="0" w:firstLineChars="0"/>
                    <w:jc w:val="center"/>
                    <w:rPr>
                      <w:sz w:val="21"/>
                      <w:szCs w:val="21"/>
                    </w:rPr>
                  </w:pPr>
                  <w:r>
                    <w:rPr>
                      <w:sz w:val="21"/>
                      <w:szCs w:val="21"/>
                    </w:rPr>
                    <w:t>符合</w:t>
                  </w:r>
                </w:p>
              </w:tc>
            </w:tr>
            <w:tr w14:paraId="74C48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14:paraId="17CF6C5D">
                  <w:pPr>
                    <w:pStyle w:val="81"/>
                    <w:spacing w:line="240" w:lineRule="auto"/>
                    <w:ind w:firstLine="0" w:firstLineChars="0"/>
                    <w:jc w:val="center"/>
                    <w:rPr>
                      <w:sz w:val="21"/>
                      <w:szCs w:val="21"/>
                    </w:rPr>
                  </w:pPr>
                  <w:r>
                    <w:rPr>
                      <w:sz w:val="21"/>
                      <w:szCs w:val="21"/>
                    </w:rPr>
                    <w:t>排放限值</w:t>
                  </w:r>
                </w:p>
              </w:tc>
              <w:tc>
                <w:tcPr>
                  <w:tcW w:w="4394" w:type="dxa"/>
                  <w:vAlign w:val="center"/>
                </w:tcPr>
                <w:p w14:paraId="18F39E98">
                  <w:pPr>
                    <w:pStyle w:val="81"/>
                    <w:numPr>
                      <w:ilvl w:val="0"/>
                      <w:numId w:val="6"/>
                    </w:numPr>
                    <w:spacing w:line="240" w:lineRule="auto"/>
                    <w:ind w:firstLine="0" w:firstLineChars="0"/>
                    <w:rPr>
                      <w:rFonts w:hint="eastAsia"/>
                      <w:sz w:val="21"/>
                      <w:szCs w:val="21"/>
                    </w:rPr>
                  </w:pPr>
                  <w:r>
                    <w:rPr>
                      <w:rFonts w:hint="eastAsia"/>
                      <w:sz w:val="21"/>
                      <w:szCs w:val="21"/>
                    </w:rPr>
                    <w:t>全厂有组织PM、非甲烷总烃（NMHC）排放浓度分别不高于10、10mg/m</w:t>
                  </w:r>
                  <w:r>
                    <w:rPr>
                      <w:rFonts w:hint="eastAsia"/>
                      <w:sz w:val="21"/>
                      <w:szCs w:val="21"/>
                      <w:vertAlign w:val="superscript"/>
                    </w:rPr>
                    <w:t>3</w:t>
                  </w:r>
                  <w:r>
                    <w:rPr>
                      <w:rFonts w:hint="eastAsia"/>
                      <w:sz w:val="21"/>
                      <w:szCs w:val="21"/>
                    </w:rPr>
                    <w:t>。</w:t>
                  </w:r>
                </w:p>
                <w:p w14:paraId="6AB95AAA">
                  <w:pPr>
                    <w:pStyle w:val="81"/>
                    <w:numPr>
                      <w:ilvl w:val="0"/>
                      <w:numId w:val="0"/>
                    </w:numPr>
                    <w:spacing w:line="240" w:lineRule="auto"/>
                    <w:rPr>
                      <w:sz w:val="21"/>
                      <w:szCs w:val="21"/>
                    </w:rPr>
                  </w:pPr>
                  <w:r>
                    <w:rPr>
                      <w:rFonts w:hint="eastAsia"/>
                      <w:sz w:val="21"/>
                      <w:szCs w:val="21"/>
                    </w:rPr>
                    <w:t>2、VOCs治理设施同步运行率和去除率分别达到100%和80%；去除率确实达不到的，厂区内无组织排放监控点NMHC的1h平均浓度值不高于4mg/m</w:t>
                  </w:r>
                  <w:r>
                    <w:rPr>
                      <w:rFonts w:hint="eastAsia"/>
                      <w:sz w:val="21"/>
                      <w:szCs w:val="21"/>
                      <w:vertAlign w:val="superscript"/>
                    </w:rPr>
                    <w:t>3</w:t>
                  </w:r>
                  <w:r>
                    <w:rPr>
                      <w:rFonts w:hint="eastAsia"/>
                      <w:sz w:val="21"/>
                      <w:szCs w:val="21"/>
                    </w:rPr>
                    <w:t>，厂界NMHC小时平均浓度不高于2mg/m</w:t>
                  </w:r>
                  <w:r>
                    <w:rPr>
                      <w:rFonts w:hint="eastAsia"/>
                      <w:sz w:val="21"/>
                      <w:szCs w:val="21"/>
                      <w:vertAlign w:val="superscript"/>
                    </w:rPr>
                    <w:t>3</w:t>
                  </w:r>
                  <w:r>
                    <w:rPr>
                      <w:rFonts w:hint="eastAsia"/>
                      <w:sz w:val="21"/>
                      <w:szCs w:val="21"/>
                    </w:rPr>
                    <w:t>。</w:t>
                  </w:r>
                </w:p>
              </w:tc>
              <w:tc>
                <w:tcPr>
                  <w:tcW w:w="3033" w:type="dxa"/>
                  <w:vAlign w:val="center"/>
                </w:tcPr>
                <w:p w14:paraId="19AA8263">
                  <w:pPr>
                    <w:keepNext w:val="0"/>
                    <w:keepLines w:val="0"/>
                    <w:widowControl/>
                    <w:suppressLineNumbers w:val="0"/>
                    <w:jc w:val="left"/>
                    <w:rPr>
                      <w:rFonts w:hint="eastAsia" w:eastAsia="宋体"/>
                      <w:lang w:val="en-US" w:eastAsia="zh-CN"/>
                    </w:rPr>
                  </w:pPr>
                  <w:r>
                    <w:rPr>
                      <w:rFonts w:hint="eastAsia"/>
                      <w:sz w:val="21"/>
                      <w:szCs w:val="21"/>
                      <w:lang w:val="en-US" w:eastAsia="zh-CN"/>
                    </w:rPr>
                    <w:t>1.</w:t>
                  </w:r>
                  <w:r>
                    <w:rPr>
                      <w:rFonts w:hint="eastAsia" w:ascii="宋体" w:hAnsi="宋体" w:eastAsia="宋体" w:cs="宋体"/>
                      <w:color w:val="000000"/>
                      <w:kern w:val="0"/>
                      <w:sz w:val="21"/>
                      <w:szCs w:val="21"/>
                      <w:lang w:val="en-US" w:eastAsia="zh-CN" w:bidi="ar"/>
                    </w:rPr>
                    <w:t>全厂无有组织的</w:t>
                  </w:r>
                  <w:r>
                    <w:rPr>
                      <w:rFonts w:hint="default" w:ascii="Times New Roman" w:hAnsi="Times New Roman" w:eastAsia="宋体" w:cs="Times New Roman"/>
                      <w:color w:val="000000"/>
                      <w:kern w:val="0"/>
                      <w:sz w:val="21"/>
                      <w:szCs w:val="21"/>
                      <w:lang w:val="en-US" w:eastAsia="zh-CN" w:bidi="ar"/>
                    </w:rPr>
                    <w:t>PM</w:t>
                  </w:r>
                  <w:r>
                    <w:rPr>
                      <w:rFonts w:hint="eastAsia" w:ascii="宋体" w:hAnsi="宋体" w:eastAsia="宋体" w:cs="宋体"/>
                      <w:color w:val="000000"/>
                      <w:kern w:val="0"/>
                      <w:sz w:val="21"/>
                      <w:szCs w:val="21"/>
                      <w:lang w:val="en-US" w:eastAsia="zh-CN" w:bidi="ar"/>
                    </w:rPr>
                    <w:t>排放；</w:t>
                  </w:r>
                  <w:r>
                    <w:rPr>
                      <w:rFonts w:hint="eastAsia"/>
                      <w:sz w:val="21"/>
                      <w:szCs w:val="21"/>
                    </w:rPr>
                    <w:t>NMHC</w:t>
                  </w:r>
                  <w:r>
                    <w:rPr>
                      <w:rFonts w:hint="eastAsia"/>
                      <w:sz w:val="21"/>
                      <w:szCs w:val="21"/>
                      <w:lang w:val="en-US" w:eastAsia="zh-CN"/>
                    </w:rPr>
                    <w:t>排放浓度低于</w:t>
                  </w:r>
                  <w:r>
                    <w:rPr>
                      <w:rFonts w:hint="eastAsia"/>
                      <w:sz w:val="21"/>
                      <w:szCs w:val="21"/>
                    </w:rPr>
                    <w:t>10mg/m</w:t>
                  </w:r>
                  <w:r>
                    <w:rPr>
                      <w:rFonts w:hint="eastAsia"/>
                      <w:sz w:val="21"/>
                      <w:szCs w:val="21"/>
                      <w:vertAlign w:val="superscript"/>
                    </w:rPr>
                    <w:t>3</w:t>
                  </w:r>
                  <w:r>
                    <w:rPr>
                      <w:rFonts w:hint="eastAsia"/>
                      <w:sz w:val="21"/>
                      <w:szCs w:val="21"/>
                      <w:vertAlign w:val="baseline"/>
                      <w:lang w:eastAsia="zh-CN"/>
                    </w:rPr>
                    <w:t>；</w:t>
                  </w:r>
                </w:p>
                <w:p w14:paraId="02A502F1">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default" w:eastAsia="宋体"/>
                      <w:sz w:val="21"/>
                      <w:szCs w:val="21"/>
                      <w:lang w:val="en-US" w:eastAsia="zh-CN"/>
                    </w:rPr>
                  </w:pPr>
                  <w:r>
                    <w:rPr>
                      <w:rFonts w:hint="eastAsia"/>
                      <w:sz w:val="21"/>
                      <w:szCs w:val="21"/>
                      <w:lang w:val="en-US" w:eastAsia="zh-CN"/>
                    </w:rPr>
                    <w:t>2.</w:t>
                  </w:r>
                  <w:r>
                    <w:rPr>
                      <w:rFonts w:hint="eastAsia" w:ascii="宋体" w:hAnsi="宋体" w:eastAsia="宋体" w:cs="宋体"/>
                      <w:color w:val="000000"/>
                      <w:kern w:val="0"/>
                      <w:sz w:val="21"/>
                      <w:szCs w:val="21"/>
                      <w:lang w:val="en-US" w:eastAsia="zh-CN" w:bidi="ar"/>
                    </w:rPr>
                    <w:t>项目拟采取设备同步运行，同步运行率可达到</w:t>
                  </w:r>
                  <w:r>
                    <w:rPr>
                      <w:rFonts w:hint="default" w:ascii="Times New Roman" w:hAnsi="Times New Roman" w:eastAsia="宋体" w:cs="Times New Roman"/>
                      <w:color w:val="000000"/>
                      <w:kern w:val="0"/>
                      <w:sz w:val="21"/>
                      <w:szCs w:val="21"/>
                      <w:lang w:val="en-US" w:eastAsia="zh-CN" w:bidi="ar"/>
                    </w:rPr>
                    <w:t>100%</w:t>
                  </w:r>
                  <w:r>
                    <w:rPr>
                      <w:rFonts w:hint="eastAsia"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项目二级活性炭设计去除效率为</w:t>
                  </w:r>
                  <w:r>
                    <w:rPr>
                      <w:rFonts w:hint="default" w:ascii="Times New Roman" w:hAnsi="Times New Roman" w:eastAsia="宋体" w:cs="Times New Roman"/>
                      <w:color w:val="000000"/>
                      <w:kern w:val="0"/>
                      <w:sz w:val="21"/>
                      <w:szCs w:val="21"/>
                      <w:lang w:val="en-US" w:eastAsia="zh-CN" w:bidi="ar"/>
                    </w:rPr>
                    <w:t>90%</w:t>
                  </w:r>
                  <w:r>
                    <w:rPr>
                      <w:rFonts w:hint="eastAsia" w:ascii="宋体" w:hAnsi="宋体" w:eastAsia="宋体" w:cs="宋体"/>
                      <w:color w:val="000000"/>
                      <w:kern w:val="0"/>
                      <w:sz w:val="21"/>
                      <w:szCs w:val="21"/>
                      <w:lang w:val="en-US" w:eastAsia="zh-CN" w:bidi="ar"/>
                    </w:rPr>
                    <w:t>。</w:t>
                  </w:r>
                </w:p>
              </w:tc>
              <w:tc>
                <w:tcPr>
                  <w:tcW w:w="651" w:type="dxa"/>
                  <w:vAlign w:val="center"/>
                </w:tcPr>
                <w:p w14:paraId="2D1E8406">
                  <w:pPr>
                    <w:pStyle w:val="81"/>
                    <w:spacing w:line="240" w:lineRule="auto"/>
                    <w:ind w:firstLine="0" w:firstLineChars="0"/>
                    <w:jc w:val="center"/>
                    <w:rPr>
                      <w:sz w:val="21"/>
                      <w:szCs w:val="21"/>
                    </w:rPr>
                  </w:pPr>
                  <w:r>
                    <w:rPr>
                      <w:sz w:val="21"/>
                      <w:szCs w:val="21"/>
                    </w:rPr>
                    <w:t>符合</w:t>
                  </w:r>
                </w:p>
              </w:tc>
            </w:tr>
            <w:tr w14:paraId="59F9A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14:paraId="0C47BCF8">
                  <w:pPr>
                    <w:pStyle w:val="81"/>
                    <w:spacing w:line="240" w:lineRule="auto"/>
                    <w:ind w:firstLine="0" w:firstLineChars="0"/>
                    <w:jc w:val="center"/>
                    <w:rPr>
                      <w:sz w:val="21"/>
                      <w:szCs w:val="21"/>
                    </w:rPr>
                  </w:pPr>
                  <w:r>
                    <w:rPr>
                      <w:rFonts w:hint="eastAsia"/>
                      <w:sz w:val="21"/>
                      <w:szCs w:val="21"/>
                    </w:rPr>
                    <w:t>监测监控水平</w:t>
                  </w:r>
                </w:p>
              </w:tc>
              <w:tc>
                <w:tcPr>
                  <w:tcW w:w="4394" w:type="dxa"/>
                  <w:vAlign w:val="center"/>
                </w:tcPr>
                <w:p w14:paraId="6D827DD0">
                  <w:pPr>
                    <w:pStyle w:val="81"/>
                    <w:numPr>
                      <w:ilvl w:val="0"/>
                      <w:numId w:val="7"/>
                    </w:numPr>
                    <w:spacing w:line="240" w:lineRule="auto"/>
                    <w:ind w:firstLine="0" w:firstLineChars="0"/>
                    <w:jc w:val="center"/>
                    <w:rPr>
                      <w:rFonts w:hint="eastAsia"/>
                      <w:sz w:val="21"/>
                      <w:szCs w:val="21"/>
                    </w:rPr>
                  </w:pPr>
                  <w:r>
                    <w:rPr>
                      <w:rFonts w:hint="eastAsia"/>
                      <w:sz w:val="21"/>
                      <w:szCs w:val="21"/>
                    </w:rPr>
                    <w:t>重点排污单位及排污许可重点管理单位主要排口应当安装污染物排放自动监测设备（CEMS），并与生态环境主管部门的监控设备联网，数据保存一年以上（投产或安装时间不满一年以上的企业，以现有数据为准）。</w:t>
                  </w:r>
                </w:p>
                <w:p w14:paraId="5D42A781">
                  <w:pPr>
                    <w:pStyle w:val="81"/>
                    <w:numPr>
                      <w:ilvl w:val="0"/>
                      <w:numId w:val="7"/>
                    </w:numPr>
                    <w:spacing w:line="240" w:lineRule="auto"/>
                    <w:ind w:left="0" w:leftChars="0" w:firstLine="0" w:firstLineChars="0"/>
                    <w:jc w:val="both"/>
                    <w:rPr>
                      <w:rFonts w:hint="eastAsia"/>
                      <w:sz w:val="21"/>
                      <w:szCs w:val="21"/>
                    </w:rPr>
                  </w:pPr>
                  <w:r>
                    <w:rPr>
                      <w:rFonts w:hint="eastAsia"/>
                      <w:sz w:val="21"/>
                      <w:szCs w:val="21"/>
                    </w:rPr>
                    <w:t>按照排污许可证、行业自行监测指南或排污单位自行监测技术指南等相关要求开展自行监测。</w:t>
                  </w:r>
                </w:p>
                <w:p w14:paraId="1D4F2A88">
                  <w:pPr>
                    <w:pStyle w:val="81"/>
                    <w:numPr>
                      <w:ilvl w:val="0"/>
                      <w:numId w:val="7"/>
                    </w:numPr>
                    <w:spacing w:line="240" w:lineRule="auto"/>
                    <w:ind w:left="0" w:leftChars="0" w:firstLine="0" w:firstLineChars="0"/>
                    <w:jc w:val="both"/>
                    <w:rPr>
                      <w:rFonts w:hint="eastAsia"/>
                      <w:sz w:val="21"/>
                      <w:szCs w:val="21"/>
                    </w:rPr>
                  </w:pPr>
                  <w:r>
                    <w:rPr>
                      <w:rFonts w:hint="eastAsia"/>
                      <w:sz w:val="21"/>
                      <w:szCs w:val="21"/>
                    </w:rPr>
                    <w:t>涉气生产工序、生产装置及污染治理设施按要求安装用电监管设备，用电监管数据按要求与省、市生态环境部门用电监管平台联网。</w:t>
                  </w:r>
                </w:p>
                <w:p w14:paraId="69E2DD92">
                  <w:pPr>
                    <w:pStyle w:val="81"/>
                    <w:numPr>
                      <w:ilvl w:val="0"/>
                      <w:numId w:val="7"/>
                    </w:numPr>
                    <w:spacing w:line="240" w:lineRule="auto"/>
                    <w:ind w:left="0" w:leftChars="0" w:firstLine="0" w:firstLineChars="0"/>
                    <w:jc w:val="both"/>
                    <w:rPr>
                      <w:rFonts w:hint="eastAsia"/>
                      <w:sz w:val="21"/>
                      <w:szCs w:val="21"/>
                    </w:rPr>
                  </w:pPr>
                  <w:r>
                    <w:rPr>
                      <w:rFonts w:hint="eastAsia"/>
                      <w:sz w:val="21"/>
                      <w:szCs w:val="21"/>
                    </w:rPr>
                    <w:t>厂区货运进出口、无组织排放重点管控点位和在线监测站房安装高清视频监控设备，视频数据至少保存3个月。</w:t>
                  </w:r>
                </w:p>
                <w:p w14:paraId="7B774FC2">
                  <w:pPr>
                    <w:pStyle w:val="81"/>
                    <w:numPr>
                      <w:ilvl w:val="0"/>
                      <w:numId w:val="0"/>
                    </w:numPr>
                    <w:spacing w:line="240" w:lineRule="auto"/>
                    <w:ind w:leftChars="0"/>
                    <w:jc w:val="both"/>
                    <w:rPr>
                      <w:sz w:val="21"/>
                      <w:szCs w:val="21"/>
                    </w:rPr>
                  </w:pPr>
                  <w:r>
                    <w:rPr>
                      <w:rFonts w:hint="eastAsia"/>
                      <w:sz w:val="21"/>
                      <w:szCs w:val="21"/>
                    </w:rPr>
                    <w:t>5、企业主要环保设施及生产设施安装分布式控制系统（DCS）或可保存和查看历史数据的可编程控制系统（PLC），记录企业环保设施运行及相关生产过程主要参数，数据保存一年以上。</w:t>
                  </w:r>
                </w:p>
              </w:tc>
              <w:tc>
                <w:tcPr>
                  <w:tcW w:w="3033" w:type="dxa"/>
                  <w:vAlign w:val="center"/>
                </w:tcPr>
                <w:p w14:paraId="53F0F571">
                  <w:pPr>
                    <w:pStyle w:val="81"/>
                    <w:spacing w:line="240" w:lineRule="auto"/>
                    <w:ind w:firstLine="0" w:firstLineChars="0"/>
                    <w:jc w:val="center"/>
                    <w:rPr>
                      <w:rFonts w:hint="eastAsia"/>
                      <w:sz w:val="21"/>
                      <w:szCs w:val="21"/>
                    </w:rPr>
                  </w:pPr>
                  <w:r>
                    <w:rPr>
                      <w:rFonts w:hint="eastAsia"/>
                      <w:sz w:val="21"/>
                      <w:szCs w:val="21"/>
                    </w:rPr>
                    <w:t>1、项目不属于重点排污单位；</w:t>
                  </w:r>
                </w:p>
                <w:p w14:paraId="1FFEE71B">
                  <w:pPr>
                    <w:pStyle w:val="81"/>
                    <w:spacing w:line="240" w:lineRule="auto"/>
                    <w:ind w:firstLine="0" w:firstLineChars="0"/>
                    <w:jc w:val="both"/>
                    <w:rPr>
                      <w:rFonts w:hint="eastAsia"/>
                      <w:sz w:val="21"/>
                      <w:szCs w:val="21"/>
                    </w:rPr>
                  </w:pPr>
                  <w:r>
                    <w:rPr>
                      <w:rFonts w:hint="eastAsia"/>
                      <w:sz w:val="21"/>
                      <w:szCs w:val="21"/>
                    </w:rPr>
                    <w:t>2、项目将按照排污许可证、行业自行监测指南开展自行监测；</w:t>
                  </w:r>
                </w:p>
                <w:p w14:paraId="7DAC31D3">
                  <w:pPr>
                    <w:pStyle w:val="81"/>
                    <w:spacing w:line="240" w:lineRule="auto"/>
                    <w:ind w:firstLine="0" w:firstLineChars="0"/>
                    <w:jc w:val="both"/>
                    <w:rPr>
                      <w:rFonts w:hint="eastAsia"/>
                      <w:sz w:val="21"/>
                      <w:szCs w:val="21"/>
                    </w:rPr>
                  </w:pPr>
                  <w:r>
                    <w:rPr>
                      <w:rFonts w:hint="eastAsia"/>
                      <w:sz w:val="21"/>
                      <w:szCs w:val="21"/>
                    </w:rPr>
                    <w:t>3、本项目拟严格按照监测监控要求进行监测监控，并保存相</w:t>
                  </w:r>
                </w:p>
                <w:p w14:paraId="11EA9C95">
                  <w:pPr>
                    <w:pStyle w:val="81"/>
                    <w:spacing w:line="240" w:lineRule="auto"/>
                    <w:ind w:firstLine="0" w:firstLineChars="0"/>
                    <w:jc w:val="both"/>
                    <w:rPr>
                      <w:rFonts w:hint="eastAsia"/>
                      <w:sz w:val="21"/>
                      <w:szCs w:val="21"/>
                    </w:rPr>
                  </w:pPr>
                  <w:r>
                    <w:rPr>
                      <w:rFonts w:hint="eastAsia"/>
                      <w:sz w:val="21"/>
                      <w:szCs w:val="21"/>
                    </w:rPr>
                    <w:t>关数据。</w:t>
                  </w:r>
                </w:p>
              </w:tc>
              <w:tc>
                <w:tcPr>
                  <w:tcW w:w="651" w:type="dxa"/>
                  <w:vAlign w:val="center"/>
                </w:tcPr>
                <w:p w14:paraId="36C2A257">
                  <w:pPr>
                    <w:pStyle w:val="81"/>
                    <w:spacing w:line="240" w:lineRule="auto"/>
                    <w:ind w:firstLine="0" w:firstLineChars="0"/>
                    <w:jc w:val="center"/>
                    <w:rPr>
                      <w:sz w:val="21"/>
                      <w:szCs w:val="21"/>
                    </w:rPr>
                  </w:pPr>
                  <w:r>
                    <w:rPr>
                      <w:sz w:val="21"/>
                      <w:szCs w:val="21"/>
                    </w:rPr>
                    <w:t>符合</w:t>
                  </w:r>
                </w:p>
              </w:tc>
            </w:tr>
            <w:tr w14:paraId="12502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14:paraId="18EF2C19">
                  <w:pPr>
                    <w:pStyle w:val="81"/>
                    <w:spacing w:line="240" w:lineRule="auto"/>
                    <w:ind w:firstLine="0" w:firstLineChars="0"/>
                    <w:jc w:val="center"/>
                    <w:rPr>
                      <w:sz w:val="21"/>
                      <w:szCs w:val="21"/>
                    </w:rPr>
                  </w:pPr>
                  <w:r>
                    <w:rPr>
                      <w:rFonts w:hint="eastAsia"/>
                      <w:sz w:val="21"/>
                      <w:szCs w:val="21"/>
                    </w:rPr>
                    <w:t>环境管理水平</w:t>
                  </w:r>
                </w:p>
              </w:tc>
              <w:tc>
                <w:tcPr>
                  <w:tcW w:w="4394" w:type="dxa"/>
                  <w:vAlign w:val="center"/>
                </w:tcPr>
                <w:p w14:paraId="7D7A635B">
                  <w:pPr>
                    <w:pStyle w:val="81"/>
                    <w:spacing w:line="240" w:lineRule="auto"/>
                    <w:ind w:firstLine="0" w:firstLineChars="0"/>
                    <w:rPr>
                      <w:rFonts w:hint="eastAsia"/>
                      <w:sz w:val="21"/>
                      <w:szCs w:val="21"/>
                    </w:rPr>
                  </w:pPr>
                  <w:r>
                    <w:rPr>
                      <w:rFonts w:hint="eastAsia"/>
                      <w:sz w:val="21"/>
                      <w:szCs w:val="21"/>
                    </w:rPr>
                    <w:t>环保档案：1、环评批复文件和竣工环保验收文件或者环境现状评估备案证明；国家版排污许可证或固定污染物源排污登记回执；环境管理制度（有组织、无组织排放长效管理机制，主要包括岗位责任制度、达标公示制度和定期巡查维护制度等）；废气治理设施运行管理规程；5、一年内废气监测报告。</w:t>
                  </w:r>
                </w:p>
                <w:p w14:paraId="7641D896">
                  <w:pPr>
                    <w:pStyle w:val="81"/>
                    <w:spacing w:line="240" w:lineRule="auto"/>
                    <w:ind w:firstLine="0" w:firstLineChars="0"/>
                    <w:rPr>
                      <w:rFonts w:hint="eastAsia"/>
                      <w:sz w:val="21"/>
                      <w:szCs w:val="21"/>
                    </w:rPr>
                  </w:pPr>
                  <w:r>
                    <w:rPr>
                      <w:rFonts w:hint="eastAsia"/>
                      <w:sz w:val="21"/>
                      <w:szCs w:val="21"/>
                    </w:rPr>
                    <w:t>台账记录：1、生产设施运行管理信息（生产时间、运行负荷、产品产量等）；2、废气污染治理设施运行管理信息；3、监测记录信息（主要污染排放口废气排放记录等）；4、主要原辅材料消耗记录；5、燃料消耗记录；6、一般固废、危废处理记录；7、运输车辆、厂内车辆、非道路移动机械电子台账（进出场时间、车辆或非道路移动机械信息、运送货物名称及运量等）。</w:t>
                  </w:r>
                </w:p>
                <w:p w14:paraId="7450BB64">
                  <w:pPr>
                    <w:pStyle w:val="81"/>
                    <w:spacing w:line="240" w:lineRule="auto"/>
                    <w:ind w:firstLine="0" w:firstLineChars="0"/>
                    <w:rPr>
                      <w:rFonts w:hint="eastAsia" w:eastAsia="宋体"/>
                      <w:sz w:val="21"/>
                      <w:szCs w:val="21"/>
                      <w:lang w:eastAsia="zh-CN"/>
                    </w:rPr>
                  </w:pPr>
                  <w:r>
                    <w:rPr>
                      <w:rFonts w:hint="eastAsia"/>
                      <w:sz w:val="21"/>
                      <w:szCs w:val="21"/>
                    </w:rPr>
                    <w:t>人员配置：配备专职环保人员，并具备相应的环境管理能力（学历、培训、从业经验等）</w:t>
                  </w:r>
                  <w:r>
                    <w:rPr>
                      <w:rFonts w:hint="eastAsia"/>
                      <w:sz w:val="21"/>
                      <w:szCs w:val="21"/>
                      <w:lang w:eastAsia="zh-CN"/>
                    </w:rPr>
                    <w:t>。</w:t>
                  </w:r>
                </w:p>
              </w:tc>
              <w:tc>
                <w:tcPr>
                  <w:tcW w:w="3033" w:type="dxa"/>
                  <w:vAlign w:val="center"/>
                </w:tcPr>
                <w:p w14:paraId="5E560856">
                  <w:pPr>
                    <w:pStyle w:val="81"/>
                    <w:spacing w:line="240" w:lineRule="auto"/>
                    <w:ind w:firstLine="0" w:firstLineChars="0"/>
                    <w:jc w:val="center"/>
                    <w:rPr>
                      <w:sz w:val="21"/>
                      <w:szCs w:val="21"/>
                    </w:rPr>
                  </w:pPr>
                  <w:r>
                    <w:rPr>
                      <w:rFonts w:hint="eastAsia"/>
                      <w:sz w:val="21"/>
                      <w:szCs w:val="21"/>
                    </w:rPr>
                    <w:t>本项目拟严格按照该指南的环境管理水平要求建立环保档案，做好台账记录并进行相应的人员配置</w:t>
                  </w:r>
                </w:p>
              </w:tc>
              <w:tc>
                <w:tcPr>
                  <w:tcW w:w="651" w:type="dxa"/>
                  <w:vAlign w:val="center"/>
                </w:tcPr>
                <w:p w14:paraId="18D40665">
                  <w:pPr>
                    <w:pStyle w:val="81"/>
                    <w:spacing w:line="240" w:lineRule="auto"/>
                    <w:ind w:firstLine="0" w:firstLineChars="0"/>
                    <w:jc w:val="center"/>
                    <w:rPr>
                      <w:sz w:val="21"/>
                      <w:szCs w:val="21"/>
                    </w:rPr>
                  </w:pPr>
                  <w:r>
                    <w:rPr>
                      <w:sz w:val="21"/>
                      <w:szCs w:val="21"/>
                    </w:rPr>
                    <w:t>符合</w:t>
                  </w:r>
                </w:p>
              </w:tc>
            </w:tr>
            <w:tr w14:paraId="21712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14:paraId="3C41C6BD">
                  <w:pPr>
                    <w:pStyle w:val="81"/>
                    <w:spacing w:line="240" w:lineRule="auto"/>
                    <w:ind w:firstLine="0" w:firstLineChars="0"/>
                    <w:jc w:val="center"/>
                    <w:rPr>
                      <w:rFonts w:hint="eastAsia"/>
                      <w:sz w:val="21"/>
                      <w:szCs w:val="21"/>
                    </w:rPr>
                  </w:pPr>
                  <w:r>
                    <w:rPr>
                      <w:rFonts w:hint="eastAsia"/>
                      <w:sz w:val="21"/>
                      <w:szCs w:val="21"/>
                    </w:rPr>
                    <w:t>运输方式</w:t>
                  </w:r>
                </w:p>
              </w:tc>
              <w:tc>
                <w:tcPr>
                  <w:tcW w:w="4394" w:type="dxa"/>
                  <w:vAlign w:val="center"/>
                </w:tcPr>
                <w:p w14:paraId="0425EDFC">
                  <w:pPr>
                    <w:pStyle w:val="81"/>
                    <w:numPr>
                      <w:ilvl w:val="0"/>
                      <w:numId w:val="8"/>
                    </w:numPr>
                    <w:spacing w:line="240" w:lineRule="auto"/>
                    <w:ind w:firstLine="0" w:firstLineChars="0"/>
                    <w:rPr>
                      <w:rFonts w:hint="eastAsia"/>
                      <w:sz w:val="21"/>
                      <w:szCs w:val="21"/>
                    </w:rPr>
                  </w:pPr>
                  <w:r>
                    <w:rPr>
                      <w:rFonts w:hint="eastAsia"/>
                      <w:sz w:val="21"/>
                      <w:szCs w:val="21"/>
                    </w:rPr>
                    <w:t>物料、产品公路运输全部使用国五及以上排放标准重型载货车辆（含燃气）或新能源车辆等清洁运输方式。</w:t>
                  </w:r>
                </w:p>
                <w:p w14:paraId="64CB17E7">
                  <w:pPr>
                    <w:pStyle w:val="81"/>
                    <w:numPr>
                      <w:ilvl w:val="0"/>
                      <w:numId w:val="8"/>
                    </w:numPr>
                    <w:spacing w:line="240" w:lineRule="auto"/>
                    <w:ind w:left="0" w:leftChars="0" w:firstLine="0" w:firstLineChars="0"/>
                    <w:rPr>
                      <w:rFonts w:hint="eastAsia"/>
                      <w:sz w:val="21"/>
                      <w:szCs w:val="21"/>
                    </w:rPr>
                  </w:pPr>
                  <w:r>
                    <w:rPr>
                      <w:rFonts w:hint="eastAsia"/>
                      <w:sz w:val="21"/>
                      <w:szCs w:val="21"/>
                    </w:rPr>
                    <w:t>厂内运输车辆全部达到国五及以上排放标准（含燃气）或使用新能源车辆。</w:t>
                  </w:r>
                </w:p>
                <w:p w14:paraId="3568EE47">
                  <w:pPr>
                    <w:pStyle w:val="81"/>
                    <w:numPr>
                      <w:ilvl w:val="0"/>
                      <w:numId w:val="0"/>
                    </w:numPr>
                    <w:spacing w:line="240" w:lineRule="auto"/>
                    <w:ind w:leftChars="0"/>
                    <w:rPr>
                      <w:rFonts w:hint="eastAsia"/>
                      <w:sz w:val="21"/>
                      <w:szCs w:val="21"/>
                    </w:rPr>
                  </w:pPr>
                  <w:r>
                    <w:rPr>
                      <w:rFonts w:hint="eastAsia"/>
                      <w:sz w:val="21"/>
                      <w:szCs w:val="21"/>
                    </w:rPr>
                    <w:t>3、厂内非道路移动机械全部达到国三及以上排放标准或使用新能源机械。</w:t>
                  </w:r>
                </w:p>
              </w:tc>
              <w:tc>
                <w:tcPr>
                  <w:tcW w:w="3033" w:type="dxa"/>
                  <w:vAlign w:val="center"/>
                </w:tcPr>
                <w:p w14:paraId="027D72B8">
                  <w:pPr>
                    <w:pStyle w:val="81"/>
                    <w:spacing w:line="240" w:lineRule="auto"/>
                    <w:ind w:firstLine="0" w:firstLineChars="0"/>
                    <w:jc w:val="center"/>
                    <w:rPr>
                      <w:rFonts w:hint="eastAsia"/>
                      <w:sz w:val="21"/>
                      <w:szCs w:val="21"/>
                    </w:rPr>
                  </w:pPr>
                  <w:r>
                    <w:rPr>
                      <w:rFonts w:hint="eastAsia"/>
                      <w:sz w:val="21"/>
                      <w:szCs w:val="21"/>
                    </w:rPr>
                    <w:t>本项目拟严格按照该指南的运输方式要求运输物料、产品。</w:t>
                  </w:r>
                </w:p>
              </w:tc>
              <w:tc>
                <w:tcPr>
                  <w:tcW w:w="651" w:type="dxa"/>
                  <w:vAlign w:val="center"/>
                </w:tcPr>
                <w:p w14:paraId="4483416F">
                  <w:pPr>
                    <w:pStyle w:val="81"/>
                    <w:spacing w:line="240" w:lineRule="auto"/>
                    <w:ind w:firstLine="0" w:firstLineChars="0"/>
                    <w:jc w:val="center"/>
                    <w:rPr>
                      <w:rFonts w:hint="eastAsia" w:eastAsia="宋体"/>
                      <w:sz w:val="21"/>
                      <w:szCs w:val="21"/>
                      <w:lang w:val="en-US" w:eastAsia="zh-CN"/>
                    </w:rPr>
                  </w:pPr>
                  <w:r>
                    <w:rPr>
                      <w:rFonts w:hint="eastAsia"/>
                      <w:sz w:val="21"/>
                      <w:szCs w:val="21"/>
                      <w:lang w:val="en-US" w:eastAsia="zh-CN"/>
                    </w:rPr>
                    <w:t>符合</w:t>
                  </w:r>
                </w:p>
              </w:tc>
            </w:tr>
            <w:tr w14:paraId="3BC02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14:paraId="14CB258F">
                  <w:pPr>
                    <w:pStyle w:val="81"/>
                    <w:spacing w:line="240" w:lineRule="auto"/>
                    <w:ind w:firstLine="0" w:firstLineChars="0"/>
                    <w:jc w:val="center"/>
                    <w:rPr>
                      <w:rFonts w:hint="eastAsia"/>
                      <w:sz w:val="21"/>
                      <w:szCs w:val="21"/>
                    </w:rPr>
                  </w:pPr>
                  <w:r>
                    <w:rPr>
                      <w:rFonts w:hint="eastAsia"/>
                      <w:sz w:val="21"/>
                      <w:szCs w:val="21"/>
                    </w:rPr>
                    <w:t>运输监管</w:t>
                  </w:r>
                </w:p>
              </w:tc>
              <w:tc>
                <w:tcPr>
                  <w:tcW w:w="4394" w:type="dxa"/>
                  <w:vAlign w:val="center"/>
                </w:tcPr>
                <w:p w14:paraId="1A1158A6">
                  <w:pPr>
                    <w:pStyle w:val="81"/>
                    <w:numPr>
                      <w:ilvl w:val="0"/>
                      <w:numId w:val="0"/>
                    </w:numPr>
                    <w:spacing w:line="240" w:lineRule="auto"/>
                    <w:ind w:leftChars="0"/>
                    <w:rPr>
                      <w:rFonts w:hint="eastAsia"/>
                      <w:sz w:val="21"/>
                      <w:szCs w:val="21"/>
                    </w:rPr>
                  </w:pPr>
                  <w:r>
                    <w:rPr>
                      <w:rFonts w:hint="eastAsia"/>
                      <w:sz w:val="21"/>
                      <w:szCs w:val="21"/>
                    </w:rPr>
                    <w:t>参照《重污染天气重点行业移动源应急管理技术指南》建立门禁系统和电子台账。</w:t>
                  </w:r>
                </w:p>
              </w:tc>
              <w:tc>
                <w:tcPr>
                  <w:tcW w:w="3033" w:type="dxa"/>
                  <w:vAlign w:val="center"/>
                </w:tcPr>
                <w:p w14:paraId="4AD78D99">
                  <w:pPr>
                    <w:pStyle w:val="81"/>
                    <w:spacing w:line="240" w:lineRule="auto"/>
                    <w:ind w:firstLine="0" w:firstLineChars="0"/>
                    <w:jc w:val="center"/>
                    <w:rPr>
                      <w:rFonts w:hint="eastAsia" w:eastAsia="宋体"/>
                      <w:sz w:val="21"/>
                      <w:szCs w:val="21"/>
                      <w:lang w:eastAsia="zh-CN"/>
                    </w:rPr>
                  </w:pPr>
                  <w:r>
                    <w:rPr>
                      <w:rFonts w:hint="eastAsia"/>
                      <w:sz w:val="21"/>
                      <w:szCs w:val="21"/>
                    </w:rPr>
                    <w:t>本项目拟参照《重污染天气重点行业移动源应急管理技术指南》建立门禁系统和电子台账</w:t>
                  </w:r>
                  <w:r>
                    <w:rPr>
                      <w:rFonts w:hint="eastAsia"/>
                      <w:sz w:val="21"/>
                      <w:szCs w:val="21"/>
                      <w:lang w:eastAsia="zh-CN"/>
                    </w:rPr>
                    <w:t>，</w:t>
                  </w:r>
                </w:p>
              </w:tc>
              <w:tc>
                <w:tcPr>
                  <w:tcW w:w="651" w:type="dxa"/>
                  <w:vAlign w:val="center"/>
                </w:tcPr>
                <w:p w14:paraId="4D095BB6">
                  <w:pPr>
                    <w:pStyle w:val="81"/>
                    <w:spacing w:line="240" w:lineRule="auto"/>
                    <w:ind w:firstLine="0" w:firstLineChars="0"/>
                    <w:jc w:val="center"/>
                    <w:rPr>
                      <w:rFonts w:hint="default"/>
                      <w:sz w:val="21"/>
                      <w:szCs w:val="21"/>
                      <w:lang w:val="en-US" w:eastAsia="zh-CN"/>
                    </w:rPr>
                  </w:pPr>
                  <w:r>
                    <w:rPr>
                      <w:rFonts w:hint="eastAsia"/>
                      <w:sz w:val="21"/>
                      <w:szCs w:val="21"/>
                      <w:lang w:val="en-US" w:eastAsia="zh-CN"/>
                    </w:rPr>
                    <w:t>符合</w:t>
                  </w:r>
                </w:p>
              </w:tc>
            </w:tr>
          </w:tbl>
          <w:p w14:paraId="4452D34D">
            <w:pPr>
              <w:pStyle w:val="5"/>
              <w:spacing w:line="360" w:lineRule="auto"/>
              <w:ind w:left="0" w:leftChars="0" w:firstLine="420" w:firstLineChars="200"/>
              <w:rPr>
                <w:rFonts w:hint="default"/>
                <w:b w:val="0"/>
                <w:bCs w:val="0"/>
                <w:sz w:val="21"/>
                <w:szCs w:val="21"/>
              </w:rPr>
            </w:pPr>
            <w:r>
              <w:rPr>
                <w:rFonts w:hint="default"/>
                <w:b w:val="0"/>
                <w:bCs w:val="0"/>
                <w:sz w:val="21"/>
                <w:szCs w:val="21"/>
              </w:rPr>
              <w:t>根据上述分析，本项目符合《四川省重污染天气金属表面处理及热处理加工等10个行业应急减排措施制定技术指南（试行）》中塑料制品业的引领性指标、要求。</w:t>
            </w:r>
          </w:p>
          <w:p w14:paraId="658F3AF3">
            <w:pPr>
              <w:bidi w:val="0"/>
              <w:spacing w:line="360" w:lineRule="auto"/>
              <w:rPr>
                <w:rFonts w:hint="default"/>
                <w:b/>
                <w:bCs/>
                <w:highlight w:val="none"/>
              </w:rPr>
            </w:pPr>
            <w:r>
              <w:rPr>
                <w:rFonts w:hint="default"/>
                <w:b/>
                <w:bCs/>
                <w:highlight w:val="none"/>
              </w:rPr>
              <w:t>（</w:t>
            </w:r>
            <w:r>
              <w:rPr>
                <w:rFonts w:hint="eastAsia"/>
                <w:b/>
                <w:bCs/>
                <w:highlight w:val="none"/>
                <w:lang w:val="en-US" w:eastAsia="zh-CN"/>
              </w:rPr>
              <w:t>5</w:t>
            </w:r>
            <w:r>
              <w:rPr>
                <w:rFonts w:hint="default"/>
                <w:b/>
                <w:bCs/>
                <w:highlight w:val="none"/>
              </w:rPr>
              <w:t>）与水污染防治符合性</w:t>
            </w:r>
          </w:p>
          <w:p w14:paraId="58AFA56E">
            <w:pPr>
              <w:bidi w:val="0"/>
              <w:spacing w:line="360" w:lineRule="auto"/>
              <w:ind w:firstLine="420" w:firstLineChars="200"/>
              <w:rPr>
                <w:rFonts w:hint="default"/>
              </w:rPr>
            </w:pPr>
            <w:r>
              <w:rPr>
                <w:rFonts w:hint="default"/>
              </w:rPr>
              <w:t>项目与《国务院关于印发水污染防治行动计划的通知》（国发〔2015〕17号）、《涪江流域（遂宁段）水环境治理工作方案（试行）》（遂府函〔2017〕155号）和《关于印发四川省打赢蓝天保卫战等九个实施方案的通知》川府发〔2019〕4号的符合性分析如下：</w:t>
            </w:r>
          </w:p>
          <w:p w14:paraId="28834495">
            <w:pPr>
              <w:bidi w:val="0"/>
              <w:spacing w:line="240" w:lineRule="auto"/>
              <w:jc w:val="center"/>
              <w:rPr>
                <w:rFonts w:hint="default"/>
                <w:b/>
                <w:bCs/>
              </w:rPr>
            </w:pPr>
            <w:r>
              <w:rPr>
                <w:rFonts w:hint="default"/>
                <w:b/>
                <w:bCs/>
              </w:rPr>
              <w:t>表1-</w:t>
            </w:r>
            <w:r>
              <w:rPr>
                <w:rFonts w:hint="eastAsia"/>
                <w:b/>
                <w:bCs/>
                <w:lang w:val="en-US" w:eastAsia="zh-CN"/>
              </w:rPr>
              <w:t>6</w:t>
            </w:r>
            <w:r>
              <w:rPr>
                <w:rFonts w:hint="default"/>
                <w:b/>
                <w:bCs/>
              </w:rPr>
              <w:t>与水污染防治符合性</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69"/>
              <w:gridCol w:w="4544"/>
              <w:gridCol w:w="1898"/>
              <w:gridCol w:w="793"/>
            </w:tblGrid>
            <w:tr w14:paraId="50527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1269" w:type="dxa"/>
                  <w:noWrap w:val="0"/>
                  <w:vAlign w:val="center"/>
                </w:tcPr>
                <w:p w14:paraId="09812E99">
                  <w:pPr>
                    <w:widowControl/>
                    <w:adjustRightInd w:val="0"/>
                    <w:snapToGrid w:val="0"/>
                    <w:spacing w:line="240" w:lineRule="auto"/>
                    <w:jc w:val="center"/>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水污染防治文件</w:t>
                  </w:r>
                </w:p>
              </w:tc>
              <w:tc>
                <w:tcPr>
                  <w:tcW w:w="4544" w:type="dxa"/>
                  <w:noWrap w:val="0"/>
                  <w:vAlign w:val="center"/>
                </w:tcPr>
                <w:p w14:paraId="6D6A1077">
                  <w:pPr>
                    <w:widowControl/>
                    <w:adjustRightInd w:val="0"/>
                    <w:snapToGrid w:val="0"/>
                    <w:spacing w:line="240" w:lineRule="auto"/>
                    <w:jc w:val="center"/>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政策要求</w:t>
                  </w:r>
                </w:p>
              </w:tc>
              <w:tc>
                <w:tcPr>
                  <w:tcW w:w="1898" w:type="dxa"/>
                  <w:noWrap w:val="0"/>
                  <w:vAlign w:val="center"/>
                </w:tcPr>
                <w:p w14:paraId="013090AD">
                  <w:pPr>
                    <w:widowControl/>
                    <w:adjustRightInd w:val="0"/>
                    <w:snapToGrid w:val="0"/>
                    <w:spacing w:line="240" w:lineRule="auto"/>
                    <w:jc w:val="center"/>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本项目情况</w:t>
                  </w:r>
                </w:p>
              </w:tc>
              <w:tc>
                <w:tcPr>
                  <w:tcW w:w="793" w:type="dxa"/>
                  <w:noWrap w:val="0"/>
                  <w:vAlign w:val="center"/>
                </w:tcPr>
                <w:p w14:paraId="534F9668">
                  <w:pPr>
                    <w:widowControl/>
                    <w:adjustRightInd w:val="0"/>
                    <w:snapToGrid w:val="0"/>
                    <w:spacing w:line="240" w:lineRule="auto"/>
                    <w:jc w:val="center"/>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符合性</w:t>
                  </w:r>
                </w:p>
              </w:tc>
            </w:tr>
            <w:tr w14:paraId="280C4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69" w:type="dxa"/>
                  <w:vMerge w:val="restart"/>
                  <w:noWrap w:val="0"/>
                  <w:vAlign w:val="center"/>
                </w:tcPr>
                <w:p w14:paraId="2CBBEDDD">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国务院关于印发水污染防治行动计划的通知“国发〔2015〕17号”</w:t>
                  </w:r>
                </w:p>
              </w:tc>
              <w:tc>
                <w:tcPr>
                  <w:tcW w:w="4544" w:type="dxa"/>
                  <w:noWrap w:val="0"/>
                  <w:vAlign w:val="center"/>
                </w:tcPr>
                <w:p w14:paraId="072056F9">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一）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898" w:type="dxa"/>
                  <w:noWrap w:val="0"/>
                  <w:vAlign w:val="center"/>
                </w:tcPr>
                <w:p w14:paraId="4BA9892C">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项目均不属于“十小”企业，不属于取缔项目</w:t>
                  </w:r>
                </w:p>
              </w:tc>
              <w:tc>
                <w:tcPr>
                  <w:tcW w:w="793" w:type="dxa"/>
                  <w:noWrap w:val="0"/>
                  <w:vAlign w:val="center"/>
                </w:tcPr>
                <w:p w14:paraId="5E14D677">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r w14:paraId="309D1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69" w:type="dxa"/>
                  <w:vMerge w:val="continue"/>
                  <w:noWrap w:val="0"/>
                  <w:vAlign w:val="center"/>
                </w:tcPr>
                <w:p w14:paraId="483AED27">
                  <w:pPr>
                    <w:widowControl/>
                    <w:adjustRightInd w:val="0"/>
                    <w:snapToGrid w:val="0"/>
                    <w:spacing w:line="240" w:lineRule="auto"/>
                    <w:jc w:val="center"/>
                    <w:rPr>
                      <w:rFonts w:hint="default" w:ascii="Times New Roman" w:hAnsi="Times New Roman" w:cs="Times New Roman"/>
                      <w:bCs/>
                      <w:kern w:val="0"/>
                      <w:sz w:val="21"/>
                      <w:szCs w:val="21"/>
                    </w:rPr>
                  </w:pPr>
                </w:p>
              </w:tc>
              <w:tc>
                <w:tcPr>
                  <w:tcW w:w="4544" w:type="dxa"/>
                  <w:noWrap w:val="0"/>
                  <w:vAlign w:val="center"/>
                </w:tcPr>
                <w:p w14:paraId="7E117308">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六）优化空间布局。合理确定发展布局、结构和规模。充分考虑水资源、水环境承载能力，以水定城、以水定地、以水定人、以水定产。重大项目原则上布局在优化开发区和重点开发区，并符合城乡规划和土地利用总体规划。…，严格控制缺水地区、水污染严重地区和敏感区域高耗水、高污染行业发展，新建、改建、扩建重点行业建设项目实行主要污染物排放减量置换。七大重点流域干流沿岸，要严格控制石油加工、化学原料和化学制品制造、医药制造、化学纤维制造、有色金属冶炼、纺织印染等项目环境风险，合理布局生产装置及危险化学品仓储等设施。</w:t>
                  </w:r>
                </w:p>
              </w:tc>
              <w:tc>
                <w:tcPr>
                  <w:tcW w:w="1898" w:type="dxa"/>
                  <w:noWrap w:val="0"/>
                  <w:vAlign w:val="center"/>
                </w:tcPr>
                <w:p w14:paraId="6769643D">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项目厂址所在区域不属于缺水地区、水污染严重地区和敏感区域；项目属于</w:t>
                  </w:r>
                  <w:r>
                    <w:rPr>
                      <w:rFonts w:hint="default" w:ascii="Times New Roman" w:hAnsi="Times New Roman" w:eastAsia="宋体" w:cs="Times New Roman"/>
                      <w:color w:val="000000"/>
                      <w:kern w:val="0"/>
                      <w:sz w:val="21"/>
                      <w:szCs w:val="21"/>
                      <w:lang w:val="en-US" w:eastAsia="zh-CN" w:bidi="ar"/>
                    </w:rPr>
                    <w:t>C2929</w:t>
                  </w:r>
                  <w:r>
                    <w:rPr>
                      <w:rFonts w:hint="eastAsia" w:ascii="宋体" w:hAnsi="宋体" w:eastAsia="宋体" w:cs="宋体"/>
                      <w:color w:val="000000"/>
                      <w:kern w:val="0"/>
                      <w:sz w:val="21"/>
                      <w:szCs w:val="21"/>
                      <w:lang w:val="en-US" w:eastAsia="zh-CN" w:bidi="ar"/>
                    </w:rPr>
                    <w:t>塑料零件及其他塑料制品制造</w:t>
                  </w:r>
                  <w:r>
                    <w:rPr>
                      <w:rFonts w:hint="eastAsia" w:ascii="宋体" w:hAnsi="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C3670</w:t>
                  </w:r>
                  <w:r>
                    <w:rPr>
                      <w:rFonts w:hint="default" w:ascii="Times New Roman" w:hAnsi="Times New Roman" w:eastAsia="宋体" w:cs="Times New Roman"/>
                      <w:color w:val="000000" w:themeColor="text1"/>
                      <w:sz w:val="21"/>
                      <w:szCs w:val="21"/>
                      <w14:textFill>
                        <w14:solidFill>
                          <w14:schemeClr w14:val="tx1"/>
                        </w14:solidFill>
                      </w14:textFill>
                    </w:rPr>
                    <w:t>汽车零部件及配件制造</w:t>
                  </w:r>
                  <w:r>
                    <w:rPr>
                      <w:rFonts w:hint="default" w:ascii="Times New Roman" w:hAnsi="Times New Roman" w:cs="Times New Roman"/>
                      <w:bCs/>
                      <w:kern w:val="0"/>
                      <w:sz w:val="21"/>
                      <w:szCs w:val="21"/>
                    </w:rPr>
                    <w:t>，位于蓬溪县上游工业园</w:t>
                  </w:r>
                  <w:r>
                    <w:rPr>
                      <w:rFonts w:hint="default" w:ascii="Times New Roman" w:hAnsi="Times New Roman" w:cs="Times New Roman"/>
                      <w:bCs/>
                      <w:kern w:val="0"/>
                      <w:sz w:val="21"/>
                      <w:szCs w:val="21"/>
                      <w:lang w:val="en-US" w:eastAsia="zh-CN"/>
                    </w:rPr>
                    <w:t>内</w:t>
                  </w:r>
                  <w:r>
                    <w:rPr>
                      <w:rFonts w:hint="default" w:ascii="Times New Roman" w:hAnsi="Times New Roman" w:cs="Times New Roman"/>
                      <w:bCs/>
                      <w:kern w:val="0"/>
                      <w:sz w:val="21"/>
                      <w:szCs w:val="21"/>
                    </w:rPr>
                    <w:t>，不属于七大重点流域干流沿岸</w:t>
                  </w:r>
                </w:p>
              </w:tc>
              <w:tc>
                <w:tcPr>
                  <w:tcW w:w="793" w:type="dxa"/>
                  <w:noWrap w:val="0"/>
                  <w:vAlign w:val="center"/>
                </w:tcPr>
                <w:p w14:paraId="06AFA5C5">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r w14:paraId="338E6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69" w:type="dxa"/>
                  <w:noWrap w:val="0"/>
                  <w:vAlign w:val="center"/>
                </w:tcPr>
                <w:p w14:paraId="13D0E3FF">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《涪江流域（遂宁段）水环境治理工作方案（试行）》（遂府函〔2017〕155号）</w:t>
                  </w:r>
                </w:p>
              </w:tc>
              <w:tc>
                <w:tcPr>
                  <w:tcW w:w="4544" w:type="dxa"/>
                  <w:noWrap w:val="0"/>
                  <w:vAlign w:val="center"/>
                </w:tcPr>
                <w:p w14:paraId="7B09D430">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7．狠抓工业企业污染防治。……（2）大力实施工业园区及涉水工业企业污染治理。加快推进全市工业园区污水处理设施建设，确保工业园区实现污水处理设施全覆盖。……到2020年底前，全市工业用水重复利用率达到70%以上。……</w:t>
                  </w:r>
                </w:p>
              </w:tc>
              <w:tc>
                <w:tcPr>
                  <w:tcW w:w="1898" w:type="dxa"/>
                  <w:noWrap w:val="0"/>
                  <w:vAlign w:val="center"/>
                </w:tcPr>
                <w:p w14:paraId="75FECC8D">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项目</w:t>
                  </w:r>
                  <w:r>
                    <w:rPr>
                      <w:rFonts w:hint="eastAsia" w:ascii="Times New Roman" w:hAnsi="Times New Roman" w:cs="Times New Roman"/>
                      <w:bCs/>
                      <w:kern w:val="0"/>
                      <w:sz w:val="21"/>
                      <w:szCs w:val="21"/>
                      <w:lang w:val="en-US" w:eastAsia="zh-CN"/>
                    </w:rPr>
                    <w:t>生产废水</w:t>
                  </w:r>
                  <w:r>
                    <w:rPr>
                      <w:rFonts w:hint="eastAsia" w:cs="Times New Roman"/>
                      <w:bCs/>
                      <w:kern w:val="0"/>
                      <w:sz w:val="21"/>
                      <w:szCs w:val="21"/>
                      <w:lang w:val="en-US" w:eastAsia="zh-CN"/>
                    </w:rPr>
                    <w:t>处理后循环使用；注塑冷却水和</w:t>
                  </w:r>
                  <w:r>
                    <w:rPr>
                      <w:rFonts w:hint="default" w:ascii="Times New Roman" w:hAnsi="Times New Roman" w:cs="Times New Roman"/>
                      <w:bCs/>
                      <w:kern w:val="0"/>
                      <w:sz w:val="21"/>
                      <w:szCs w:val="21"/>
                    </w:rPr>
                    <w:t>生活废水排入市政污水管网送蓬溪县经开区污水处理厂处理，污水收水管网已覆盖项目区域。</w:t>
                  </w:r>
                </w:p>
              </w:tc>
              <w:tc>
                <w:tcPr>
                  <w:tcW w:w="793" w:type="dxa"/>
                  <w:noWrap w:val="0"/>
                  <w:vAlign w:val="center"/>
                </w:tcPr>
                <w:p w14:paraId="2030ACCB">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r w14:paraId="43A85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69" w:type="dxa"/>
                  <w:noWrap w:val="0"/>
                  <w:vAlign w:val="center"/>
                </w:tcPr>
                <w:p w14:paraId="7CF1D9B7">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《关于印发四川省打赢蓝天保卫战等九个实施方案的通知》川府发〔2019〕4号</w:t>
                  </w:r>
                </w:p>
              </w:tc>
              <w:tc>
                <w:tcPr>
                  <w:tcW w:w="4544" w:type="dxa"/>
                  <w:noWrap w:val="0"/>
                  <w:vAlign w:val="center"/>
                </w:tcPr>
                <w:p w14:paraId="44C6FB1E">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《四川省打赢碧水保卫战实施方案》</w:t>
                  </w:r>
                </w:p>
                <w:p w14:paraId="0A331692">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三、重点任务</w:t>
                  </w:r>
                </w:p>
                <w:p w14:paraId="786CF4EA">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（三）实施工业污染治理工程。</w:t>
                  </w:r>
                </w:p>
                <w:p w14:paraId="5E3BBC1F">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实施园区工业废水达标整治。落实《四川省工业园区（工业集聚区）工业废水处理设施建设三年行动计划》，倒排工期，落实责任，按照属地管理、辖区负责的原则，省直相关部门按照管理权限督促指导各地加快推进工业园区（工业集聚区）污水处理设施建设，确保污水处理设施按期建成投入使用和正常运行。…</w:t>
                  </w:r>
                </w:p>
              </w:tc>
              <w:tc>
                <w:tcPr>
                  <w:tcW w:w="1898" w:type="dxa"/>
                  <w:noWrap w:val="0"/>
                  <w:vAlign w:val="center"/>
                </w:tcPr>
                <w:p w14:paraId="6D0B7C20">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项目废水排入蓬溪县经开区污水处理厂处理，蓬溪县经开区污水处理厂处理</w:t>
                  </w:r>
                  <w:r>
                    <w:rPr>
                      <w:rFonts w:hint="eastAsia" w:cs="Times New Roman"/>
                      <w:bCs/>
                      <w:kern w:val="0"/>
                      <w:sz w:val="21"/>
                      <w:szCs w:val="21"/>
                      <w:lang w:val="en-US" w:eastAsia="zh-CN"/>
                    </w:rPr>
                    <w:t>已于2019年8月建成，目前能正常稳定运行，</w:t>
                  </w:r>
                  <w:r>
                    <w:rPr>
                      <w:rFonts w:hint="default" w:ascii="Times New Roman" w:hAnsi="Times New Roman" w:cs="Times New Roman"/>
                      <w:bCs/>
                      <w:kern w:val="0"/>
                      <w:sz w:val="21"/>
                      <w:szCs w:val="21"/>
                    </w:rPr>
                    <w:t>废水去向合理。</w:t>
                  </w:r>
                </w:p>
              </w:tc>
              <w:tc>
                <w:tcPr>
                  <w:tcW w:w="793" w:type="dxa"/>
                  <w:noWrap w:val="0"/>
                  <w:vAlign w:val="center"/>
                </w:tcPr>
                <w:p w14:paraId="4D0B55BA">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bl>
          <w:p w14:paraId="75E534BC">
            <w:pPr>
              <w:pStyle w:val="69"/>
              <w:spacing w:line="360" w:lineRule="auto"/>
              <w:ind w:firstLine="480"/>
              <w:rPr>
                <w:rFonts w:hint="default" w:ascii="Times New Roman" w:hAnsi="Times New Roman" w:cs="Times New Roman"/>
                <w:sz w:val="21"/>
                <w:szCs w:val="21"/>
                <w:lang w:val="zh-CN"/>
              </w:rPr>
            </w:pPr>
            <w:r>
              <w:rPr>
                <w:rFonts w:hint="default" w:ascii="Times New Roman" w:hAnsi="Times New Roman" w:cs="Times New Roman"/>
                <w:sz w:val="21"/>
                <w:szCs w:val="21"/>
              </w:rPr>
              <w:t>综上所述，项目与《国务院关于印发水污染防治行动计划的通知》（国发〔2015〕17号）、《涪江流域（遂宁段）水环境治理工作方案（试行）》（遂府函〔2017〕155号）和《关于印发四川省打赢蓝天保卫战等九个实施方案的通知》（川府发〔2019〕4号）要求相符。</w:t>
            </w:r>
          </w:p>
          <w:p w14:paraId="76AE4403">
            <w:pPr>
              <w:pStyle w:val="69"/>
              <w:spacing w:line="360" w:lineRule="auto"/>
              <w:ind w:firstLine="482"/>
              <w:rPr>
                <w:rFonts w:hint="default" w:ascii="Times New Roman" w:hAnsi="Times New Roman" w:cs="Times New Roman"/>
                <w:sz w:val="21"/>
                <w:szCs w:val="21"/>
                <w:lang w:val="zh-CN"/>
              </w:rPr>
            </w:pPr>
            <w:r>
              <w:rPr>
                <w:rFonts w:hint="default" w:ascii="Times New Roman" w:hAnsi="Times New Roman" w:cs="Times New Roman"/>
                <w:b/>
                <w:bCs/>
                <w:sz w:val="21"/>
                <w:szCs w:val="21"/>
                <w:lang w:val="zh-CN"/>
              </w:rPr>
              <w:t>（</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zh-CN"/>
              </w:rPr>
              <w:t>）项目与《土壤污染防治行动计划》 “国发〔2016〕31号”符合性如下</w:t>
            </w:r>
            <w:r>
              <w:rPr>
                <w:rFonts w:hint="default" w:ascii="Times New Roman" w:hAnsi="Times New Roman" w:cs="Times New Roman"/>
                <w:sz w:val="21"/>
                <w:szCs w:val="21"/>
                <w:lang w:val="zh-CN"/>
              </w:rPr>
              <w:t>：</w:t>
            </w:r>
          </w:p>
          <w:p w14:paraId="4A4DE356">
            <w:pPr>
              <w:pStyle w:val="6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表1-</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rPr>
              <w:t>与土壤污染防治行动计划符合性</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84"/>
              <w:gridCol w:w="4562"/>
              <w:gridCol w:w="2182"/>
              <w:gridCol w:w="762"/>
            </w:tblGrid>
            <w:tr w14:paraId="27CF6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7" w:hRule="atLeast"/>
                <w:jc w:val="center"/>
              </w:trPr>
              <w:tc>
                <w:tcPr>
                  <w:tcW w:w="1184" w:type="dxa"/>
                  <w:noWrap w:val="0"/>
                  <w:vAlign w:val="center"/>
                </w:tcPr>
                <w:p w14:paraId="3FD122BA">
                  <w:pPr>
                    <w:widowControl/>
                    <w:adjustRightInd w:val="0"/>
                    <w:snapToGrid w:val="0"/>
                    <w:spacing w:line="240" w:lineRule="auto"/>
                    <w:jc w:val="left"/>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土壤污染防治行动计划</w:t>
                  </w:r>
                </w:p>
              </w:tc>
              <w:tc>
                <w:tcPr>
                  <w:tcW w:w="4562" w:type="dxa"/>
                  <w:noWrap w:val="0"/>
                  <w:vAlign w:val="center"/>
                </w:tcPr>
                <w:p w14:paraId="11823D24">
                  <w:pPr>
                    <w:widowControl/>
                    <w:adjustRightInd w:val="0"/>
                    <w:snapToGrid w:val="0"/>
                    <w:spacing w:line="240" w:lineRule="auto"/>
                    <w:jc w:val="center"/>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相关要求</w:t>
                  </w:r>
                </w:p>
              </w:tc>
              <w:tc>
                <w:tcPr>
                  <w:tcW w:w="2182" w:type="dxa"/>
                  <w:noWrap w:val="0"/>
                  <w:vAlign w:val="center"/>
                </w:tcPr>
                <w:p w14:paraId="6B8F9AEE">
                  <w:pPr>
                    <w:widowControl/>
                    <w:adjustRightInd w:val="0"/>
                    <w:snapToGrid w:val="0"/>
                    <w:spacing w:line="240" w:lineRule="auto"/>
                    <w:jc w:val="left"/>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本项目情况</w:t>
                  </w:r>
                </w:p>
              </w:tc>
              <w:tc>
                <w:tcPr>
                  <w:tcW w:w="762" w:type="dxa"/>
                  <w:noWrap w:val="0"/>
                  <w:vAlign w:val="center"/>
                </w:tcPr>
                <w:p w14:paraId="19CDC800">
                  <w:pPr>
                    <w:widowControl/>
                    <w:adjustRightInd w:val="0"/>
                    <w:snapToGrid w:val="0"/>
                    <w:spacing w:line="240" w:lineRule="auto"/>
                    <w:jc w:val="left"/>
                    <w:rPr>
                      <w:rFonts w:hint="default" w:ascii="Times New Roman" w:hAnsi="Times New Roman" w:cs="Times New Roman"/>
                      <w:b/>
                      <w:bCs w:val="0"/>
                      <w:kern w:val="0"/>
                      <w:sz w:val="21"/>
                      <w:szCs w:val="21"/>
                    </w:rPr>
                  </w:pPr>
                  <w:r>
                    <w:rPr>
                      <w:rFonts w:hint="default" w:ascii="Times New Roman" w:hAnsi="Times New Roman" w:cs="Times New Roman"/>
                      <w:b/>
                      <w:bCs w:val="0"/>
                      <w:kern w:val="0"/>
                      <w:sz w:val="21"/>
                      <w:szCs w:val="21"/>
                    </w:rPr>
                    <w:t>符合性</w:t>
                  </w:r>
                </w:p>
              </w:tc>
            </w:tr>
            <w:tr w14:paraId="701BE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restart"/>
                  <w:noWrap w:val="0"/>
                  <w:vAlign w:val="center"/>
                </w:tcPr>
                <w:p w14:paraId="1E99E071">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土壤污染防治行动计划“国发〔2016〕31号”</w:t>
                  </w:r>
                </w:p>
              </w:tc>
              <w:tc>
                <w:tcPr>
                  <w:tcW w:w="4562" w:type="dxa"/>
                  <w:noWrap w:val="0"/>
                  <w:vAlign w:val="center"/>
                </w:tcPr>
                <w:p w14:paraId="0E63E20F">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（八）切实加大保护力度。</w:t>
                  </w:r>
                </w:p>
                <w:p w14:paraId="135F5EBF">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防控企业污染。严格控制在优先保护类耕地集中区域新建有色金属冶炼、石油加工、化工、焦化、电镀、制革等行业企业，现有相关行业企业要采用新技术、新工艺，加快提标升级改造+步伐。</w:t>
                  </w:r>
                </w:p>
              </w:tc>
              <w:tc>
                <w:tcPr>
                  <w:tcW w:w="2182" w:type="dxa"/>
                  <w:noWrap w:val="0"/>
                  <w:vAlign w:val="center"/>
                </w:tcPr>
                <w:p w14:paraId="792CAD27">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项目为</w:t>
                  </w:r>
                  <w:r>
                    <w:rPr>
                      <w:rFonts w:hint="default" w:ascii="Times New Roman" w:hAnsi="Times New Roman" w:eastAsia="宋体" w:cs="Times New Roman"/>
                      <w:color w:val="000000"/>
                      <w:kern w:val="0"/>
                      <w:sz w:val="21"/>
                      <w:szCs w:val="21"/>
                      <w:lang w:val="en-US" w:eastAsia="zh-CN" w:bidi="ar"/>
                    </w:rPr>
                    <w:t>C2929</w:t>
                  </w:r>
                  <w:r>
                    <w:rPr>
                      <w:rFonts w:hint="eastAsia" w:ascii="宋体" w:hAnsi="宋体" w:eastAsia="宋体" w:cs="宋体"/>
                      <w:color w:val="000000"/>
                      <w:kern w:val="0"/>
                      <w:sz w:val="21"/>
                      <w:szCs w:val="21"/>
                      <w:lang w:val="en-US" w:eastAsia="zh-CN" w:bidi="ar"/>
                    </w:rPr>
                    <w:t>塑料零件及其他塑料制品制造</w:t>
                  </w:r>
                  <w:r>
                    <w:rPr>
                      <w:rFonts w:hint="eastAsia" w:ascii="宋体" w:hAnsi="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C3670</w:t>
                  </w:r>
                  <w:r>
                    <w:rPr>
                      <w:rFonts w:hint="default" w:ascii="Times New Roman" w:hAnsi="Times New Roman" w:eastAsia="宋体" w:cs="Times New Roman"/>
                      <w:color w:val="000000" w:themeColor="text1"/>
                      <w:sz w:val="21"/>
                      <w:szCs w:val="21"/>
                      <w14:textFill>
                        <w14:solidFill>
                          <w14:schemeClr w14:val="tx1"/>
                        </w14:solidFill>
                      </w14:textFill>
                    </w:rPr>
                    <w:t>汽车零部件及配件制造</w:t>
                  </w:r>
                  <w:r>
                    <w:rPr>
                      <w:rFonts w:hint="default" w:ascii="Times New Roman" w:hAnsi="Times New Roman" w:cs="Times New Roman"/>
                      <w:bCs/>
                      <w:kern w:val="0"/>
                      <w:sz w:val="21"/>
                      <w:szCs w:val="21"/>
                    </w:rPr>
                    <w:t>项目，位于蓬溪县上游工业园</w:t>
                  </w:r>
                  <w:r>
                    <w:rPr>
                      <w:rFonts w:hint="default" w:ascii="Times New Roman" w:hAnsi="Times New Roman" w:cs="Times New Roman"/>
                      <w:bCs/>
                      <w:kern w:val="0"/>
                      <w:sz w:val="21"/>
                      <w:szCs w:val="21"/>
                      <w:lang w:val="en-US" w:eastAsia="zh-CN"/>
                    </w:rPr>
                    <w:t>内</w:t>
                  </w:r>
                  <w:r>
                    <w:rPr>
                      <w:rFonts w:hint="default" w:ascii="Times New Roman" w:hAnsi="Times New Roman" w:cs="Times New Roman"/>
                      <w:bCs/>
                      <w:kern w:val="0"/>
                      <w:sz w:val="21"/>
                      <w:szCs w:val="21"/>
                    </w:rPr>
                    <w:t>，用地属于工业用地，项目不占用耕地</w:t>
                  </w:r>
                </w:p>
              </w:tc>
              <w:tc>
                <w:tcPr>
                  <w:tcW w:w="762" w:type="dxa"/>
                  <w:noWrap w:val="0"/>
                  <w:vAlign w:val="center"/>
                </w:tcPr>
                <w:p w14:paraId="784F80D9">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r w14:paraId="14BAF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continue"/>
                  <w:noWrap w:val="0"/>
                  <w:vAlign w:val="center"/>
                </w:tcPr>
                <w:p w14:paraId="58078D66">
                  <w:pPr>
                    <w:widowControl/>
                    <w:adjustRightInd w:val="0"/>
                    <w:snapToGrid w:val="0"/>
                    <w:spacing w:line="240" w:lineRule="auto"/>
                    <w:jc w:val="left"/>
                    <w:rPr>
                      <w:rFonts w:hint="default" w:ascii="Times New Roman" w:hAnsi="Times New Roman" w:cs="Times New Roman"/>
                      <w:bCs/>
                      <w:kern w:val="0"/>
                      <w:sz w:val="21"/>
                      <w:szCs w:val="21"/>
                    </w:rPr>
                  </w:pPr>
                </w:p>
              </w:tc>
              <w:tc>
                <w:tcPr>
                  <w:tcW w:w="4562" w:type="dxa"/>
                  <w:noWrap w:val="0"/>
                  <w:vAlign w:val="center"/>
                </w:tcPr>
                <w:p w14:paraId="025A6CA4">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2182" w:type="dxa"/>
                  <w:noWrap w:val="0"/>
                  <w:vAlign w:val="center"/>
                </w:tcPr>
                <w:p w14:paraId="7923B654">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本项目排放常规污染物，不排放重点污染物。</w:t>
                  </w:r>
                </w:p>
              </w:tc>
              <w:tc>
                <w:tcPr>
                  <w:tcW w:w="762" w:type="dxa"/>
                  <w:noWrap w:val="0"/>
                  <w:vAlign w:val="center"/>
                </w:tcPr>
                <w:p w14:paraId="13CD065D">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r w14:paraId="48DFA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continue"/>
                  <w:noWrap w:val="0"/>
                  <w:vAlign w:val="center"/>
                </w:tcPr>
                <w:p w14:paraId="6A3E454A">
                  <w:pPr>
                    <w:widowControl/>
                    <w:adjustRightInd w:val="0"/>
                    <w:snapToGrid w:val="0"/>
                    <w:spacing w:line="240" w:lineRule="auto"/>
                    <w:jc w:val="left"/>
                    <w:rPr>
                      <w:rFonts w:hint="default" w:ascii="Times New Roman" w:hAnsi="Times New Roman" w:cs="Times New Roman"/>
                      <w:bCs/>
                      <w:kern w:val="0"/>
                      <w:sz w:val="21"/>
                      <w:szCs w:val="21"/>
                    </w:rPr>
                  </w:pPr>
                </w:p>
              </w:tc>
              <w:tc>
                <w:tcPr>
                  <w:tcW w:w="4562" w:type="dxa"/>
                  <w:noWrap w:val="0"/>
                  <w:vAlign w:val="center"/>
                </w:tcPr>
                <w:p w14:paraId="5F50FACE">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十七）强化空间布局管控。……严格执行相关行业企业布局选址要求，禁止在居民区、学校、医疗和养老机构等周边新建有色金属冶炼、焦化等行业企业；结合区域功能定位和土壤污染防治需要，科学布局生活垃圾处理、危险废物处置、废旧资源再生利用等设施和场所，合理确定畜禽养殖布局和规模。</w:t>
                  </w:r>
                </w:p>
              </w:tc>
              <w:tc>
                <w:tcPr>
                  <w:tcW w:w="2182" w:type="dxa"/>
                  <w:noWrap w:val="0"/>
                  <w:vAlign w:val="center"/>
                </w:tcPr>
                <w:p w14:paraId="7A3A555D">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本项目位于蓬溪县上游工业园</w:t>
                  </w:r>
                  <w:r>
                    <w:rPr>
                      <w:rFonts w:hint="default" w:ascii="Times New Roman" w:hAnsi="Times New Roman" w:cs="Times New Roman"/>
                      <w:bCs/>
                      <w:kern w:val="0"/>
                      <w:sz w:val="21"/>
                      <w:szCs w:val="21"/>
                      <w:lang w:val="en-US" w:eastAsia="zh-CN"/>
                    </w:rPr>
                    <w:t>内</w:t>
                  </w:r>
                  <w:r>
                    <w:rPr>
                      <w:rFonts w:hint="default" w:ascii="Times New Roman" w:hAnsi="Times New Roman" w:cs="Times New Roman"/>
                      <w:bCs/>
                      <w:kern w:val="0"/>
                      <w:sz w:val="21"/>
                      <w:szCs w:val="21"/>
                    </w:rPr>
                    <w:t>，不属于有色金属冶炼、焦化类项目。</w:t>
                  </w:r>
                </w:p>
              </w:tc>
              <w:tc>
                <w:tcPr>
                  <w:tcW w:w="762" w:type="dxa"/>
                  <w:noWrap w:val="0"/>
                  <w:vAlign w:val="center"/>
                </w:tcPr>
                <w:p w14:paraId="70077C09">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bl>
          <w:p w14:paraId="611DA40F">
            <w:pPr>
              <w:pStyle w:val="69"/>
              <w:ind w:firstLine="211" w:firstLineChars="100"/>
              <w:rPr>
                <w:rFonts w:hint="default" w:ascii="Times New Roman" w:hAnsi="Times New Roman" w:cs="Times New Roman"/>
                <w:b/>
                <w:bCs/>
                <w:sz w:val="21"/>
                <w:szCs w:val="21"/>
              </w:rPr>
            </w:pPr>
            <w:r>
              <w:rPr>
                <w:rFonts w:hint="default" w:ascii="Times New Roman" w:hAnsi="Times New Roman" w:cs="Times New Roman"/>
                <w:b/>
                <w:bCs/>
                <w:sz w:val="21"/>
                <w:szCs w:val="21"/>
              </w:rPr>
              <w:t>（</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rPr>
              <w:t>）与《四川省嘉陵江流域生态环境保护条例》符合性分析</w:t>
            </w:r>
          </w:p>
          <w:p w14:paraId="077754F1">
            <w:pPr>
              <w:bidi w:val="0"/>
              <w:jc w:val="center"/>
              <w:rPr>
                <w:rFonts w:hint="default"/>
                <w:b/>
                <w:bCs/>
              </w:rPr>
            </w:pPr>
            <w:r>
              <w:rPr>
                <w:rFonts w:hint="default"/>
                <w:b/>
                <w:bCs/>
              </w:rPr>
              <w:t>表1-</w:t>
            </w:r>
            <w:r>
              <w:rPr>
                <w:rFonts w:hint="eastAsia"/>
                <w:b/>
                <w:bCs/>
                <w:lang w:val="en-US" w:eastAsia="zh-CN"/>
              </w:rPr>
              <w:t>8</w:t>
            </w:r>
            <w:r>
              <w:rPr>
                <w:rFonts w:hint="default"/>
                <w:b/>
                <w:bCs/>
              </w:rPr>
              <w:t>与嘉陵江流域生态环境保护条例符合性</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85"/>
              <w:gridCol w:w="4195"/>
              <w:gridCol w:w="2378"/>
              <w:gridCol w:w="746"/>
            </w:tblGrid>
            <w:tr w14:paraId="604A7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1185" w:type="dxa"/>
                  <w:noWrap w:val="0"/>
                  <w:vAlign w:val="center"/>
                </w:tcPr>
                <w:p w14:paraId="03F831AA">
                  <w:pPr>
                    <w:widowControl/>
                    <w:adjustRightInd w:val="0"/>
                    <w:snapToGrid w:val="0"/>
                    <w:spacing w:line="240" w:lineRule="auto"/>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文件名称</w:t>
                  </w:r>
                </w:p>
              </w:tc>
              <w:tc>
                <w:tcPr>
                  <w:tcW w:w="4195" w:type="dxa"/>
                  <w:noWrap w:val="0"/>
                  <w:vAlign w:val="center"/>
                </w:tcPr>
                <w:p w14:paraId="6D3294E1">
                  <w:pPr>
                    <w:widowControl/>
                    <w:adjustRightInd w:val="0"/>
                    <w:snapToGrid w:val="0"/>
                    <w:spacing w:line="240" w:lineRule="auto"/>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相关要求</w:t>
                  </w:r>
                </w:p>
              </w:tc>
              <w:tc>
                <w:tcPr>
                  <w:tcW w:w="2378" w:type="dxa"/>
                  <w:noWrap w:val="0"/>
                  <w:vAlign w:val="center"/>
                </w:tcPr>
                <w:p w14:paraId="19326CBD">
                  <w:pPr>
                    <w:widowControl/>
                    <w:adjustRightInd w:val="0"/>
                    <w:snapToGrid w:val="0"/>
                    <w:spacing w:line="240" w:lineRule="auto"/>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本项目情况</w:t>
                  </w:r>
                </w:p>
              </w:tc>
              <w:tc>
                <w:tcPr>
                  <w:tcW w:w="746" w:type="dxa"/>
                  <w:noWrap w:val="0"/>
                  <w:vAlign w:val="center"/>
                </w:tcPr>
                <w:p w14:paraId="27FDD94A">
                  <w:pPr>
                    <w:widowControl/>
                    <w:adjustRightInd w:val="0"/>
                    <w:snapToGrid w:val="0"/>
                    <w:spacing w:line="240" w:lineRule="auto"/>
                    <w:jc w:val="left"/>
                    <w:rPr>
                      <w:rFonts w:hint="default" w:ascii="Times New Roman" w:hAnsi="Times New Roman" w:cs="Times New Roman"/>
                      <w:b/>
                      <w:kern w:val="0"/>
                      <w:sz w:val="21"/>
                      <w:szCs w:val="21"/>
                    </w:rPr>
                  </w:pPr>
                  <w:r>
                    <w:rPr>
                      <w:rFonts w:hint="default" w:ascii="Times New Roman" w:hAnsi="Times New Roman" w:cs="Times New Roman"/>
                      <w:b/>
                      <w:kern w:val="0"/>
                      <w:sz w:val="21"/>
                      <w:szCs w:val="21"/>
                    </w:rPr>
                    <w:t>符合性</w:t>
                  </w:r>
                </w:p>
              </w:tc>
            </w:tr>
            <w:tr w14:paraId="652B5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restart"/>
                  <w:noWrap w:val="0"/>
                  <w:vAlign w:val="center"/>
                </w:tcPr>
                <w:p w14:paraId="69CD8DCD">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四川省嘉陵江流域生态环境保护条例</w:t>
                  </w:r>
                </w:p>
              </w:tc>
              <w:tc>
                <w:tcPr>
                  <w:tcW w:w="4195" w:type="dxa"/>
                  <w:noWrap w:val="0"/>
                  <w:vAlign w:val="center"/>
                </w:tcPr>
                <w:p w14:paraId="79FD58E6">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第十七条 ……</w:t>
                  </w:r>
                </w:p>
                <w:p w14:paraId="5EEE1620">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禁止在嘉陵江干支流岸线一公里范围内新建、扩建化工园区和化工项目。</w:t>
                  </w:r>
                </w:p>
              </w:tc>
              <w:tc>
                <w:tcPr>
                  <w:tcW w:w="2378" w:type="dxa"/>
                  <w:noWrap w:val="0"/>
                  <w:vAlign w:val="center"/>
                </w:tcPr>
                <w:p w14:paraId="0C222F7F">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本项目不属于化工项目。</w:t>
                  </w:r>
                </w:p>
              </w:tc>
              <w:tc>
                <w:tcPr>
                  <w:tcW w:w="746" w:type="dxa"/>
                  <w:noWrap w:val="0"/>
                  <w:vAlign w:val="center"/>
                </w:tcPr>
                <w:p w14:paraId="1ABE2F25">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r w14:paraId="6C2BA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14:paraId="77B9409A">
                  <w:pPr>
                    <w:widowControl/>
                    <w:adjustRightInd w:val="0"/>
                    <w:snapToGrid w:val="0"/>
                    <w:spacing w:line="240" w:lineRule="auto"/>
                    <w:jc w:val="left"/>
                    <w:rPr>
                      <w:rFonts w:hint="default" w:ascii="Times New Roman" w:hAnsi="Times New Roman" w:cs="Times New Roman"/>
                      <w:bCs/>
                      <w:kern w:val="0"/>
                      <w:sz w:val="21"/>
                      <w:szCs w:val="21"/>
                    </w:rPr>
                  </w:pPr>
                </w:p>
              </w:tc>
              <w:tc>
                <w:tcPr>
                  <w:tcW w:w="4195" w:type="dxa"/>
                  <w:noWrap w:val="0"/>
                  <w:vAlign w:val="center"/>
                </w:tcPr>
                <w:p w14:paraId="79B40307">
                  <w:pPr>
                    <w:widowControl/>
                    <w:adjustRightInd w:val="0"/>
                    <w:snapToGrid w:val="0"/>
                    <w:spacing w:line="240" w:lineRule="auto"/>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第十九条 嘉陵江流域实行重点水污染物排放总量控制制度。……对超过重点水污染物排放总量控制指标或者未完成水环境质量改善目标的区域，省人民政府生态环境主管部门应当会同有关部门约谈该地区人民政府的主要负责人，并暂停审批新增重点水污染物排放总量的建设项目的环境影响评价文件。约谈情况应当向社会公开。</w:t>
                  </w:r>
                </w:p>
              </w:tc>
              <w:tc>
                <w:tcPr>
                  <w:tcW w:w="2378" w:type="dxa"/>
                  <w:noWrap w:val="0"/>
                  <w:vAlign w:val="center"/>
                </w:tcPr>
                <w:p w14:paraId="354545D4">
                  <w:pPr>
                    <w:widowControl/>
                    <w:adjustRightInd w:val="0"/>
                    <w:snapToGrid w:val="0"/>
                    <w:spacing w:line="240" w:lineRule="auto"/>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本项目位于嘉陵江一级支流涪江流域（芝溪河为涪江支流），涪江水质满足法定的</w:t>
                  </w:r>
                  <w:r>
                    <w:rPr>
                      <w:rFonts w:hint="eastAsia" w:ascii="Times New Roman" w:hAnsi="Times New Roman" w:cs="Times New Roman"/>
                      <w:bCs/>
                      <w:color w:val="auto"/>
                      <w:kern w:val="0"/>
                      <w:sz w:val="21"/>
                      <w:szCs w:val="21"/>
                      <w:lang w:eastAsia="zh-CN"/>
                    </w:rPr>
                    <w:t>Ⅲ</w:t>
                  </w:r>
                  <w:r>
                    <w:rPr>
                      <w:rFonts w:hint="default" w:ascii="Times New Roman" w:hAnsi="Times New Roman" w:cs="Times New Roman"/>
                      <w:bCs/>
                      <w:color w:val="auto"/>
                      <w:kern w:val="0"/>
                      <w:sz w:val="21"/>
                      <w:szCs w:val="21"/>
                    </w:rPr>
                    <w:t>类水质标准。</w:t>
                  </w:r>
                </w:p>
              </w:tc>
              <w:tc>
                <w:tcPr>
                  <w:tcW w:w="746" w:type="dxa"/>
                  <w:noWrap w:val="0"/>
                  <w:vAlign w:val="center"/>
                </w:tcPr>
                <w:p w14:paraId="7053C670">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r w14:paraId="13A14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14:paraId="7B6A4326">
                  <w:pPr>
                    <w:widowControl/>
                    <w:adjustRightInd w:val="0"/>
                    <w:snapToGrid w:val="0"/>
                    <w:spacing w:line="240" w:lineRule="auto"/>
                    <w:jc w:val="left"/>
                    <w:rPr>
                      <w:rFonts w:hint="default" w:ascii="Times New Roman" w:hAnsi="Times New Roman" w:cs="Times New Roman"/>
                      <w:bCs/>
                      <w:kern w:val="0"/>
                      <w:sz w:val="21"/>
                      <w:szCs w:val="21"/>
                    </w:rPr>
                  </w:pPr>
                </w:p>
              </w:tc>
              <w:tc>
                <w:tcPr>
                  <w:tcW w:w="4195" w:type="dxa"/>
                  <w:noWrap w:val="0"/>
                  <w:vAlign w:val="center"/>
                </w:tcPr>
                <w:p w14:paraId="67E8A652">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第二十一条 排污单位排放污染物不得超过国家和省污染物排放标准，不得超过重点水污染物排放总量控制指标。</w:t>
                  </w:r>
                </w:p>
              </w:tc>
              <w:tc>
                <w:tcPr>
                  <w:tcW w:w="2378" w:type="dxa"/>
                  <w:noWrap w:val="0"/>
                  <w:vAlign w:val="center"/>
                </w:tcPr>
                <w:p w14:paraId="16F587CF">
                  <w:pPr>
                    <w:widowControl/>
                    <w:adjustRightInd w:val="0"/>
                    <w:snapToGrid w:val="0"/>
                    <w:spacing w:line="240" w:lineRule="auto"/>
                    <w:jc w:val="left"/>
                    <w:rPr>
                      <w:rFonts w:hint="default" w:ascii="Times New Roman" w:hAnsi="Times New Roman" w:eastAsia="宋体" w:cs="Times New Roman"/>
                      <w:bCs/>
                      <w:kern w:val="0"/>
                      <w:sz w:val="21"/>
                      <w:szCs w:val="21"/>
                      <w:lang w:val="en-US" w:eastAsia="zh-CN"/>
                    </w:rPr>
                  </w:pPr>
                  <w:r>
                    <w:rPr>
                      <w:rFonts w:hint="default" w:ascii="Times New Roman" w:hAnsi="Times New Roman" w:cs="Times New Roman"/>
                      <w:bCs/>
                      <w:kern w:val="0"/>
                      <w:sz w:val="21"/>
                      <w:szCs w:val="21"/>
                    </w:rPr>
                    <w:t>本项目</w:t>
                  </w:r>
                  <w:r>
                    <w:rPr>
                      <w:rFonts w:hint="eastAsia" w:ascii="Times New Roman" w:hAnsi="Times New Roman" w:cs="Times New Roman"/>
                      <w:bCs/>
                      <w:kern w:val="0"/>
                      <w:sz w:val="21"/>
                      <w:szCs w:val="21"/>
                      <w:lang w:val="en-US" w:eastAsia="zh-CN"/>
                    </w:rPr>
                    <w:t>生产废水</w:t>
                  </w:r>
                  <w:r>
                    <w:rPr>
                      <w:rFonts w:hint="eastAsia" w:cs="Times New Roman"/>
                      <w:bCs/>
                      <w:kern w:val="0"/>
                      <w:sz w:val="21"/>
                      <w:szCs w:val="21"/>
                      <w:lang w:val="en-US" w:eastAsia="zh-CN"/>
                    </w:rPr>
                    <w:t>处理后循环使用；注塑冷却水和生活废水经预处理池处理</w:t>
                  </w:r>
                  <w:r>
                    <w:rPr>
                      <w:rFonts w:hint="eastAsia" w:ascii="Times New Roman" w:hAnsi="Times New Roman" w:cs="Times New Roman"/>
                      <w:bCs/>
                      <w:kern w:val="0"/>
                      <w:sz w:val="21"/>
                      <w:szCs w:val="21"/>
                      <w:lang w:val="en-US" w:eastAsia="zh-CN"/>
                    </w:rPr>
                    <w:t>后排入市政污水管网送蓬溪经开区污水处理厂处理</w:t>
                  </w:r>
                  <w:r>
                    <w:rPr>
                      <w:rFonts w:hint="default" w:ascii="Times New Roman" w:hAnsi="Times New Roman" w:cs="Times New Roman"/>
                      <w:bCs/>
                      <w:kern w:val="0"/>
                      <w:sz w:val="21"/>
                      <w:szCs w:val="21"/>
                    </w:rPr>
                    <w:t>，VOCs及噪声根据后文预测均可实现达标排放。</w:t>
                  </w:r>
                  <w:r>
                    <w:rPr>
                      <w:rFonts w:hint="eastAsia" w:ascii="Times New Roman" w:hAnsi="Times New Roman" w:cs="Times New Roman"/>
                      <w:bCs/>
                      <w:kern w:val="0"/>
                      <w:sz w:val="21"/>
                      <w:szCs w:val="21"/>
                      <w:lang w:val="en-US" w:eastAsia="zh-CN"/>
                    </w:rPr>
                    <w:t>项目废水、废气排放均不超总量控制指标。</w:t>
                  </w:r>
                </w:p>
              </w:tc>
              <w:tc>
                <w:tcPr>
                  <w:tcW w:w="746" w:type="dxa"/>
                  <w:noWrap w:val="0"/>
                  <w:vAlign w:val="center"/>
                </w:tcPr>
                <w:p w14:paraId="22344808">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r w14:paraId="784CF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14:paraId="10D48FDB">
                  <w:pPr>
                    <w:widowControl/>
                    <w:adjustRightInd w:val="0"/>
                    <w:snapToGrid w:val="0"/>
                    <w:spacing w:line="240" w:lineRule="auto"/>
                    <w:jc w:val="left"/>
                    <w:rPr>
                      <w:rFonts w:hint="default" w:ascii="Times New Roman" w:hAnsi="Times New Roman" w:cs="Times New Roman"/>
                      <w:bCs/>
                      <w:kern w:val="0"/>
                      <w:sz w:val="21"/>
                      <w:szCs w:val="21"/>
                    </w:rPr>
                  </w:pPr>
                </w:p>
              </w:tc>
              <w:tc>
                <w:tcPr>
                  <w:tcW w:w="4195" w:type="dxa"/>
                  <w:noWrap w:val="0"/>
                  <w:vAlign w:val="center"/>
                </w:tcPr>
                <w:p w14:paraId="578FC76B">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第五十八条 嘉陵江流域县级以上地方人民政府应当按照有关规定，组织建设城乡污水集中处理设施，并配套建设排水管网，保证城乡污水集中处理设施的收集、处理能力与城乡污水产生量相适应，逐步实现城乡生活污水全收集、全处理。新建城镇排水管网应当实施雨水、污水分流；改建、扩建排水管网不得将雨水管网、污水管网相互混接；现有排水设施因地制宜实施雨水、污水分流改造。</w:t>
                  </w:r>
                </w:p>
              </w:tc>
              <w:tc>
                <w:tcPr>
                  <w:tcW w:w="2378" w:type="dxa"/>
                  <w:noWrap w:val="0"/>
                  <w:vAlign w:val="center"/>
                </w:tcPr>
                <w:p w14:paraId="670C570D">
                  <w:pPr>
                    <w:widowControl/>
                    <w:adjustRightInd w:val="0"/>
                    <w:snapToGrid w:val="0"/>
                    <w:spacing w:line="240" w:lineRule="auto"/>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本项目所在区域已实现雨污分流，</w:t>
                  </w:r>
                  <w:r>
                    <w:rPr>
                      <w:rFonts w:hint="eastAsia" w:cs="Times New Roman"/>
                      <w:bCs/>
                      <w:kern w:val="0"/>
                      <w:sz w:val="21"/>
                      <w:szCs w:val="21"/>
                      <w:lang w:eastAsia="zh-CN"/>
                    </w:rPr>
                    <w:t>生活污水</w:t>
                  </w:r>
                  <w:r>
                    <w:rPr>
                      <w:rFonts w:hint="default" w:ascii="Times New Roman" w:hAnsi="Times New Roman" w:cs="Times New Roman"/>
                      <w:bCs/>
                      <w:kern w:val="0"/>
                      <w:sz w:val="21"/>
                      <w:szCs w:val="21"/>
                    </w:rPr>
                    <w:t>经</w:t>
                  </w:r>
                  <w:r>
                    <w:rPr>
                      <w:rFonts w:hint="eastAsia" w:cs="Times New Roman"/>
                      <w:bCs/>
                      <w:kern w:val="0"/>
                      <w:sz w:val="21"/>
                      <w:szCs w:val="21"/>
                      <w:lang w:val="en-US" w:eastAsia="zh-CN"/>
                    </w:rPr>
                    <w:t>预处理池</w:t>
                  </w:r>
                  <w:r>
                    <w:rPr>
                      <w:rFonts w:hint="default" w:ascii="Times New Roman" w:hAnsi="Times New Roman" w:cs="Times New Roman"/>
                      <w:bCs/>
                      <w:kern w:val="0"/>
                      <w:sz w:val="21"/>
                      <w:szCs w:val="21"/>
                    </w:rPr>
                    <w:t>处理后排入市政污水管网送蓬溪经开区污水处理厂处理。</w:t>
                  </w:r>
                </w:p>
              </w:tc>
              <w:tc>
                <w:tcPr>
                  <w:tcW w:w="746" w:type="dxa"/>
                  <w:noWrap w:val="0"/>
                  <w:vAlign w:val="center"/>
                </w:tcPr>
                <w:p w14:paraId="256ADB5D">
                  <w:pPr>
                    <w:widowControl/>
                    <w:adjustRightInd w:val="0"/>
                    <w:snapToGrid w:val="0"/>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bl>
          <w:p w14:paraId="5B7C3C7D">
            <w:pPr>
              <w:keepNext w:val="0"/>
              <w:keepLines w:val="0"/>
              <w:widowControl/>
              <w:suppressLineNumbers w:val="0"/>
              <w:spacing w:line="360" w:lineRule="auto"/>
              <w:jc w:val="left"/>
              <w:rPr>
                <w:rFonts w:hint="default" w:ascii="Times New Roman" w:hAnsi="Times New Roman" w:cs="Times New Roman"/>
                <w:sz w:val="21"/>
                <w:szCs w:val="21"/>
              </w:rPr>
            </w:pPr>
            <w:r>
              <w:rPr>
                <w:rFonts w:hint="eastAsia" w:ascii="Times New Roman" w:hAnsi="Times New Roman" w:cs="Times New Roman"/>
                <w:b/>
                <w:bCs/>
                <w:lang w:val="en-US" w:eastAsia="zh-CN"/>
              </w:rPr>
              <w:t>（</w:t>
            </w:r>
            <w:r>
              <w:rPr>
                <w:rFonts w:hint="default" w:ascii="Times New Roman" w:hAnsi="Times New Roman" w:cs="Times New Roman"/>
                <w:b/>
                <w:bCs/>
                <w:sz w:val="21"/>
                <w:szCs w:val="21"/>
                <w:lang w:val="en-US" w:eastAsia="zh-CN"/>
              </w:rPr>
              <w:t>8）</w:t>
            </w:r>
            <w:r>
              <w:rPr>
                <w:rFonts w:hint="default" w:ascii="Times New Roman" w:hAnsi="Times New Roman" w:eastAsia="宋体" w:cs="Times New Roman"/>
                <w:b/>
                <w:bCs/>
                <w:color w:val="000000"/>
                <w:kern w:val="0"/>
                <w:sz w:val="21"/>
                <w:szCs w:val="21"/>
                <w:lang w:val="en-US" w:eastAsia="zh-CN" w:bidi="ar"/>
              </w:rPr>
              <w:t>选址合理性和周围外环境相容性分析</w:t>
            </w:r>
          </w:p>
          <w:p w14:paraId="0BAB7366">
            <w:pPr>
              <w:keepNext w:val="0"/>
              <w:keepLines w:val="0"/>
              <w:widowControl/>
              <w:suppressLineNumbers w:val="0"/>
              <w:spacing w:line="360" w:lineRule="auto"/>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本项目位于</w:t>
            </w:r>
            <w:r>
              <w:rPr>
                <w:rFonts w:hint="default" w:ascii="Times New Roman" w:hAnsi="Times New Roman" w:eastAsia="宋体" w:cs="Times New Roman"/>
                <w:color w:val="000000"/>
                <w:kern w:val="0"/>
                <w:sz w:val="21"/>
                <w:szCs w:val="21"/>
                <w:lang w:val="en-US" w:eastAsia="zh-CN" w:bidi="ar"/>
              </w:rPr>
              <w:t>四川省遂宁市蓬溪县赤城镇上游工业园区拓展区11号F地块（四川万象</w:t>
            </w:r>
            <w:r>
              <w:rPr>
                <w:rFonts w:hint="eastAsia" w:cs="Times New Roman"/>
                <w:color w:val="000000"/>
                <w:kern w:val="0"/>
                <w:sz w:val="21"/>
                <w:szCs w:val="21"/>
                <w:lang w:val="en-US" w:eastAsia="zh-CN" w:bidi="ar"/>
              </w:rPr>
              <w:t>壹</w:t>
            </w:r>
            <w:r>
              <w:rPr>
                <w:rFonts w:hint="default" w:ascii="Times New Roman" w:hAnsi="Times New Roman" w:eastAsia="宋体" w:cs="Times New Roman"/>
                <w:color w:val="000000"/>
                <w:kern w:val="0"/>
                <w:sz w:val="21"/>
                <w:szCs w:val="21"/>
                <w:lang w:val="en-US" w:eastAsia="zh-CN" w:bidi="ar"/>
              </w:rPr>
              <w:t>品门业有限责任公司上游工业园区内厂房），位于工业园区内。</w:t>
            </w:r>
          </w:p>
          <w:p w14:paraId="2D7A460E">
            <w:pPr>
              <w:keepNext w:val="0"/>
              <w:keepLines w:val="0"/>
              <w:widowControl/>
              <w:suppressLineNumbers w:val="0"/>
              <w:spacing w:line="360" w:lineRule="auto"/>
              <w:ind w:firstLine="420" w:firstLineChars="200"/>
              <w:jc w:val="left"/>
              <w:rPr>
                <w:rFonts w:hint="eastAsia"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根据调查，四川万象</w:t>
            </w:r>
            <w:r>
              <w:rPr>
                <w:rFonts w:hint="eastAsia" w:cs="Times New Roman"/>
                <w:color w:val="000000"/>
                <w:kern w:val="0"/>
                <w:sz w:val="21"/>
                <w:szCs w:val="21"/>
                <w:lang w:val="en-US" w:eastAsia="zh-CN" w:bidi="ar"/>
              </w:rPr>
              <w:t>壹</w:t>
            </w:r>
            <w:r>
              <w:rPr>
                <w:rFonts w:hint="default" w:ascii="Times New Roman" w:hAnsi="Times New Roman" w:eastAsia="宋体" w:cs="Times New Roman"/>
                <w:color w:val="000000"/>
                <w:kern w:val="0"/>
                <w:sz w:val="21"/>
                <w:szCs w:val="21"/>
                <w:lang w:val="en-US" w:eastAsia="zh-CN" w:bidi="ar"/>
              </w:rPr>
              <w:t>品门业</w:t>
            </w:r>
            <w:r>
              <w:rPr>
                <w:rFonts w:hint="eastAsia" w:cs="Times New Roman"/>
                <w:color w:val="000000"/>
                <w:kern w:val="0"/>
                <w:sz w:val="21"/>
                <w:szCs w:val="21"/>
                <w:lang w:val="en-US" w:eastAsia="zh-CN" w:bidi="ar"/>
              </w:rPr>
              <w:t>厂房内：</w:t>
            </w:r>
            <w:r>
              <w:rPr>
                <w:rFonts w:hint="default" w:ascii="Times New Roman" w:hAnsi="Times New Roman" w:eastAsia="宋体" w:cs="Times New Roman"/>
                <w:color w:val="000000"/>
                <w:kern w:val="0"/>
                <w:sz w:val="21"/>
                <w:szCs w:val="21"/>
                <w:lang w:val="en-US" w:eastAsia="zh-CN" w:bidi="ar"/>
              </w:rPr>
              <w:t>项目</w:t>
            </w:r>
            <w:r>
              <w:rPr>
                <w:rFonts w:hint="eastAsia" w:ascii="Times New Roman" w:hAnsi="Times New Roman" w:eastAsia="宋体" w:cs="Times New Roman"/>
                <w:color w:val="000000"/>
                <w:kern w:val="0"/>
                <w:sz w:val="21"/>
                <w:szCs w:val="21"/>
                <w:lang w:val="en-US" w:eastAsia="zh-CN" w:bidi="ar"/>
              </w:rPr>
              <w:t>喷涂车间</w:t>
            </w:r>
            <w:r>
              <w:rPr>
                <w:rFonts w:hint="default" w:ascii="Times New Roman" w:hAnsi="Times New Roman" w:eastAsia="宋体" w:cs="Times New Roman"/>
                <w:color w:val="000000"/>
                <w:kern w:val="0"/>
                <w:sz w:val="21"/>
                <w:szCs w:val="21"/>
                <w:lang w:val="en-US" w:eastAsia="zh-CN" w:bidi="ar"/>
              </w:rPr>
              <w:t>北侧</w:t>
            </w:r>
            <w:r>
              <w:rPr>
                <w:rFonts w:hint="eastAsia" w:ascii="Times New Roman" w:hAnsi="Times New Roman" w:eastAsia="宋体" w:cs="Times New Roman"/>
                <w:color w:val="000000"/>
                <w:kern w:val="0"/>
                <w:sz w:val="21"/>
                <w:szCs w:val="21"/>
                <w:lang w:val="en-US" w:eastAsia="zh-CN" w:bidi="ar"/>
              </w:rPr>
              <w:t>依次</w:t>
            </w:r>
            <w:r>
              <w:rPr>
                <w:rFonts w:hint="default" w:ascii="Times New Roman" w:hAnsi="Times New Roman" w:eastAsia="宋体" w:cs="Times New Roman"/>
                <w:color w:val="000000"/>
                <w:kern w:val="0"/>
                <w:sz w:val="21"/>
                <w:szCs w:val="21"/>
                <w:lang w:val="en-US" w:eastAsia="zh-CN" w:bidi="ar"/>
              </w:rPr>
              <w:t>紧邻四川拱市联村富泽消防科技有限公司</w:t>
            </w:r>
            <w:r>
              <w:rPr>
                <w:rFonts w:hint="eastAsia" w:ascii="Times New Roman" w:hAnsi="Times New Roman" w:eastAsia="宋体" w:cs="Times New Roman"/>
                <w:color w:val="000000"/>
                <w:kern w:val="0"/>
                <w:sz w:val="21"/>
                <w:szCs w:val="21"/>
                <w:lang w:val="en-US" w:eastAsia="zh-CN" w:bidi="ar"/>
              </w:rPr>
              <w:t>、四川家家喜木业有限公司、四川美悦鑫再生资源利用有限公司</w:t>
            </w:r>
            <w:r>
              <w:rPr>
                <w:rFonts w:hint="eastAsia" w:cs="Times New Roman"/>
                <w:color w:val="000000"/>
                <w:kern w:val="0"/>
                <w:sz w:val="21"/>
                <w:szCs w:val="21"/>
                <w:lang w:val="en-US" w:eastAsia="zh-CN" w:bidi="ar"/>
              </w:rPr>
              <w:t>。</w:t>
            </w:r>
          </w:p>
          <w:p w14:paraId="0B2B04C0">
            <w:pPr>
              <w:keepNext w:val="0"/>
              <w:keepLines w:val="0"/>
              <w:widowControl/>
              <w:suppressLineNumbers w:val="0"/>
              <w:spacing w:line="360" w:lineRule="auto"/>
              <w:ind w:firstLine="420" w:firstLineChars="200"/>
              <w:jc w:val="left"/>
              <w:rPr>
                <w:rFonts w:hint="eastAsia" w:cs="Times New Roman"/>
                <w:color w:val="FF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四川万象</w:t>
            </w:r>
            <w:r>
              <w:rPr>
                <w:rFonts w:hint="eastAsia" w:cs="Times New Roman"/>
                <w:color w:val="000000"/>
                <w:kern w:val="0"/>
                <w:sz w:val="21"/>
                <w:szCs w:val="21"/>
                <w:lang w:val="en-US" w:eastAsia="zh-CN" w:bidi="ar"/>
              </w:rPr>
              <w:t>壹</w:t>
            </w:r>
            <w:r>
              <w:rPr>
                <w:rFonts w:hint="default" w:ascii="Times New Roman" w:hAnsi="Times New Roman" w:eastAsia="宋体" w:cs="Times New Roman"/>
                <w:color w:val="000000"/>
                <w:kern w:val="0"/>
                <w:sz w:val="21"/>
                <w:szCs w:val="21"/>
                <w:lang w:val="en-US" w:eastAsia="zh-CN" w:bidi="ar"/>
              </w:rPr>
              <w:t>品门业</w:t>
            </w:r>
            <w:r>
              <w:rPr>
                <w:rFonts w:hint="eastAsia" w:cs="Times New Roman"/>
                <w:color w:val="000000"/>
                <w:kern w:val="0"/>
                <w:sz w:val="21"/>
                <w:szCs w:val="21"/>
                <w:lang w:val="en-US" w:eastAsia="zh-CN" w:bidi="ar"/>
              </w:rPr>
              <w:t>厂房外：</w:t>
            </w:r>
            <w:r>
              <w:rPr>
                <w:rFonts w:hint="eastAsia" w:ascii="Times New Roman" w:hAnsi="Times New Roman" w:eastAsia="宋体" w:cs="Times New Roman"/>
                <w:color w:val="000000"/>
                <w:kern w:val="0"/>
                <w:sz w:val="21"/>
                <w:szCs w:val="21"/>
                <w:lang w:val="en-US" w:eastAsia="zh-CN" w:bidi="ar"/>
              </w:rPr>
              <w:t>喷涂车间西北侧185m处为淅川电缆有限公司、兴川电缆有限公司、欧能电缆有限公司</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喷涂车间</w:t>
            </w:r>
            <w:r>
              <w:rPr>
                <w:rFonts w:hint="eastAsia" w:cs="Times New Roman"/>
                <w:color w:val="000000"/>
                <w:kern w:val="0"/>
                <w:sz w:val="21"/>
                <w:szCs w:val="21"/>
                <w:lang w:val="en-US" w:eastAsia="zh-CN" w:bidi="ar"/>
              </w:rPr>
              <w:t>西侧105m处依次为四川龙尚木业有限公司、蓬溪欧范家具有限公司、蓬溪鑫和家具产业园；</w:t>
            </w:r>
            <w:r>
              <w:rPr>
                <w:rFonts w:hint="eastAsia" w:ascii="Times New Roman" w:hAnsi="Times New Roman" w:eastAsia="宋体" w:cs="Times New Roman"/>
                <w:color w:val="000000"/>
                <w:kern w:val="0"/>
                <w:sz w:val="21"/>
                <w:szCs w:val="21"/>
                <w:lang w:val="en-US" w:eastAsia="zh-CN" w:bidi="ar"/>
              </w:rPr>
              <w:t>喷涂车间</w:t>
            </w:r>
            <w:r>
              <w:rPr>
                <w:rFonts w:hint="eastAsia" w:cs="Times New Roman"/>
                <w:color w:val="000000"/>
                <w:kern w:val="0"/>
                <w:sz w:val="21"/>
                <w:szCs w:val="21"/>
                <w:lang w:val="en-US" w:eastAsia="zh-CN" w:bidi="ar"/>
              </w:rPr>
              <w:t>东侧10m处为遂宁彩奇印务有限公司，55m处依次为四川欧尚家美门业有限公司、四川乐辰木业有限公司、四川聚泰材料有限公司；项目注塑车间西南侧56m处为西华安置小区（约396户，1500人）；注塑车间南侧20m处依次为四川省川中线缆有限公司、川胜电缆有限公司；其他地方为空地或空置厂房。本项目外环境关系图见</w:t>
            </w:r>
            <w:r>
              <w:rPr>
                <w:rFonts w:hint="eastAsia" w:cs="Times New Roman"/>
                <w:color w:val="FF0000"/>
                <w:kern w:val="0"/>
                <w:sz w:val="21"/>
                <w:szCs w:val="21"/>
                <w:lang w:val="en-US" w:eastAsia="zh-CN" w:bidi="ar"/>
              </w:rPr>
              <w:t>附图2。</w:t>
            </w:r>
          </w:p>
          <w:p w14:paraId="339A9093">
            <w:pPr>
              <w:bidi w:val="0"/>
              <w:jc w:val="center"/>
              <w:rPr>
                <w:rFonts w:hint="eastAsia"/>
                <w:b/>
                <w:bCs/>
                <w:lang w:val="en-US" w:eastAsia="zh-CN"/>
              </w:rPr>
            </w:pPr>
            <w:r>
              <w:rPr>
                <w:rFonts w:hint="eastAsia"/>
                <w:b/>
                <w:bCs/>
                <w:lang w:val="en-US" w:eastAsia="zh-CN"/>
              </w:rPr>
              <w:t>表1-9项目外环境关系一览表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653"/>
              <w:gridCol w:w="3703"/>
              <w:gridCol w:w="792"/>
              <w:gridCol w:w="1162"/>
              <w:gridCol w:w="1767"/>
            </w:tblGrid>
            <w:tr w14:paraId="1C77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7EFF26CA">
                  <w:pPr>
                    <w:jc w:val="center"/>
                    <w:rPr>
                      <w:rFonts w:hint="eastAsia" w:eastAsia="宋体"/>
                      <w:sz w:val="21"/>
                      <w:szCs w:val="21"/>
                      <w:vertAlign w:val="baseline"/>
                      <w:lang w:val="en-US" w:eastAsia="zh-CN"/>
                    </w:rPr>
                  </w:pPr>
                  <w:r>
                    <w:rPr>
                      <w:rFonts w:hint="eastAsia"/>
                      <w:sz w:val="21"/>
                      <w:szCs w:val="21"/>
                      <w:vertAlign w:val="baseline"/>
                      <w:lang w:val="en-US" w:eastAsia="zh-CN"/>
                    </w:rPr>
                    <w:t>序号</w:t>
                  </w:r>
                </w:p>
              </w:tc>
              <w:tc>
                <w:tcPr>
                  <w:tcW w:w="4356" w:type="dxa"/>
                  <w:gridSpan w:val="2"/>
                  <w:vAlign w:val="center"/>
                </w:tcPr>
                <w:p w14:paraId="1ED1FE56">
                  <w:pPr>
                    <w:jc w:val="center"/>
                    <w:rPr>
                      <w:rFonts w:hint="eastAsia" w:eastAsia="宋体"/>
                      <w:sz w:val="21"/>
                      <w:szCs w:val="21"/>
                      <w:vertAlign w:val="baseline"/>
                      <w:lang w:val="en-US" w:eastAsia="zh-CN"/>
                    </w:rPr>
                  </w:pPr>
                  <w:r>
                    <w:rPr>
                      <w:rFonts w:hint="eastAsia"/>
                      <w:sz w:val="21"/>
                      <w:szCs w:val="21"/>
                      <w:vertAlign w:val="baseline"/>
                      <w:lang w:val="en-US" w:eastAsia="zh-CN"/>
                    </w:rPr>
                    <w:t>名称</w:t>
                  </w:r>
                </w:p>
              </w:tc>
              <w:tc>
                <w:tcPr>
                  <w:tcW w:w="792" w:type="dxa"/>
                  <w:vAlign w:val="center"/>
                </w:tcPr>
                <w:p w14:paraId="3762525A">
                  <w:pPr>
                    <w:jc w:val="center"/>
                    <w:rPr>
                      <w:rFonts w:hint="eastAsia" w:eastAsia="宋体"/>
                      <w:sz w:val="21"/>
                      <w:szCs w:val="21"/>
                      <w:vertAlign w:val="baseline"/>
                      <w:lang w:val="en-US" w:eastAsia="zh-CN"/>
                    </w:rPr>
                  </w:pPr>
                  <w:r>
                    <w:rPr>
                      <w:rFonts w:hint="eastAsia"/>
                      <w:sz w:val="21"/>
                      <w:szCs w:val="21"/>
                      <w:vertAlign w:val="baseline"/>
                      <w:lang w:val="en-US" w:eastAsia="zh-CN"/>
                    </w:rPr>
                    <w:t>方位</w:t>
                  </w:r>
                </w:p>
              </w:tc>
              <w:tc>
                <w:tcPr>
                  <w:tcW w:w="1162" w:type="dxa"/>
                  <w:vAlign w:val="center"/>
                </w:tcPr>
                <w:p w14:paraId="058EBA8A">
                  <w:pPr>
                    <w:jc w:val="center"/>
                    <w:rPr>
                      <w:rFonts w:hint="eastAsia" w:eastAsia="宋体"/>
                      <w:sz w:val="21"/>
                      <w:szCs w:val="21"/>
                      <w:vertAlign w:val="baseline"/>
                      <w:lang w:val="en-US" w:eastAsia="zh-CN"/>
                    </w:rPr>
                  </w:pPr>
                  <w:r>
                    <w:rPr>
                      <w:rFonts w:hint="eastAsia"/>
                      <w:sz w:val="21"/>
                      <w:szCs w:val="21"/>
                      <w:vertAlign w:val="baseline"/>
                      <w:lang w:val="en-US" w:eastAsia="zh-CN"/>
                    </w:rPr>
                    <w:t>距离（m）</w:t>
                  </w:r>
                </w:p>
              </w:tc>
              <w:tc>
                <w:tcPr>
                  <w:tcW w:w="1767" w:type="dxa"/>
                  <w:vAlign w:val="center"/>
                </w:tcPr>
                <w:p w14:paraId="341049A7">
                  <w:pPr>
                    <w:jc w:val="center"/>
                    <w:rPr>
                      <w:rFonts w:hint="eastAsia" w:eastAsia="宋体"/>
                      <w:sz w:val="21"/>
                      <w:szCs w:val="21"/>
                      <w:vertAlign w:val="baseline"/>
                      <w:lang w:val="en-US" w:eastAsia="zh-CN"/>
                    </w:rPr>
                  </w:pPr>
                  <w:r>
                    <w:rPr>
                      <w:rFonts w:hint="eastAsia"/>
                      <w:sz w:val="21"/>
                      <w:szCs w:val="21"/>
                      <w:vertAlign w:val="baseline"/>
                      <w:lang w:val="en-US" w:eastAsia="zh-CN"/>
                    </w:rPr>
                    <w:t>类别</w:t>
                  </w:r>
                </w:p>
              </w:tc>
            </w:tr>
            <w:tr w14:paraId="5B86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gridSpan w:val="6"/>
                  <w:vAlign w:val="center"/>
                </w:tcPr>
                <w:p w14:paraId="2904D18D">
                  <w:pPr>
                    <w:jc w:val="center"/>
                    <w:rPr>
                      <w:rFonts w:hint="eastAsia"/>
                      <w:sz w:val="21"/>
                      <w:szCs w:val="21"/>
                      <w:vertAlign w:val="baseline"/>
                      <w:lang w:val="en-US" w:eastAsia="zh-CN"/>
                    </w:rPr>
                  </w:pPr>
                  <w:r>
                    <w:rPr>
                      <w:rFonts w:hint="eastAsia"/>
                      <w:sz w:val="21"/>
                      <w:szCs w:val="21"/>
                      <w:vertAlign w:val="baseline"/>
                      <w:lang w:val="en-US" w:eastAsia="zh-CN"/>
                    </w:rPr>
                    <w:t>以下目标的距离以喷涂车间距离计</w:t>
                  </w:r>
                </w:p>
              </w:tc>
            </w:tr>
            <w:tr w14:paraId="576E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55681138">
                  <w:pPr>
                    <w:jc w:val="center"/>
                    <w:rPr>
                      <w:rFonts w:hint="eastAsia" w:eastAsia="宋体"/>
                      <w:sz w:val="21"/>
                      <w:szCs w:val="21"/>
                      <w:vertAlign w:val="baseline"/>
                      <w:lang w:val="en-US" w:eastAsia="zh-CN"/>
                    </w:rPr>
                  </w:pPr>
                  <w:r>
                    <w:rPr>
                      <w:rFonts w:hint="eastAsia"/>
                      <w:sz w:val="21"/>
                      <w:szCs w:val="21"/>
                      <w:vertAlign w:val="baseline"/>
                      <w:lang w:val="en-US" w:eastAsia="zh-CN"/>
                    </w:rPr>
                    <w:t>1</w:t>
                  </w:r>
                </w:p>
              </w:tc>
              <w:tc>
                <w:tcPr>
                  <w:tcW w:w="653" w:type="dxa"/>
                  <w:vMerge w:val="restart"/>
                  <w:vAlign w:val="center"/>
                </w:tcPr>
                <w:p w14:paraId="45D09BFD">
                  <w:pPr>
                    <w:jc w:val="center"/>
                    <w:rPr>
                      <w:rFonts w:hint="default" w:eastAsia="宋体"/>
                      <w:sz w:val="21"/>
                      <w:szCs w:val="21"/>
                      <w:vertAlign w:val="baseline"/>
                      <w:lang w:val="en-US" w:eastAsia="zh-CN"/>
                    </w:rPr>
                  </w:pPr>
                  <w:r>
                    <w:rPr>
                      <w:rFonts w:hint="eastAsia"/>
                      <w:sz w:val="21"/>
                      <w:szCs w:val="21"/>
                      <w:vertAlign w:val="baseline"/>
                      <w:lang w:val="en-US" w:eastAsia="zh-CN"/>
                    </w:rPr>
                    <w:t>万象壹品门业厂房</w:t>
                  </w:r>
                </w:p>
              </w:tc>
              <w:tc>
                <w:tcPr>
                  <w:tcW w:w="3703" w:type="dxa"/>
                  <w:vAlign w:val="center"/>
                </w:tcPr>
                <w:p w14:paraId="6A4EF53B">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四川拱市联村富泽消防科技有限公司</w:t>
                  </w:r>
                </w:p>
              </w:tc>
              <w:tc>
                <w:tcPr>
                  <w:tcW w:w="792" w:type="dxa"/>
                  <w:vAlign w:val="center"/>
                </w:tcPr>
                <w:p w14:paraId="2EBC6169">
                  <w:pPr>
                    <w:jc w:val="center"/>
                    <w:rPr>
                      <w:rFonts w:hint="eastAsia" w:eastAsia="宋体"/>
                      <w:sz w:val="21"/>
                      <w:szCs w:val="21"/>
                      <w:vertAlign w:val="baseline"/>
                      <w:lang w:val="en-US" w:eastAsia="zh-CN"/>
                    </w:rPr>
                  </w:pPr>
                  <w:r>
                    <w:rPr>
                      <w:rFonts w:hint="eastAsia"/>
                      <w:sz w:val="21"/>
                      <w:szCs w:val="21"/>
                      <w:vertAlign w:val="baseline"/>
                      <w:lang w:val="en-US" w:eastAsia="zh-CN"/>
                    </w:rPr>
                    <w:t>北</w:t>
                  </w:r>
                </w:p>
              </w:tc>
              <w:tc>
                <w:tcPr>
                  <w:tcW w:w="1162" w:type="dxa"/>
                  <w:vAlign w:val="center"/>
                </w:tcPr>
                <w:p w14:paraId="1124DD64">
                  <w:pPr>
                    <w:jc w:val="center"/>
                    <w:rPr>
                      <w:rFonts w:hint="eastAsia" w:eastAsia="宋体"/>
                      <w:sz w:val="21"/>
                      <w:szCs w:val="21"/>
                      <w:vertAlign w:val="baseline"/>
                      <w:lang w:val="en-US" w:eastAsia="zh-CN"/>
                    </w:rPr>
                  </w:pPr>
                  <w:r>
                    <w:rPr>
                      <w:rFonts w:hint="eastAsia"/>
                      <w:sz w:val="21"/>
                      <w:szCs w:val="21"/>
                      <w:vertAlign w:val="baseline"/>
                      <w:lang w:val="en-US" w:eastAsia="zh-CN"/>
                    </w:rPr>
                    <w:t>紧邻</w:t>
                  </w:r>
                </w:p>
              </w:tc>
              <w:tc>
                <w:tcPr>
                  <w:tcW w:w="1767" w:type="dxa"/>
                  <w:vAlign w:val="center"/>
                </w:tcPr>
                <w:p w14:paraId="7E54FF13">
                  <w:pPr>
                    <w:jc w:val="center"/>
                    <w:rPr>
                      <w:rFonts w:hint="default" w:eastAsia="宋体"/>
                      <w:sz w:val="21"/>
                      <w:szCs w:val="21"/>
                      <w:vertAlign w:val="baseline"/>
                      <w:lang w:val="en-US" w:eastAsia="zh-CN"/>
                    </w:rPr>
                  </w:pPr>
                  <w:r>
                    <w:rPr>
                      <w:rFonts w:hint="eastAsia"/>
                      <w:sz w:val="21"/>
                      <w:szCs w:val="21"/>
                      <w:vertAlign w:val="baseline"/>
                      <w:lang w:val="en-US" w:eastAsia="zh-CN"/>
                    </w:rPr>
                    <w:t>消防器材制造</w:t>
                  </w:r>
                </w:p>
              </w:tc>
            </w:tr>
            <w:tr w14:paraId="5C52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327AFF8C">
                  <w:pPr>
                    <w:jc w:val="center"/>
                    <w:rPr>
                      <w:rFonts w:hint="eastAsia" w:eastAsia="宋体"/>
                      <w:sz w:val="21"/>
                      <w:szCs w:val="21"/>
                      <w:vertAlign w:val="baseline"/>
                      <w:lang w:val="en-US" w:eastAsia="zh-CN"/>
                    </w:rPr>
                  </w:pPr>
                  <w:r>
                    <w:rPr>
                      <w:rFonts w:hint="eastAsia"/>
                      <w:sz w:val="21"/>
                      <w:szCs w:val="21"/>
                      <w:vertAlign w:val="baseline"/>
                      <w:lang w:val="en-US" w:eastAsia="zh-CN"/>
                    </w:rPr>
                    <w:t>2</w:t>
                  </w:r>
                </w:p>
              </w:tc>
              <w:tc>
                <w:tcPr>
                  <w:tcW w:w="653" w:type="dxa"/>
                  <w:vMerge w:val="continue"/>
                  <w:vAlign w:val="center"/>
                </w:tcPr>
                <w:p w14:paraId="7E8D1DA5">
                  <w:pPr>
                    <w:jc w:val="center"/>
                    <w:rPr>
                      <w:rFonts w:hint="default"/>
                      <w:sz w:val="21"/>
                      <w:szCs w:val="21"/>
                      <w:vertAlign w:val="baseline"/>
                      <w:lang w:val="en-US"/>
                    </w:rPr>
                  </w:pPr>
                </w:p>
              </w:tc>
              <w:tc>
                <w:tcPr>
                  <w:tcW w:w="3703" w:type="dxa"/>
                  <w:vAlign w:val="center"/>
                </w:tcPr>
                <w:p w14:paraId="5FB5BCF0">
                  <w:pPr>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四川家家喜木业有限公司</w:t>
                  </w:r>
                </w:p>
              </w:tc>
              <w:tc>
                <w:tcPr>
                  <w:tcW w:w="792" w:type="dxa"/>
                  <w:vAlign w:val="center"/>
                </w:tcPr>
                <w:p w14:paraId="60935550">
                  <w:pPr>
                    <w:jc w:val="center"/>
                    <w:rPr>
                      <w:rFonts w:hint="eastAsia" w:eastAsia="宋体"/>
                      <w:sz w:val="21"/>
                      <w:szCs w:val="21"/>
                      <w:vertAlign w:val="baseline"/>
                      <w:lang w:val="en-US" w:eastAsia="zh-CN"/>
                    </w:rPr>
                  </w:pPr>
                  <w:r>
                    <w:rPr>
                      <w:rFonts w:hint="eastAsia"/>
                      <w:sz w:val="21"/>
                      <w:szCs w:val="21"/>
                      <w:vertAlign w:val="baseline"/>
                      <w:lang w:val="en-US" w:eastAsia="zh-CN"/>
                    </w:rPr>
                    <w:t>北</w:t>
                  </w:r>
                </w:p>
              </w:tc>
              <w:tc>
                <w:tcPr>
                  <w:tcW w:w="1162" w:type="dxa"/>
                  <w:vAlign w:val="center"/>
                </w:tcPr>
                <w:p w14:paraId="0A987EB9">
                  <w:pPr>
                    <w:jc w:val="center"/>
                    <w:rPr>
                      <w:rFonts w:hint="default" w:eastAsia="宋体"/>
                      <w:sz w:val="21"/>
                      <w:szCs w:val="21"/>
                      <w:vertAlign w:val="baseline"/>
                      <w:lang w:val="en-US" w:eastAsia="zh-CN"/>
                    </w:rPr>
                  </w:pPr>
                  <w:r>
                    <w:rPr>
                      <w:rFonts w:hint="eastAsia"/>
                      <w:sz w:val="21"/>
                      <w:szCs w:val="21"/>
                      <w:vertAlign w:val="baseline"/>
                      <w:lang w:val="en-US" w:eastAsia="zh-CN"/>
                    </w:rPr>
                    <w:t>30</w:t>
                  </w:r>
                </w:p>
              </w:tc>
              <w:tc>
                <w:tcPr>
                  <w:tcW w:w="1767" w:type="dxa"/>
                  <w:vAlign w:val="center"/>
                </w:tcPr>
                <w:p w14:paraId="2E2FDE26">
                  <w:pPr>
                    <w:tabs>
                      <w:tab w:val="left" w:pos="590"/>
                    </w:tabs>
                    <w:jc w:val="center"/>
                    <w:rPr>
                      <w:rFonts w:hint="default" w:eastAsia="宋体"/>
                      <w:sz w:val="21"/>
                      <w:szCs w:val="21"/>
                      <w:vertAlign w:val="baseline"/>
                      <w:lang w:val="en-US" w:eastAsia="zh-CN"/>
                    </w:rPr>
                  </w:pPr>
                  <w:r>
                    <w:rPr>
                      <w:rFonts w:hint="eastAsia"/>
                      <w:sz w:val="21"/>
                      <w:szCs w:val="21"/>
                      <w:vertAlign w:val="baseline"/>
                      <w:lang w:val="en-US" w:eastAsia="zh-CN"/>
                    </w:rPr>
                    <w:t>家具制造</w:t>
                  </w:r>
                </w:p>
              </w:tc>
            </w:tr>
            <w:tr w14:paraId="64F9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0549CE70">
                  <w:pPr>
                    <w:jc w:val="center"/>
                    <w:rPr>
                      <w:rFonts w:hint="eastAsia" w:eastAsia="宋体"/>
                      <w:sz w:val="21"/>
                      <w:szCs w:val="21"/>
                      <w:vertAlign w:val="baseline"/>
                      <w:lang w:val="en-US" w:eastAsia="zh-CN"/>
                    </w:rPr>
                  </w:pPr>
                  <w:r>
                    <w:rPr>
                      <w:rFonts w:hint="eastAsia"/>
                      <w:sz w:val="21"/>
                      <w:szCs w:val="21"/>
                      <w:vertAlign w:val="baseline"/>
                      <w:lang w:val="en-US" w:eastAsia="zh-CN"/>
                    </w:rPr>
                    <w:t>3</w:t>
                  </w:r>
                </w:p>
              </w:tc>
              <w:tc>
                <w:tcPr>
                  <w:tcW w:w="653" w:type="dxa"/>
                  <w:vMerge w:val="continue"/>
                  <w:vAlign w:val="center"/>
                </w:tcPr>
                <w:p w14:paraId="7851ABDF">
                  <w:pPr>
                    <w:tabs>
                      <w:tab w:val="left" w:pos="1116"/>
                    </w:tabs>
                    <w:jc w:val="center"/>
                    <w:rPr>
                      <w:rFonts w:hint="eastAsia" w:eastAsia="宋体"/>
                      <w:sz w:val="21"/>
                      <w:szCs w:val="21"/>
                      <w:vertAlign w:val="baseline"/>
                      <w:lang w:val="en-US" w:eastAsia="zh-CN"/>
                    </w:rPr>
                  </w:pPr>
                </w:p>
              </w:tc>
              <w:tc>
                <w:tcPr>
                  <w:tcW w:w="3703" w:type="dxa"/>
                  <w:vAlign w:val="center"/>
                </w:tcPr>
                <w:p w14:paraId="4B3B575B">
                  <w:pPr>
                    <w:tabs>
                      <w:tab w:val="left" w:pos="1116"/>
                    </w:tabs>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四川美悦鑫再生资源利用有限公司</w:t>
                  </w:r>
                </w:p>
              </w:tc>
              <w:tc>
                <w:tcPr>
                  <w:tcW w:w="792" w:type="dxa"/>
                  <w:vAlign w:val="center"/>
                </w:tcPr>
                <w:p w14:paraId="44E07E49">
                  <w:pPr>
                    <w:jc w:val="center"/>
                    <w:rPr>
                      <w:rFonts w:hint="eastAsia" w:eastAsia="宋体"/>
                      <w:sz w:val="21"/>
                      <w:szCs w:val="21"/>
                      <w:vertAlign w:val="baseline"/>
                      <w:lang w:val="en-US" w:eastAsia="zh-CN"/>
                    </w:rPr>
                  </w:pPr>
                  <w:r>
                    <w:rPr>
                      <w:rFonts w:hint="eastAsia"/>
                      <w:sz w:val="21"/>
                      <w:szCs w:val="21"/>
                      <w:vertAlign w:val="baseline"/>
                      <w:lang w:val="en-US" w:eastAsia="zh-CN"/>
                    </w:rPr>
                    <w:t>北</w:t>
                  </w:r>
                </w:p>
              </w:tc>
              <w:tc>
                <w:tcPr>
                  <w:tcW w:w="1162" w:type="dxa"/>
                  <w:vAlign w:val="center"/>
                </w:tcPr>
                <w:p w14:paraId="60B31732">
                  <w:pPr>
                    <w:jc w:val="center"/>
                    <w:rPr>
                      <w:rFonts w:hint="default" w:eastAsia="宋体"/>
                      <w:sz w:val="21"/>
                      <w:szCs w:val="21"/>
                      <w:vertAlign w:val="baseline"/>
                      <w:lang w:val="en-US" w:eastAsia="zh-CN"/>
                    </w:rPr>
                  </w:pPr>
                  <w:r>
                    <w:rPr>
                      <w:rFonts w:hint="eastAsia"/>
                      <w:sz w:val="21"/>
                      <w:szCs w:val="21"/>
                      <w:vertAlign w:val="baseline"/>
                      <w:lang w:val="en-US" w:eastAsia="zh-CN"/>
                    </w:rPr>
                    <w:t>57</w:t>
                  </w:r>
                </w:p>
              </w:tc>
              <w:tc>
                <w:tcPr>
                  <w:tcW w:w="1767" w:type="dxa"/>
                  <w:vAlign w:val="center"/>
                </w:tcPr>
                <w:p w14:paraId="6C24D947">
                  <w:pPr>
                    <w:jc w:val="center"/>
                    <w:rPr>
                      <w:rFonts w:hint="default" w:eastAsia="宋体"/>
                      <w:sz w:val="21"/>
                      <w:szCs w:val="21"/>
                      <w:vertAlign w:val="baseline"/>
                      <w:lang w:val="en-US" w:eastAsia="zh-CN"/>
                    </w:rPr>
                  </w:pPr>
                  <w:r>
                    <w:rPr>
                      <w:rFonts w:hint="eastAsia"/>
                      <w:sz w:val="21"/>
                      <w:szCs w:val="21"/>
                      <w:vertAlign w:val="baseline"/>
                      <w:lang w:val="en-US" w:eastAsia="zh-CN"/>
                    </w:rPr>
                    <w:t>再生资源加工</w:t>
                  </w:r>
                </w:p>
              </w:tc>
            </w:tr>
            <w:tr w14:paraId="4533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216CC765">
                  <w:pPr>
                    <w:jc w:val="center"/>
                    <w:rPr>
                      <w:rFonts w:hint="eastAsia"/>
                      <w:sz w:val="21"/>
                      <w:szCs w:val="21"/>
                      <w:vertAlign w:val="baseline"/>
                      <w:lang w:val="en-US" w:eastAsia="zh-CN"/>
                    </w:rPr>
                  </w:pPr>
                </w:p>
              </w:tc>
              <w:tc>
                <w:tcPr>
                  <w:tcW w:w="653" w:type="dxa"/>
                  <w:vMerge w:val="continue"/>
                  <w:vAlign w:val="center"/>
                </w:tcPr>
                <w:p w14:paraId="3157CF73">
                  <w:pPr>
                    <w:tabs>
                      <w:tab w:val="left" w:pos="1116"/>
                    </w:tabs>
                    <w:jc w:val="center"/>
                    <w:rPr>
                      <w:rFonts w:hint="eastAsia" w:eastAsia="宋体"/>
                      <w:sz w:val="21"/>
                      <w:szCs w:val="21"/>
                      <w:vertAlign w:val="baseline"/>
                      <w:lang w:val="en-US" w:eastAsia="zh-CN"/>
                    </w:rPr>
                  </w:pPr>
                </w:p>
              </w:tc>
              <w:tc>
                <w:tcPr>
                  <w:tcW w:w="3703" w:type="dxa"/>
                  <w:vAlign w:val="center"/>
                </w:tcPr>
                <w:p w14:paraId="0B5DC2BA">
                  <w:pPr>
                    <w:tabs>
                      <w:tab w:val="left" w:pos="1116"/>
                    </w:tabs>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遂宁彩奇印务有限公司</w:t>
                  </w:r>
                </w:p>
              </w:tc>
              <w:tc>
                <w:tcPr>
                  <w:tcW w:w="792" w:type="dxa"/>
                  <w:vAlign w:val="center"/>
                </w:tcPr>
                <w:p w14:paraId="614B0612">
                  <w:pPr>
                    <w:jc w:val="center"/>
                    <w:rPr>
                      <w:rFonts w:hint="default"/>
                      <w:sz w:val="21"/>
                      <w:szCs w:val="21"/>
                      <w:vertAlign w:val="baseline"/>
                      <w:lang w:val="en-US" w:eastAsia="zh-CN"/>
                    </w:rPr>
                  </w:pPr>
                  <w:r>
                    <w:rPr>
                      <w:rFonts w:hint="eastAsia"/>
                      <w:sz w:val="21"/>
                      <w:szCs w:val="21"/>
                      <w:vertAlign w:val="baseline"/>
                      <w:lang w:val="en-US" w:eastAsia="zh-CN"/>
                    </w:rPr>
                    <w:t>东</w:t>
                  </w:r>
                </w:p>
              </w:tc>
              <w:tc>
                <w:tcPr>
                  <w:tcW w:w="1162" w:type="dxa"/>
                  <w:vAlign w:val="center"/>
                </w:tcPr>
                <w:p w14:paraId="42242174">
                  <w:pPr>
                    <w:jc w:val="center"/>
                    <w:rPr>
                      <w:rFonts w:hint="default"/>
                      <w:sz w:val="21"/>
                      <w:szCs w:val="21"/>
                      <w:vertAlign w:val="baseline"/>
                      <w:lang w:val="en-US" w:eastAsia="zh-CN"/>
                    </w:rPr>
                  </w:pPr>
                  <w:r>
                    <w:rPr>
                      <w:rFonts w:hint="eastAsia"/>
                      <w:sz w:val="21"/>
                      <w:szCs w:val="21"/>
                      <w:vertAlign w:val="baseline"/>
                      <w:lang w:val="en-US" w:eastAsia="zh-CN"/>
                    </w:rPr>
                    <w:t>10</w:t>
                  </w:r>
                </w:p>
              </w:tc>
              <w:tc>
                <w:tcPr>
                  <w:tcW w:w="1767" w:type="dxa"/>
                  <w:vAlign w:val="center"/>
                </w:tcPr>
                <w:p w14:paraId="335C7635">
                  <w:pPr>
                    <w:jc w:val="center"/>
                    <w:rPr>
                      <w:rFonts w:hint="default"/>
                      <w:sz w:val="21"/>
                      <w:szCs w:val="21"/>
                      <w:vertAlign w:val="baseline"/>
                      <w:lang w:val="en-US" w:eastAsia="zh-CN"/>
                    </w:rPr>
                  </w:pPr>
                  <w:r>
                    <w:rPr>
                      <w:rFonts w:hint="eastAsia"/>
                      <w:sz w:val="21"/>
                      <w:szCs w:val="21"/>
                      <w:vertAlign w:val="baseline"/>
                      <w:lang w:val="en-US" w:eastAsia="zh-CN"/>
                    </w:rPr>
                    <w:t>印刷</w:t>
                  </w:r>
                </w:p>
              </w:tc>
            </w:tr>
            <w:tr w14:paraId="10E4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1E33B152">
                  <w:pPr>
                    <w:jc w:val="center"/>
                    <w:rPr>
                      <w:rFonts w:hint="eastAsia" w:eastAsia="宋体"/>
                      <w:sz w:val="21"/>
                      <w:szCs w:val="21"/>
                      <w:vertAlign w:val="baseline"/>
                      <w:lang w:val="en-US" w:eastAsia="zh-CN"/>
                    </w:rPr>
                  </w:pPr>
                  <w:r>
                    <w:rPr>
                      <w:rFonts w:hint="eastAsia"/>
                      <w:sz w:val="21"/>
                      <w:szCs w:val="21"/>
                      <w:vertAlign w:val="baseline"/>
                      <w:lang w:val="en-US" w:eastAsia="zh-CN"/>
                    </w:rPr>
                    <w:t>4</w:t>
                  </w:r>
                </w:p>
              </w:tc>
              <w:tc>
                <w:tcPr>
                  <w:tcW w:w="4356" w:type="dxa"/>
                  <w:gridSpan w:val="2"/>
                  <w:vAlign w:val="center"/>
                </w:tcPr>
                <w:p w14:paraId="1BB210C4">
                  <w:pPr>
                    <w:jc w:val="center"/>
                    <w:rPr>
                      <w:rFonts w:hint="default"/>
                      <w:sz w:val="21"/>
                      <w:szCs w:val="21"/>
                      <w:vertAlign w:val="baseline"/>
                      <w:lang w:val="en-US"/>
                    </w:rPr>
                  </w:pPr>
                  <w:r>
                    <w:rPr>
                      <w:rFonts w:hint="eastAsia" w:cs="Times New Roman"/>
                      <w:color w:val="000000"/>
                      <w:kern w:val="0"/>
                      <w:sz w:val="21"/>
                      <w:szCs w:val="21"/>
                      <w:lang w:val="en-US" w:eastAsia="zh-CN" w:bidi="ar"/>
                    </w:rPr>
                    <w:t>四川省</w:t>
                  </w:r>
                  <w:r>
                    <w:rPr>
                      <w:rFonts w:hint="eastAsia" w:ascii="Times New Roman" w:hAnsi="Times New Roman" w:eastAsia="宋体" w:cs="Times New Roman"/>
                      <w:color w:val="000000"/>
                      <w:kern w:val="0"/>
                      <w:sz w:val="21"/>
                      <w:szCs w:val="21"/>
                      <w:lang w:val="en-US" w:eastAsia="zh-CN" w:bidi="ar"/>
                    </w:rPr>
                    <w:t>淅川电缆有限公司</w:t>
                  </w:r>
                </w:p>
              </w:tc>
              <w:tc>
                <w:tcPr>
                  <w:tcW w:w="792" w:type="dxa"/>
                  <w:vAlign w:val="center"/>
                </w:tcPr>
                <w:p w14:paraId="7A9F9C0A">
                  <w:pPr>
                    <w:jc w:val="center"/>
                    <w:rPr>
                      <w:rFonts w:hint="eastAsia" w:eastAsia="宋体"/>
                      <w:sz w:val="21"/>
                      <w:szCs w:val="21"/>
                      <w:vertAlign w:val="baseline"/>
                      <w:lang w:val="en-US" w:eastAsia="zh-CN"/>
                    </w:rPr>
                  </w:pPr>
                  <w:r>
                    <w:rPr>
                      <w:rFonts w:hint="eastAsia"/>
                      <w:sz w:val="21"/>
                      <w:szCs w:val="21"/>
                      <w:vertAlign w:val="baseline"/>
                      <w:lang w:val="en-US" w:eastAsia="zh-CN"/>
                    </w:rPr>
                    <w:t>西北</w:t>
                  </w:r>
                </w:p>
              </w:tc>
              <w:tc>
                <w:tcPr>
                  <w:tcW w:w="1162" w:type="dxa"/>
                  <w:vAlign w:val="center"/>
                </w:tcPr>
                <w:p w14:paraId="3BCF5352">
                  <w:pPr>
                    <w:jc w:val="center"/>
                    <w:rPr>
                      <w:rFonts w:hint="default" w:eastAsia="宋体"/>
                      <w:sz w:val="21"/>
                      <w:szCs w:val="21"/>
                      <w:vertAlign w:val="baseline"/>
                      <w:lang w:val="en-US" w:eastAsia="zh-CN"/>
                    </w:rPr>
                  </w:pPr>
                  <w:r>
                    <w:rPr>
                      <w:rFonts w:hint="eastAsia"/>
                      <w:sz w:val="21"/>
                      <w:szCs w:val="21"/>
                      <w:vertAlign w:val="baseline"/>
                      <w:lang w:val="en-US" w:eastAsia="zh-CN"/>
                    </w:rPr>
                    <w:t>185</w:t>
                  </w:r>
                </w:p>
              </w:tc>
              <w:tc>
                <w:tcPr>
                  <w:tcW w:w="1767" w:type="dxa"/>
                  <w:vAlign w:val="center"/>
                </w:tcPr>
                <w:p w14:paraId="3530E0B7">
                  <w:pPr>
                    <w:jc w:val="center"/>
                    <w:rPr>
                      <w:rFonts w:hint="default" w:eastAsia="宋体"/>
                      <w:sz w:val="21"/>
                      <w:szCs w:val="21"/>
                      <w:vertAlign w:val="baseline"/>
                      <w:lang w:val="en-US" w:eastAsia="zh-CN"/>
                    </w:rPr>
                  </w:pPr>
                  <w:r>
                    <w:rPr>
                      <w:rFonts w:hint="eastAsia"/>
                      <w:sz w:val="21"/>
                      <w:szCs w:val="21"/>
                      <w:vertAlign w:val="baseline"/>
                      <w:lang w:val="en-US" w:eastAsia="zh-CN"/>
                    </w:rPr>
                    <w:t>电线电缆制造</w:t>
                  </w:r>
                </w:p>
              </w:tc>
            </w:tr>
            <w:tr w14:paraId="3150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0432BF35">
                  <w:pPr>
                    <w:jc w:val="center"/>
                    <w:rPr>
                      <w:rFonts w:hint="eastAsia" w:eastAsia="宋体"/>
                      <w:sz w:val="21"/>
                      <w:szCs w:val="21"/>
                      <w:vertAlign w:val="baseline"/>
                      <w:lang w:val="en-US" w:eastAsia="zh-CN"/>
                    </w:rPr>
                  </w:pPr>
                  <w:r>
                    <w:rPr>
                      <w:rFonts w:hint="eastAsia"/>
                      <w:sz w:val="21"/>
                      <w:szCs w:val="21"/>
                      <w:vertAlign w:val="baseline"/>
                      <w:lang w:val="en-US" w:eastAsia="zh-CN"/>
                    </w:rPr>
                    <w:t>5</w:t>
                  </w:r>
                </w:p>
              </w:tc>
              <w:tc>
                <w:tcPr>
                  <w:tcW w:w="4356" w:type="dxa"/>
                  <w:gridSpan w:val="2"/>
                  <w:vAlign w:val="center"/>
                </w:tcPr>
                <w:p w14:paraId="627AA797">
                  <w:pPr>
                    <w:jc w:val="center"/>
                    <w:rPr>
                      <w:rFonts w:hint="default"/>
                      <w:sz w:val="21"/>
                      <w:szCs w:val="21"/>
                      <w:vertAlign w:val="baseline"/>
                      <w:lang w:val="en-US"/>
                    </w:rPr>
                  </w:pPr>
                  <w:r>
                    <w:rPr>
                      <w:rFonts w:hint="eastAsia" w:cs="Times New Roman"/>
                      <w:color w:val="000000"/>
                      <w:kern w:val="0"/>
                      <w:sz w:val="21"/>
                      <w:szCs w:val="21"/>
                      <w:lang w:val="en-US" w:eastAsia="zh-CN" w:bidi="ar"/>
                    </w:rPr>
                    <w:t>四川省</w:t>
                  </w:r>
                  <w:r>
                    <w:rPr>
                      <w:rFonts w:hint="eastAsia" w:ascii="Times New Roman" w:hAnsi="Times New Roman" w:eastAsia="宋体" w:cs="Times New Roman"/>
                      <w:color w:val="000000"/>
                      <w:kern w:val="0"/>
                      <w:sz w:val="21"/>
                      <w:szCs w:val="21"/>
                      <w:lang w:val="en-US" w:eastAsia="zh-CN" w:bidi="ar"/>
                    </w:rPr>
                    <w:t>兴川电缆有限公司</w:t>
                  </w:r>
                </w:p>
              </w:tc>
              <w:tc>
                <w:tcPr>
                  <w:tcW w:w="792" w:type="dxa"/>
                  <w:vAlign w:val="center"/>
                </w:tcPr>
                <w:p w14:paraId="38430205">
                  <w:pPr>
                    <w:jc w:val="center"/>
                    <w:rPr>
                      <w:rFonts w:hint="eastAsia" w:eastAsia="宋体"/>
                      <w:sz w:val="21"/>
                      <w:szCs w:val="21"/>
                      <w:vertAlign w:val="baseline"/>
                      <w:lang w:val="en-US" w:eastAsia="zh-CN"/>
                    </w:rPr>
                  </w:pPr>
                  <w:r>
                    <w:rPr>
                      <w:rFonts w:hint="eastAsia"/>
                      <w:sz w:val="21"/>
                      <w:szCs w:val="21"/>
                      <w:vertAlign w:val="baseline"/>
                      <w:lang w:val="en-US" w:eastAsia="zh-CN"/>
                    </w:rPr>
                    <w:t>西北</w:t>
                  </w:r>
                </w:p>
              </w:tc>
              <w:tc>
                <w:tcPr>
                  <w:tcW w:w="1162" w:type="dxa"/>
                  <w:vAlign w:val="center"/>
                </w:tcPr>
                <w:p w14:paraId="57E7B58B">
                  <w:pPr>
                    <w:jc w:val="center"/>
                    <w:rPr>
                      <w:rFonts w:hint="default" w:eastAsia="宋体"/>
                      <w:sz w:val="21"/>
                      <w:szCs w:val="21"/>
                      <w:vertAlign w:val="baseline"/>
                      <w:lang w:val="en-US" w:eastAsia="zh-CN"/>
                    </w:rPr>
                  </w:pPr>
                  <w:r>
                    <w:rPr>
                      <w:rFonts w:hint="eastAsia"/>
                      <w:sz w:val="21"/>
                      <w:szCs w:val="21"/>
                      <w:vertAlign w:val="baseline"/>
                      <w:lang w:val="en-US" w:eastAsia="zh-CN"/>
                    </w:rPr>
                    <w:t>270</w:t>
                  </w:r>
                </w:p>
              </w:tc>
              <w:tc>
                <w:tcPr>
                  <w:tcW w:w="1767" w:type="dxa"/>
                  <w:vAlign w:val="center"/>
                </w:tcPr>
                <w:p w14:paraId="7724B537">
                  <w:pPr>
                    <w:jc w:val="center"/>
                    <w:rPr>
                      <w:rFonts w:hint="default" w:eastAsia="宋体"/>
                      <w:sz w:val="21"/>
                      <w:szCs w:val="21"/>
                      <w:vertAlign w:val="baseline"/>
                      <w:lang w:val="en-US" w:eastAsia="zh-CN"/>
                    </w:rPr>
                  </w:pPr>
                  <w:r>
                    <w:rPr>
                      <w:rFonts w:hint="eastAsia"/>
                      <w:sz w:val="21"/>
                      <w:szCs w:val="21"/>
                      <w:vertAlign w:val="baseline"/>
                      <w:lang w:val="en-US" w:eastAsia="zh-CN"/>
                    </w:rPr>
                    <w:t>电线电缆制造</w:t>
                  </w:r>
                </w:p>
              </w:tc>
            </w:tr>
            <w:tr w14:paraId="6E3D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2FDD06D7">
                  <w:pPr>
                    <w:jc w:val="center"/>
                    <w:rPr>
                      <w:rFonts w:hint="eastAsia" w:eastAsia="宋体"/>
                      <w:sz w:val="21"/>
                      <w:szCs w:val="21"/>
                      <w:vertAlign w:val="baseline"/>
                      <w:lang w:val="en-US" w:eastAsia="zh-CN"/>
                    </w:rPr>
                  </w:pPr>
                  <w:r>
                    <w:rPr>
                      <w:rFonts w:hint="eastAsia"/>
                      <w:sz w:val="21"/>
                      <w:szCs w:val="21"/>
                      <w:vertAlign w:val="baseline"/>
                      <w:lang w:val="en-US" w:eastAsia="zh-CN"/>
                    </w:rPr>
                    <w:t>6</w:t>
                  </w:r>
                </w:p>
              </w:tc>
              <w:tc>
                <w:tcPr>
                  <w:tcW w:w="4356" w:type="dxa"/>
                  <w:gridSpan w:val="2"/>
                  <w:vAlign w:val="center"/>
                </w:tcPr>
                <w:p w14:paraId="2BCD8B5D">
                  <w:pPr>
                    <w:jc w:val="center"/>
                    <w:rPr>
                      <w:rFonts w:hint="default"/>
                      <w:sz w:val="21"/>
                      <w:szCs w:val="21"/>
                      <w:vertAlign w:val="baseline"/>
                      <w:lang w:val="en-US"/>
                    </w:rPr>
                  </w:pPr>
                  <w:r>
                    <w:rPr>
                      <w:rFonts w:hint="eastAsia" w:cs="Times New Roman"/>
                      <w:color w:val="000000"/>
                      <w:kern w:val="0"/>
                      <w:sz w:val="21"/>
                      <w:szCs w:val="21"/>
                      <w:lang w:val="en-US" w:eastAsia="zh-CN" w:bidi="ar"/>
                    </w:rPr>
                    <w:t>四川</w:t>
                  </w:r>
                  <w:r>
                    <w:rPr>
                      <w:rFonts w:hint="eastAsia" w:ascii="Times New Roman" w:hAnsi="Times New Roman" w:eastAsia="宋体" w:cs="Times New Roman"/>
                      <w:color w:val="000000"/>
                      <w:kern w:val="0"/>
                      <w:sz w:val="21"/>
                      <w:szCs w:val="21"/>
                      <w:lang w:val="en-US" w:eastAsia="zh-CN" w:bidi="ar"/>
                    </w:rPr>
                    <w:t>欧能电缆</w:t>
                  </w:r>
                  <w:r>
                    <w:rPr>
                      <w:rFonts w:hint="eastAsia" w:cs="Times New Roman"/>
                      <w:color w:val="000000"/>
                      <w:kern w:val="0"/>
                      <w:sz w:val="21"/>
                      <w:szCs w:val="21"/>
                      <w:lang w:val="en-US" w:eastAsia="zh-CN" w:bidi="ar"/>
                    </w:rPr>
                    <w:t>集团</w:t>
                  </w:r>
                  <w:r>
                    <w:rPr>
                      <w:rFonts w:hint="eastAsia" w:ascii="Times New Roman" w:hAnsi="Times New Roman" w:eastAsia="宋体" w:cs="Times New Roman"/>
                      <w:color w:val="000000"/>
                      <w:kern w:val="0"/>
                      <w:sz w:val="21"/>
                      <w:szCs w:val="21"/>
                      <w:lang w:val="en-US" w:eastAsia="zh-CN" w:bidi="ar"/>
                    </w:rPr>
                    <w:t>有限公司</w:t>
                  </w:r>
                </w:p>
              </w:tc>
              <w:tc>
                <w:tcPr>
                  <w:tcW w:w="792" w:type="dxa"/>
                  <w:vAlign w:val="center"/>
                </w:tcPr>
                <w:p w14:paraId="43B1A392">
                  <w:pPr>
                    <w:jc w:val="center"/>
                    <w:rPr>
                      <w:rFonts w:hint="eastAsia" w:eastAsia="宋体"/>
                      <w:sz w:val="21"/>
                      <w:szCs w:val="21"/>
                      <w:vertAlign w:val="baseline"/>
                      <w:lang w:val="en-US" w:eastAsia="zh-CN"/>
                    </w:rPr>
                  </w:pPr>
                  <w:r>
                    <w:rPr>
                      <w:rFonts w:hint="eastAsia"/>
                      <w:sz w:val="21"/>
                      <w:szCs w:val="21"/>
                      <w:vertAlign w:val="baseline"/>
                      <w:lang w:val="en-US" w:eastAsia="zh-CN"/>
                    </w:rPr>
                    <w:t>西北</w:t>
                  </w:r>
                </w:p>
              </w:tc>
              <w:tc>
                <w:tcPr>
                  <w:tcW w:w="1162" w:type="dxa"/>
                  <w:vAlign w:val="center"/>
                </w:tcPr>
                <w:p w14:paraId="09E8E33E">
                  <w:pPr>
                    <w:jc w:val="center"/>
                    <w:rPr>
                      <w:rFonts w:hint="default" w:eastAsia="宋体"/>
                      <w:sz w:val="21"/>
                      <w:szCs w:val="21"/>
                      <w:vertAlign w:val="baseline"/>
                      <w:lang w:val="en-US" w:eastAsia="zh-CN"/>
                    </w:rPr>
                  </w:pPr>
                  <w:r>
                    <w:rPr>
                      <w:rFonts w:hint="eastAsia"/>
                      <w:sz w:val="21"/>
                      <w:szCs w:val="21"/>
                      <w:vertAlign w:val="baseline"/>
                      <w:lang w:val="en-US" w:eastAsia="zh-CN"/>
                    </w:rPr>
                    <w:t>360</w:t>
                  </w:r>
                </w:p>
              </w:tc>
              <w:tc>
                <w:tcPr>
                  <w:tcW w:w="1767" w:type="dxa"/>
                  <w:vAlign w:val="center"/>
                </w:tcPr>
                <w:p w14:paraId="0E899CB7">
                  <w:pPr>
                    <w:jc w:val="center"/>
                    <w:rPr>
                      <w:rFonts w:hint="default"/>
                      <w:sz w:val="21"/>
                      <w:szCs w:val="21"/>
                      <w:vertAlign w:val="baseline"/>
                      <w:lang w:val="en-US"/>
                    </w:rPr>
                  </w:pPr>
                  <w:r>
                    <w:rPr>
                      <w:rFonts w:hint="eastAsia"/>
                      <w:sz w:val="21"/>
                      <w:szCs w:val="21"/>
                      <w:vertAlign w:val="baseline"/>
                      <w:lang w:val="en-US" w:eastAsia="zh-CN"/>
                    </w:rPr>
                    <w:t>电线电缆制造</w:t>
                  </w:r>
                </w:p>
              </w:tc>
            </w:tr>
            <w:tr w14:paraId="5DCE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700182D9">
                  <w:pPr>
                    <w:jc w:val="center"/>
                    <w:rPr>
                      <w:rFonts w:hint="eastAsia" w:eastAsia="宋体"/>
                      <w:sz w:val="21"/>
                      <w:szCs w:val="21"/>
                      <w:vertAlign w:val="baseline"/>
                      <w:lang w:val="en-US" w:eastAsia="zh-CN"/>
                    </w:rPr>
                  </w:pPr>
                  <w:r>
                    <w:rPr>
                      <w:rFonts w:hint="eastAsia"/>
                      <w:sz w:val="21"/>
                      <w:szCs w:val="21"/>
                      <w:vertAlign w:val="baseline"/>
                      <w:lang w:val="en-US" w:eastAsia="zh-CN"/>
                    </w:rPr>
                    <w:t>7</w:t>
                  </w:r>
                </w:p>
              </w:tc>
              <w:tc>
                <w:tcPr>
                  <w:tcW w:w="4356" w:type="dxa"/>
                  <w:gridSpan w:val="2"/>
                  <w:vAlign w:val="center"/>
                </w:tcPr>
                <w:p w14:paraId="2C696785">
                  <w:pPr>
                    <w:jc w:val="center"/>
                    <w:rPr>
                      <w:rFonts w:hint="default"/>
                      <w:sz w:val="21"/>
                      <w:szCs w:val="21"/>
                      <w:vertAlign w:val="baseline"/>
                      <w:lang w:val="en-US"/>
                    </w:rPr>
                  </w:pPr>
                  <w:r>
                    <w:rPr>
                      <w:rFonts w:hint="eastAsia" w:cs="Times New Roman"/>
                      <w:color w:val="000000"/>
                      <w:kern w:val="0"/>
                      <w:sz w:val="21"/>
                      <w:szCs w:val="21"/>
                      <w:lang w:val="en-US" w:eastAsia="zh-CN" w:bidi="ar"/>
                    </w:rPr>
                    <w:t>四川龙尚木业有限公司</w:t>
                  </w:r>
                </w:p>
              </w:tc>
              <w:tc>
                <w:tcPr>
                  <w:tcW w:w="792" w:type="dxa"/>
                  <w:vAlign w:val="center"/>
                </w:tcPr>
                <w:p w14:paraId="577960A2">
                  <w:pPr>
                    <w:jc w:val="center"/>
                    <w:rPr>
                      <w:rFonts w:hint="eastAsia" w:eastAsia="宋体"/>
                      <w:sz w:val="21"/>
                      <w:szCs w:val="21"/>
                      <w:vertAlign w:val="baseline"/>
                      <w:lang w:val="en-US" w:eastAsia="zh-CN"/>
                    </w:rPr>
                  </w:pPr>
                  <w:r>
                    <w:rPr>
                      <w:rFonts w:hint="eastAsia"/>
                      <w:sz w:val="21"/>
                      <w:szCs w:val="21"/>
                      <w:vertAlign w:val="baseline"/>
                      <w:lang w:val="en-US" w:eastAsia="zh-CN"/>
                    </w:rPr>
                    <w:t>西</w:t>
                  </w:r>
                </w:p>
              </w:tc>
              <w:tc>
                <w:tcPr>
                  <w:tcW w:w="1162" w:type="dxa"/>
                  <w:vAlign w:val="center"/>
                </w:tcPr>
                <w:p w14:paraId="4C83B82D">
                  <w:pPr>
                    <w:jc w:val="center"/>
                    <w:rPr>
                      <w:rFonts w:hint="default" w:eastAsia="宋体"/>
                      <w:sz w:val="21"/>
                      <w:szCs w:val="21"/>
                      <w:vertAlign w:val="baseline"/>
                      <w:lang w:val="en-US" w:eastAsia="zh-CN"/>
                    </w:rPr>
                  </w:pPr>
                  <w:r>
                    <w:rPr>
                      <w:rFonts w:hint="eastAsia"/>
                      <w:sz w:val="21"/>
                      <w:szCs w:val="21"/>
                      <w:vertAlign w:val="baseline"/>
                      <w:lang w:val="en-US" w:eastAsia="zh-CN"/>
                    </w:rPr>
                    <w:t>105</w:t>
                  </w:r>
                </w:p>
              </w:tc>
              <w:tc>
                <w:tcPr>
                  <w:tcW w:w="1767" w:type="dxa"/>
                  <w:vAlign w:val="center"/>
                </w:tcPr>
                <w:p w14:paraId="3A6F107E">
                  <w:pPr>
                    <w:jc w:val="center"/>
                    <w:rPr>
                      <w:rFonts w:hint="default"/>
                      <w:sz w:val="21"/>
                      <w:szCs w:val="21"/>
                      <w:vertAlign w:val="baseline"/>
                      <w:lang w:val="en-US"/>
                    </w:rPr>
                  </w:pPr>
                  <w:r>
                    <w:rPr>
                      <w:rFonts w:hint="eastAsia"/>
                      <w:sz w:val="21"/>
                      <w:szCs w:val="21"/>
                      <w:vertAlign w:val="baseline"/>
                      <w:lang w:val="en-US" w:eastAsia="zh-CN"/>
                    </w:rPr>
                    <w:t>家具制造</w:t>
                  </w:r>
                </w:p>
              </w:tc>
            </w:tr>
            <w:tr w14:paraId="36F3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6C899AAD">
                  <w:pPr>
                    <w:jc w:val="center"/>
                    <w:rPr>
                      <w:rFonts w:hint="default"/>
                      <w:sz w:val="21"/>
                      <w:szCs w:val="21"/>
                      <w:vertAlign w:val="baseline"/>
                      <w:lang w:val="en-US" w:eastAsia="zh-CN"/>
                    </w:rPr>
                  </w:pPr>
                  <w:r>
                    <w:rPr>
                      <w:rFonts w:hint="eastAsia"/>
                      <w:sz w:val="21"/>
                      <w:szCs w:val="21"/>
                      <w:vertAlign w:val="baseline"/>
                      <w:lang w:val="en-US" w:eastAsia="zh-CN"/>
                    </w:rPr>
                    <w:t>8</w:t>
                  </w:r>
                </w:p>
              </w:tc>
              <w:tc>
                <w:tcPr>
                  <w:tcW w:w="4356" w:type="dxa"/>
                  <w:gridSpan w:val="2"/>
                  <w:vAlign w:val="center"/>
                </w:tcPr>
                <w:p w14:paraId="09729515">
                  <w:pPr>
                    <w:jc w:val="center"/>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蓬溪欧范家具有限公司</w:t>
                  </w:r>
                </w:p>
              </w:tc>
              <w:tc>
                <w:tcPr>
                  <w:tcW w:w="792" w:type="dxa"/>
                  <w:vAlign w:val="center"/>
                </w:tcPr>
                <w:p w14:paraId="000A1911">
                  <w:pPr>
                    <w:jc w:val="center"/>
                    <w:rPr>
                      <w:rFonts w:hint="eastAsia" w:eastAsia="宋体"/>
                      <w:sz w:val="21"/>
                      <w:szCs w:val="21"/>
                      <w:vertAlign w:val="baseline"/>
                      <w:lang w:val="en-US" w:eastAsia="zh-CN"/>
                    </w:rPr>
                  </w:pPr>
                  <w:r>
                    <w:rPr>
                      <w:rFonts w:hint="eastAsia"/>
                      <w:sz w:val="21"/>
                      <w:szCs w:val="21"/>
                      <w:vertAlign w:val="baseline"/>
                      <w:lang w:val="en-US" w:eastAsia="zh-CN"/>
                    </w:rPr>
                    <w:t>西</w:t>
                  </w:r>
                </w:p>
              </w:tc>
              <w:tc>
                <w:tcPr>
                  <w:tcW w:w="1162" w:type="dxa"/>
                  <w:vAlign w:val="center"/>
                </w:tcPr>
                <w:p w14:paraId="4B0C3600">
                  <w:pPr>
                    <w:jc w:val="center"/>
                    <w:rPr>
                      <w:rFonts w:hint="default" w:eastAsia="宋体"/>
                      <w:sz w:val="21"/>
                      <w:szCs w:val="21"/>
                      <w:vertAlign w:val="baseline"/>
                      <w:lang w:val="en-US" w:eastAsia="zh-CN"/>
                    </w:rPr>
                  </w:pPr>
                  <w:r>
                    <w:rPr>
                      <w:rFonts w:hint="eastAsia"/>
                      <w:sz w:val="21"/>
                      <w:szCs w:val="21"/>
                      <w:vertAlign w:val="baseline"/>
                      <w:lang w:val="en-US" w:eastAsia="zh-CN"/>
                    </w:rPr>
                    <w:t>320</w:t>
                  </w:r>
                </w:p>
              </w:tc>
              <w:tc>
                <w:tcPr>
                  <w:tcW w:w="1767" w:type="dxa"/>
                  <w:vAlign w:val="center"/>
                </w:tcPr>
                <w:p w14:paraId="19C5B6B0">
                  <w:pPr>
                    <w:jc w:val="center"/>
                    <w:rPr>
                      <w:rFonts w:hint="default"/>
                      <w:sz w:val="21"/>
                      <w:szCs w:val="21"/>
                      <w:vertAlign w:val="baseline"/>
                      <w:lang w:val="en-US"/>
                    </w:rPr>
                  </w:pPr>
                  <w:r>
                    <w:rPr>
                      <w:rFonts w:hint="eastAsia"/>
                      <w:sz w:val="21"/>
                      <w:szCs w:val="21"/>
                      <w:vertAlign w:val="baseline"/>
                      <w:lang w:val="en-US" w:eastAsia="zh-CN"/>
                    </w:rPr>
                    <w:t>家具制造</w:t>
                  </w:r>
                </w:p>
              </w:tc>
            </w:tr>
            <w:tr w14:paraId="6D1A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5E2CE9BA">
                  <w:pPr>
                    <w:tabs>
                      <w:tab w:val="left" w:pos="433"/>
                    </w:tabs>
                    <w:jc w:val="center"/>
                    <w:rPr>
                      <w:rFonts w:hint="default"/>
                      <w:sz w:val="21"/>
                      <w:szCs w:val="21"/>
                      <w:vertAlign w:val="baseline"/>
                      <w:lang w:val="en-US" w:eastAsia="zh-CN"/>
                    </w:rPr>
                  </w:pPr>
                  <w:r>
                    <w:rPr>
                      <w:rFonts w:hint="eastAsia"/>
                      <w:sz w:val="21"/>
                      <w:szCs w:val="21"/>
                      <w:vertAlign w:val="baseline"/>
                      <w:lang w:val="en-US" w:eastAsia="zh-CN"/>
                    </w:rPr>
                    <w:t>9</w:t>
                  </w:r>
                </w:p>
              </w:tc>
              <w:tc>
                <w:tcPr>
                  <w:tcW w:w="4356" w:type="dxa"/>
                  <w:gridSpan w:val="2"/>
                  <w:vAlign w:val="center"/>
                </w:tcPr>
                <w:p w14:paraId="1EEA9D4C">
                  <w:pPr>
                    <w:jc w:val="center"/>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蓬溪鑫和家具产业园</w:t>
                  </w:r>
                </w:p>
              </w:tc>
              <w:tc>
                <w:tcPr>
                  <w:tcW w:w="792" w:type="dxa"/>
                  <w:vAlign w:val="center"/>
                </w:tcPr>
                <w:p w14:paraId="1FFE1884">
                  <w:pPr>
                    <w:jc w:val="center"/>
                    <w:rPr>
                      <w:rFonts w:hint="eastAsia" w:eastAsia="宋体"/>
                      <w:sz w:val="21"/>
                      <w:szCs w:val="21"/>
                      <w:vertAlign w:val="baseline"/>
                      <w:lang w:val="en-US" w:eastAsia="zh-CN"/>
                    </w:rPr>
                  </w:pPr>
                  <w:r>
                    <w:rPr>
                      <w:rFonts w:hint="eastAsia"/>
                      <w:sz w:val="21"/>
                      <w:szCs w:val="21"/>
                      <w:vertAlign w:val="baseline"/>
                      <w:lang w:val="en-US" w:eastAsia="zh-CN"/>
                    </w:rPr>
                    <w:t>西</w:t>
                  </w:r>
                </w:p>
              </w:tc>
              <w:tc>
                <w:tcPr>
                  <w:tcW w:w="1162" w:type="dxa"/>
                  <w:vAlign w:val="center"/>
                </w:tcPr>
                <w:p w14:paraId="3D5C288B">
                  <w:pPr>
                    <w:jc w:val="center"/>
                    <w:rPr>
                      <w:rFonts w:hint="default" w:eastAsia="宋体"/>
                      <w:sz w:val="21"/>
                      <w:szCs w:val="21"/>
                      <w:vertAlign w:val="baseline"/>
                      <w:lang w:val="en-US" w:eastAsia="zh-CN"/>
                    </w:rPr>
                  </w:pPr>
                  <w:r>
                    <w:rPr>
                      <w:rFonts w:hint="eastAsia"/>
                      <w:sz w:val="21"/>
                      <w:szCs w:val="21"/>
                      <w:vertAlign w:val="baseline"/>
                      <w:lang w:val="en-US" w:eastAsia="zh-CN"/>
                    </w:rPr>
                    <w:t>105</w:t>
                  </w:r>
                </w:p>
              </w:tc>
              <w:tc>
                <w:tcPr>
                  <w:tcW w:w="1767" w:type="dxa"/>
                  <w:vAlign w:val="center"/>
                </w:tcPr>
                <w:p w14:paraId="3EE5AE4A">
                  <w:pPr>
                    <w:jc w:val="center"/>
                    <w:rPr>
                      <w:rFonts w:hint="default" w:eastAsia="宋体"/>
                      <w:sz w:val="21"/>
                      <w:szCs w:val="21"/>
                      <w:vertAlign w:val="baseline"/>
                      <w:lang w:val="en-US" w:eastAsia="zh-CN"/>
                    </w:rPr>
                  </w:pPr>
                  <w:r>
                    <w:rPr>
                      <w:rFonts w:hint="eastAsia"/>
                      <w:sz w:val="21"/>
                      <w:szCs w:val="21"/>
                      <w:vertAlign w:val="baseline"/>
                      <w:lang w:val="en-US" w:eastAsia="zh-CN"/>
                    </w:rPr>
                    <w:t>家具生产、销售</w:t>
                  </w:r>
                </w:p>
              </w:tc>
            </w:tr>
            <w:tr w14:paraId="4E42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069DE914">
                  <w:pPr>
                    <w:jc w:val="center"/>
                    <w:rPr>
                      <w:rFonts w:hint="default"/>
                      <w:sz w:val="21"/>
                      <w:szCs w:val="21"/>
                      <w:vertAlign w:val="baseline"/>
                      <w:lang w:val="en-US" w:eastAsia="zh-CN"/>
                    </w:rPr>
                  </w:pPr>
                  <w:r>
                    <w:rPr>
                      <w:rFonts w:hint="eastAsia"/>
                      <w:sz w:val="21"/>
                      <w:szCs w:val="21"/>
                      <w:vertAlign w:val="baseline"/>
                      <w:lang w:val="en-US" w:eastAsia="zh-CN"/>
                    </w:rPr>
                    <w:t>10</w:t>
                  </w:r>
                </w:p>
              </w:tc>
              <w:tc>
                <w:tcPr>
                  <w:tcW w:w="4356" w:type="dxa"/>
                  <w:gridSpan w:val="2"/>
                  <w:vAlign w:val="center"/>
                </w:tcPr>
                <w:p w14:paraId="7C911862">
                  <w:pPr>
                    <w:jc w:val="center"/>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四川欧尚家美门业有限公司</w:t>
                  </w:r>
                </w:p>
              </w:tc>
              <w:tc>
                <w:tcPr>
                  <w:tcW w:w="792" w:type="dxa"/>
                  <w:vAlign w:val="center"/>
                </w:tcPr>
                <w:p w14:paraId="29E35FD7">
                  <w:pPr>
                    <w:jc w:val="center"/>
                    <w:rPr>
                      <w:rFonts w:hint="eastAsia" w:eastAsia="宋体"/>
                      <w:sz w:val="21"/>
                      <w:szCs w:val="21"/>
                      <w:vertAlign w:val="baseline"/>
                      <w:lang w:val="en-US" w:eastAsia="zh-CN"/>
                    </w:rPr>
                  </w:pPr>
                  <w:r>
                    <w:rPr>
                      <w:rFonts w:hint="eastAsia"/>
                      <w:sz w:val="21"/>
                      <w:szCs w:val="21"/>
                      <w:vertAlign w:val="baseline"/>
                      <w:lang w:val="en-US" w:eastAsia="zh-CN"/>
                    </w:rPr>
                    <w:t>东</w:t>
                  </w:r>
                </w:p>
              </w:tc>
              <w:tc>
                <w:tcPr>
                  <w:tcW w:w="1162" w:type="dxa"/>
                  <w:vAlign w:val="center"/>
                </w:tcPr>
                <w:p w14:paraId="0BC4067C">
                  <w:pPr>
                    <w:jc w:val="center"/>
                    <w:rPr>
                      <w:rFonts w:hint="default" w:eastAsia="宋体"/>
                      <w:sz w:val="21"/>
                      <w:szCs w:val="21"/>
                      <w:vertAlign w:val="baseline"/>
                      <w:lang w:val="en-US" w:eastAsia="zh-CN"/>
                    </w:rPr>
                  </w:pPr>
                  <w:r>
                    <w:rPr>
                      <w:rFonts w:hint="eastAsia"/>
                      <w:sz w:val="21"/>
                      <w:szCs w:val="21"/>
                      <w:vertAlign w:val="baseline"/>
                      <w:lang w:val="en-US" w:eastAsia="zh-CN"/>
                    </w:rPr>
                    <w:t>55</w:t>
                  </w:r>
                </w:p>
              </w:tc>
              <w:tc>
                <w:tcPr>
                  <w:tcW w:w="1767" w:type="dxa"/>
                  <w:vAlign w:val="center"/>
                </w:tcPr>
                <w:p w14:paraId="55234403">
                  <w:pPr>
                    <w:jc w:val="center"/>
                    <w:rPr>
                      <w:rFonts w:hint="default"/>
                      <w:sz w:val="21"/>
                      <w:szCs w:val="21"/>
                      <w:vertAlign w:val="baseline"/>
                      <w:lang w:val="en-US"/>
                    </w:rPr>
                  </w:pPr>
                  <w:r>
                    <w:rPr>
                      <w:rFonts w:hint="eastAsia"/>
                      <w:sz w:val="21"/>
                      <w:szCs w:val="21"/>
                      <w:vertAlign w:val="baseline"/>
                      <w:lang w:val="en-US" w:eastAsia="zh-CN"/>
                    </w:rPr>
                    <w:t>家具制造</w:t>
                  </w:r>
                </w:p>
              </w:tc>
            </w:tr>
            <w:tr w14:paraId="1CC6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6D8EE79C">
                  <w:pPr>
                    <w:jc w:val="center"/>
                    <w:rPr>
                      <w:rFonts w:hint="default"/>
                      <w:sz w:val="21"/>
                      <w:szCs w:val="21"/>
                      <w:vertAlign w:val="baseline"/>
                      <w:lang w:val="en-US" w:eastAsia="zh-CN"/>
                    </w:rPr>
                  </w:pPr>
                  <w:r>
                    <w:rPr>
                      <w:rFonts w:hint="eastAsia"/>
                      <w:sz w:val="21"/>
                      <w:szCs w:val="21"/>
                      <w:vertAlign w:val="baseline"/>
                      <w:lang w:val="en-US" w:eastAsia="zh-CN"/>
                    </w:rPr>
                    <w:t>11</w:t>
                  </w:r>
                </w:p>
              </w:tc>
              <w:tc>
                <w:tcPr>
                  <w:tcW w:w="4356" w:type="dxa"/>
                  <w:gridSpan w:val="2"/>
                  <w:vAlign w:val="center"/>
                </w:tcPr>
                <w:p w14:paraId="0CE20BB7">
                  <w:pPr>
                    <w:jc w:val="center"/>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四川乐辰木业有限公司</w:t>
                  </w:r>
                </w:p>
              </w:tc>
              <w:tc>
                <w:tcPr>
                  <w:tcW w:w="792" w:type="dxa"/>
                  <w:vAlign w:val="center"/>
                </w:tcPr>
                <w:p w14:paraId="1051AC01">
                  <w:pPr>
                    <w:jc w:val="center"/>
                    <w:rPr>
                      <w:rFonts w:hint="eastAsia" w:eastAsia="宋体"/>
                      <w:sz w:val="21"/>
                      <w:szCs w:val="21"/>
                      <w:vertAlign w:val="baseline"/>
                      <w:lang w:val="en-US" w:eastAsia="zh-CN"/>
                    </w:rPr>
                  </w:pPr>
                  <w:r>
                    <w:rPr>
                      <w:rFonts w:hint="eastAsia"/>
                      <w:sz w:val="21"/>
                      <w:szCs w:val="21"/>
                      <w:vertAlign w:val="baseline"/>
                      <w:lang w:val="en-US" w:eastAsia="zh-CN"/>
                    </w:rPr>
                    <w:t>东</w:t>
                  </w:r>
                </w:p>
              </w:tc>
              <w:tc>
                <w:tcPr>
                  <w:tcW w:w="1162" w:type="dxa"/>
                  <w:vAlign w:val="center"/>
                </w:tcPr>
                <w:p w14:paraId="04EEFA2D">
                  <w:pPr>
                    <w:jc w:val="center"/>
                    <w:rPr>
                      <w:rFonts w:hint="default" w:eastAsia="宋体"/>
                      <w:sz w:val="21"/>
                      <w:szCs w:val="21"/>
                      <w:vertAlign w:val="baseline"/>
                      <w:lang w:val="en-US" w:eastAsia="zh-CN"/>
                    </w:rPr>
                  </w:pPr>
                  <w:r>
                    <w:rPr>
                      <w:rFonts w:hint="eastAsia"/>
                      <w:sz w:val="21"/>
                      <w:szCs w:val="21"/>
                      <w:vertAlign w:val="baseline"/>
                      <w:lang w:val="en-US" w:eastAsia="zh-CN"/>
                    </w:rPr>
                    <w:t>105</w:t>
                  </w:r>
                </w:p>
              </w:tc>
              <w:tc>
                <w:tcPr>
                  <w:tcW w:w="1767" w:type="dxa"/>
                  <w:vAlign w:val="center"/>
                </w:tcPr>
                <w:p w14:paraId="225EC863">
                  <w:pPr>
                    <w:jc w:val="center"/>
                    <w:rPr>
                      <w:rFonts w:hint="eastAsia" w:eastAsia="宋体"/>
                      <w:sz w:val="21"/>
                      <w:szCs w:val="21"/>
                      <w:vertAlign w:val="baseline"/>
                      <w:lang w:val="en-US" w:eastAsia="zh-CN"/>
                    </w:rPr>
                  </w:pPr>
                  <w:r>
                    <w:rPr>
                      <w:rFonts w:hint="eastAsia"/>
                      <w:sz w:val="21"/>
                      <w:szCs w:val="21"/>
                      <w:vertAlign w:val="baseline"/>
                      <w:lang w:val="en-US" w:eastAsia="zh-CN"/>
                    </w:rPr>
                    <w:t>家具制造</w:t>
                  </w:r>
                </w:p>
              </w:tc>
            </w:tr>
            <w:tr w14:paraId="399D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43D3C58A">
                  <w:pPr>
                    <w:jc w:val="center"/>
                    <w:rPr>
                      <w:rFonts w:hint="default"/>
                      <w:sz w:val="21"/>
                      <w:szCs w:val="21"/>
                      <w:vertAlign w:val="baseline"/>
                      <w:lang w:val="en-US" w:eastAsia="zh-CN"/>
                    </w:rPr>
                  </w:pPr>
                  <w:r>
                    <w:rPr>
                      <w:rFonts w:hint="eastAsia"/>
                      <w:sz w:val="21"/>
                      <w:szCs w:val="21"/>
                      <w:vertAlign w:val="baseline"/>
                      <w:lang w:val="en-US" w:eastAsia="zh-CN"/>
                    </w:rPr>
                    <w:t>12</w:t>
                  </w:r>
                </w:p>
              </w:tc>
              <w:tc>
                <w:tcPr>
                  <w:tcW w:w="4356" w:type="dxa"/>
                  <w:gridSpan w:val="2"/>
                  <w:vAlign w:val="center"/>
                </w:tcPr>
                <w:p w14:paraId="6FA453B1">
                  <w:pPr>
                    <w:jc w:val="center"/>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四川聚泰材料有限公司</w:t>
                  </w:r>
                </w:p>
              </w:tc>
              <w:tc>
                <w:tcPr>
                  <w:tcW w:w="792" w:type="dxa"/>
                  <w:vAlign w:val="center"/>
                </w:tcPr>
                <w:p w14:paraId="3DB066EE">
                  <w:pPr>
                    <w:jc w:val="center"/>
                    <w:rPr>
                      <w:rFonts w:hint="eastAsia" w:eastAsia="宋体"/>
                      <w:sz w:val="21"/>
                      <w:szCs w:val="21"/>
                      <w:vertAlign w:val="baseline"/>
                      <w:lang w:val="en-US" w:eastAsia="zh-CN"/>
                    </w:rPr>
                  </w:pPr>
                  <w:r>
                    <w:rPr>
                      <w:rFonts w:hint="eastAsia"/>
                      <w:sz w:val="21"/>
                      <w:szCs w:val="21"/>
                      <w:vertAlign w:val="baseline"/>
                      <w:lang w:val="en-US" w:eastAsia="zh-CN"/>
                    </w:rPr>
                    <w:t>东</w:t>
                  </w:r>
                </w:p>
              </w:tc>
              <w:tc>
                <w:tcPr>
                  <w:tcW w:w="1162" w:type="dxa"/>
                  <w:vAlign w:val="center"/>
                </w:tcPr>
                <w:p w14:paraId="637DD598">
                  <w:pPr>
                    <w:jc w:val="center"/>
                    <w:rPr>
                      <w:rFonts w:hint="default" w:eastAsia="宋体"/>
                      <w:sz w:val="21"/>
                      <w:szCs w:val="21"/>
                      <w:vertAlign w:val="baseline"/>
                      <w:lang w:val="en-US" w:eastAsia="zh-CN"/>
                    </w:rPr>
                  </w:pPr>
                  <w:r>
                    <w:rPr>
                      <w:rFonts w:hint="eastAsia"/>
                      <w:sz w:val="21"/>
                      <w:szCs w:val="21"/>
                      <w:vertAlign w:val="baseline"/>
                      <w:lang w:val="en-US" w:eastAsia="zh-CN"/>
                    </w:rPr>
                    <w:t>218</w:t>
                  </w:r>
                </w:p>
              </w:tc>
              <w:tc>
                <w:tcPr>
                  <w:tcW w:w="1767" w:type="dxa"/>
                  <w:vAlign w:val="center"/>
                </w:tcPr>
                <w:p w14:paraId="358B1A03">
                  <w:pPr>
                    <w:jc w:val="center"/>
                    <w:rPr>
                      <w:rFonts w:hint="eastAsia" w:eastAsia="宋体"/>
                      <w:sz w:val="21"/>
                      <w:szCs w:val="21"/>
                      <w:vertAlign w:val="baseline"/>
                      <w:lang w:val="en-US" w:eastAsia="zh-CN"/>
                    </w:rPr>
                  </w:pPr>
                  <w:r>
                    <w:rPr>
                      <w:rFonts w:hint="eastAsia"/>
                      <w:sz w:val="21"/>
                      <w:szCs w:val="21"/>
                      <w:vertAlign w:val="baseline"/>
                      <w:lang w:val="en-US" w:eastAsia="zh-CN"/>
                    </w:rPr>
                    <w:t>涂料生产</w:t>
                  </w:r>
                </w:p>
              </w:tc>
            </w:tr>
            <w:tr w14:paraId="468D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gridSpan w:val="6"/>
                  <w:vAlign w:val="center"/>
                </w:tcPr>
                <w:p w14:paraId="0FC02AA7">
                  <w:pPr>
                    <w:jc w:val="center"/>
                    <w:rPr>
                      <w:rFonts w:hint="default"/>
                      <w:sz w:val="21"/>
                      <w:szCs w:val="21"/>
                      <w:vertAlign w:val="baseline"/>
                      <w:lang w:val="en-US" w:eastAsia="zh-CN"/>
                    </w:rPr>
                  </w:pPr>
                  <w:r>
                    <w:rPr>
                      <w:rFonts w:hint="eastAsia"/>
                      <w:sz w:val="21"/>
                      <w:szCs w:val="21"/>
                      <w:vertAlign w:val="baseline"/>
                      <w:lang w:val="en-US" w:eastAsia="zh-CN"/>
                    </w:rPr>
                    <w:t>以下目标位于注塑车间南侧，距离以注塑车间距离计</w:t>
                  </w:r>
                </w:p>
              </w:tc>
            </w:tr>
            <w:tr w14:paraId="3B8E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03B59155">
                  <w:pPr>
                    <w:jc w:val="center"/>
                    <w:rPr>
                      <w:rFonts w:hint="default"/>
                      <w:sz w:val="21"/>
                      <w:szCs w:val="21"/>
                      <w:vertAlign w:val="baseline"/>
                      <w:lang w:val="en-US" w:eastAsia="zh-CN"/>
                    </w:rPr>
                  </w:pPr>
                  <w:r>
                    <w:rPr>
                      <w:rFonts w:hint="eastAsia"/>
                      <w:sz w:val="21"/>
                      <w:szCs w:val="21"/>
                      <w:vertAlign w:val="baseline"/>
                      <w:lang w:val="en-US" w:eastAsia="zh-CN"/>
                    </w:rPr>
                    <w:t>13</w:t>
                  </w:r>
                </w:p>
              </w:tc>
              <w:tc>
                <w:tcPr>
                  <w:tcW w:w="4356" w:type="dxa"/>
                  <w:gridSpan w:val="2"/>
                  <w:vAlign w:val="center"/>
                </w:tcPr>
                <w:p w14:paraId="1D1DE49E">
                  <w:pPr>
                    <w:jc w:val="center"/>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西华安置小区</w:t>
                  </w:r>
                </w:p>
              </w:tc>
              <w:tc>
                <w:tcPr>
                  <w:tcW w:w="792" w:type="dxa"/>
                  <w:vAlign w:val="center"/>
                </w:tcPr>
                <w:p w14:paraId="531B60D8">
                  <w:pPr>
                    <w:jc w:val="center"/>
                    <w:rPr>
                      <w:rFonts w:hint="default"/>
                      <w:sz w:val="21"/>
                      <w:szCs w:val="21"/>
                      <w:vertAlign w:val="baseline"/>
                      <w:lang w:val="en-US" w:eastAsia="zh-CN"/>
                    </w:rPr>
                  </w:pPr>
                  <w:r>
                    <w:rPr>
                      <w:rFonts w:hint="eastAsia"/>
                      <w:sz w:val="21"/>
                      <w:szCs w:val="21"/>
                      <w:vertAlign w:val="baseline"/>
                      <w:lang w:val="en-US" w:eastAsia="zh-CN"/>
                    </w:rPr>
                    <w:t>西南</w:t>
                  </w:r>
                </w:p>
              </w:tc>
              <w:tc>
                <w:tcPr>
                  <w:tcW w:w="1162" w:type="dxa"/>
                  <w:vAlign w:val="center"/>
                </w:tcPr>
                <w:p w14:paraId="5562CB11">
                  <w:pPr>
                    <w:jc w:val="center"/>
                    <w:rPr>
                      <w:rFonts w:hint="default"/>
                      <w:sz w:val="21"/>
                      <w:szCs w:val="21"/>
                      <w:vertAlign w:val="baseline"/>
                      <w:lang w:val="en-US" w:eastAsia="zh-CN"/>
                    </w:rPr>
                  </w:pPr>
                  <w:r>
                    <w:rPr>
                      <w:rFonts w:hint="eastAsia"/>
                      <w:sz w:val="21"/>
                      <w:szCs w:val="21"/>
                      <w:vertAlign w:val="baseline"/>
                      <w:lang w:val="en-US" w:eastAsia="zh-CN"/>
                    </w:rPr>
                    <w:t>56</w:t>
                  </w:r>
                </w:p>
              </w:tc>
              <w:tc>
                <w:tcPr>
                  <w:tcW w:w="1767" w:type="dxa"/>
                  <w:vAlign w:val="center"/>
                </w:tcPr>
                <w:p w14:paraId="533C8C67">
                  <w:pPr>
                    <w:jc w:val="center"/>
                    <w:rPr>
                      <w:rFonts w:hint="default"/>
                      <w:sz w:val="21"/>
                      <w:szCs w:val="21"/>
                      <w:vertAlign w:val="baseline"/>
                      <w:lang w:val="en-US" w:eastAsia="zh-CN"/>
                    </w:rPr>
                  </w:pPr>
                  <w:r>
                    <w:rPr>
                      <w:rFonts w:hint="eastAsia"/>
                      <w:sz w:val="21"/>
                      <w:szCs w:val="21"/>
                      <w:vertAlign w:val="baseline"/>
                      <w:lang w:val="en-US" w:eastAsia="zh-CN"/>
                    </w:rPr>
                    <w:t>居民聚集区</w:t>
                  </w:r>
                </w:p>
              </w:tc>
            </w:tr>
            <w:tr w14:paraId="2CBF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1008E13A">
                  <w:pPr>
                    <w:jc w:val="center"/>
                    <w:rPr>
                      <w:rFonts w:hint="default"/>
                      <w:sz w:val="21"/>
                      <w:szCs w:val="21"/>
                      <w:vertAlign w:val="baseline"/>
                      <w:lang w:val="en-US" w:eastAsia="zh-CN"/>
                    </w:rPr>
                  </w:pPr>
                  <w:r>
                    <w:rPr>
                      <w:rFonts w:hint="eastAsia"/>
                      <w:sz w:val="21"/>
                      <w:szCs w:val="21"/>
                      <w:vertAlign w:val="baseline"/>
                      <w:lang w:val="en-US" w:eastAsia="zh-CN"/>
                    </w:rPr>
                    <w:t>14</w:t>
                  </w:r>
                </w:p>
              </w:tc>
              <w:tc>
                <w:tcPr>
                  <w:tcW w:w="4356" w:type="dxa"/>
                  <w:gridSpan w:val="2"/>
                  <w:vAlign w:val="center"/>
                </w:tcPr>
                <w:p w14:paraId="4853C743">
                  <w:pPr>
                    <w:jc w:val="center"/>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四川省川中线缆有限公司</w:t>
                  </w:r>
                </w:p>
              </w:tc>
              <w:tc>
                <w:tcPr>
                  <w:tcW w:w="792" w:type="dxa"/>
                  <w:vAlign w:val="center"/>
                </w:tcPr>
                <w:p w14:paraId="0728AF37">
                  <w:pPr>
                    <w:jc w:val="center"/>
                    <w:rPr>
                      <w:rFonts w:hint="default"/>
                      <w:sz w:val="21"/>
                      <w:szCs w:val="21"/>
                      <w:vertAlign w:val="baseline"/>
                      <w:lang w:val="en-US" w:eastAsia="zh-CN"/>
                    </w:rPr>
                  </w:pPr>
                  <w:r>
                    <w:rPr>
                      <w:rFonts w:hint="eastAsia"/>
                      <w:sz w:val="21"/>
                      <w:szCs w:val="21"/>
                      <w:vertAlign w:val="baseline"/>
                      <w:lang w:val="en-US" w:eastAsia="zh-CN"/>
                    </w:rPr>
                    <w:t>南</w:t>
                  </w:r>
                </w:p>
              </w:tc>
              <w:tc>
                <w:tcPr>
                  <w:tcW w:w="1162" w:type="dxa"/>
                  <w:vAlign w:val="center"/>
                </w:tcPr>
                <w:p w14:paraId="7567A8D5">
                  <w:pPr>
                    <w:jc w:val="center"/>
                    <w:rPr>
                      <w:rFonts w:hint="default"/>
                      <w:sz w:val="21"/>
                      <w:szCs w:val="21"/>
                      <w:vertAlign w:val="baseline"/>
                      <w:lang w:val="en-US" w:eastAsia="zh-CN"/>
                    </w:rPr>
                  </w:pPr>
                  <w:r>
                    <w:rPr>
                      <w:rFonts w:hint="eastAsia"/>
                      <w:sz w:val="21"/>
                      <w:szCs w:val="21"/>
                      <w:vertAlign w:val="baseline"/>
                      <w:lang w:val="en-US" w:eastAsia="zh-CN"/>
                    </w:rPr>
                    <w:t>20</w:t>
                  </w:r>
                </w:p>
              </w:tc>
              <w:tc>
                <w:tcPr>
                  <w:tcW w:w="1767" w:type="dxa"/>
                  <w:vAlign w:val="center"/>
                </w:tcPr>
                <w:p w14:paraId="5C1EFF52">
                  <w:pPr>
                    <w:jc w:val="center"/>
                    <w:rPr>
                      <w:rFonts w:hint="eastAsia"/>
                      <w:sz w:val="21"/>
                      <w:szCs w:val="21"/>
                      <w:vertAlign w:val="baseline"/>
                      <w:lang w:val="en-US" w:eastAsia="zh-CN"/>
                    </w:rPr>
                  </w:pPr>
                  <w:r>
                    <w:rPr>
                      <w:rFonts w:hint="eastAsia"/>
                      <w:sz w:val="21"/>
                      <w:szCs w:val="21"/>
                      <w:vertAlign w:val="baseline"/>
                      <w:lang w:val="en-US" w:eastAsia="zh-CN"/>
                    </w:rPr>
                    <w:t>电线电缆制造</w:t>
                  </w:r>
                </w:p>
              </w:tc>
            </w:tr>
            <w:tr w14:paraId="68DD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Align w:val="center"/>
                </w:tcPr>
                <w:p w14:paraId="71A90419">
                  <w:pPr>
                    <w:jc w:val="center"/>
                    <w:rPr>
                      <w:rFonts w:hint="default"/>
                      <w:sz w:val="21"/>
                      <w:szCs w:val="21"/>
                      <w:vertAlign w:val="baseline"/>
                      <w:lang w:val="en-US" w:eastAsia="zh-CN"/>
                    </w:rPr>
                  </w:pPr>
                  <w:r>
                    <w:rPr>
                      <w:rFonts w:hint="eastAsia"/>
                      <w:sz w:val="21"/>
                      <w:szCs w:val="21"/>
                      <w:vertAlign w:val="baseline"/>
                      <w:lang w:val="en-US" w:eastAsia="zh-CN"/>
                    </w:rPr>
                    <w:t>15</w:t>
                  </w:r>
                </w:p>
              </w:tc>
              <w:tc>
                <w:tcPr>
                  <w:tcW w:w="4356" w:type="dxa"/>
                  <w:gridSpan w:val="2"/>
                  <w:vAlign w:val="center"/>
                </w:tcPr>
                <w:p w14:paraId="74E15B42">
                  <w:pPr>
                    <w:jc w:val="center"/>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四川省川胜电缆有限公司</w:t>
                  </w:r>
                </w:p>
              </w:tc>
              <w:tc>
                <w:tcPr>
                  <w:tcW w:w="792" w:type="dxa"/>
                  <w:vAlign w:val="center"/>
                </w:tcPr>
                <w:p w14:paraId="63C868D9">
                  <w:pPr>
                    <w:jc w:val="center"/>
                    <w:rPr>
                      <w:rFonts w:hint="default"/>
                      <w:sz w:val="21"/>
                      <w:szCs w:val="21"/>
                      <w:vertAlign w:val="baseline"/>
                      <w:lang w:val="en-US" w:eastAsia="zh-CN"/>
                    </w:rPr>
                  </w:pPr>
                  <w:r>
                    <w:rPr>
                      <w:rFonts w:hint="eastAsia"/>
                      <w:sz w:val="21"/>
                      <w:szCs w:val="21"/>
                      <w:vertAlign w:val="baseline"/>
                      <w:lang w:val="en-US" w:eastAsia="zh-CN"/>
                    </w:rPr>
                    <w:t>南</w:t>
                  </w:r>
                </w:p>
              </w:tc>
              <w:tc>
                <w:tcPr>
                  <w:tcW w:w="1162" w:type="dxa"/>
                  <w:vAlign w:val="center"/>
                </w:tcPr>
                <w:p w14:paraId="3F0F6138">
                  <w:pPr>
                    <w:jc w:val="center"/>
                    <w:rPr>
                      <w:rFonts w:hint="default"/>
                      <w:sz w:val="21"/>
                      <w:szCs w:val="21"/>
                      <w:vertAlign w:val="baseline"/>
                      <w:lang w:val="en-US" w:eastAsia="zh-CN"/>
                    </w:rPr>
                  </w:pPr>
                  <w:r>
                    <w:rPr>
                      <w:rFonts w:hint="eastAsia"/>
                      <w:sz w:val="21"/>
                      <w:szCs w:val="21"/>
                      <w:vertAlign w:val="baseline"/>
                      <w:lang w:val="en-US" w:eastAsia="zh-CN"/>
                    </w:rPr>
                    <w:t>205</w:t>
                  </w:r>
                </w:p>
              </w:tc>
              <w:tc>
                <w:tcPr>
                  <w:tcW w:w="1767" w:type="dxa"/>
                  <w:vAlign w:val="center"/>
                </w:tcPr>
                <w:p w14:paraId="11B388CB">
                  <w:pPr>
                    <w:jc w:val="center"/>
                    <w:rPr>
                      <w:rFonts w:hint="eastAsia"/>
                      <w:sz w:val="21"/>
                      <w:szCs w:val="21"/>
                      <w:vertAlign w:val="baseline"/>
                      <w:lang w:val="en-US" w:eastAsia="zh-CN"/>
                    </w:rPr>
                  </w:pPr>
                  <w:r>
                    <w:rPr>
                      <w:rFonts w:hint="eastAsia"/>
                      <w:sz w:val="21"/>
                      <w:szCs w:val="21"/>
                      <w:vertAlign w:val="baseline"/>
                      <w:lang w:val="en-US" w:eastAsia="zh-CN"/>
                    </w:rPr>
                    <w:t>电线电缆制造</w:t>
                  </w:r>
                </w:p>
              </w:tc>
            </w:tr>
          </w:tbl>
          <w:p w14:paraId="76E03631">
            <w:pPr>
              <w:rPr>
                <w:rFonts w:hint="default"/>
                <w:lang w:val="en-US"/>
              </w:rPr>
            </w:pPr>
          </w:p>
          <w:p w14:paraId="1B3A65E4">
            <w:pPr>
              <w:keepNext w:val="0"/>
              <w:keepLines w:val="0"/>
              <w:widowControl/>
              <w:suppressLineNumbers w:val="0"/>
              <w:spacing w:line="360" w:lineRule="auto"/>
              <w:ind w:firstLine="420" w:firstLineChars="200"/>
              <w:jc w:val="left"/>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kern w:val="0"/>
                <w:sz w:val="21"/>
                <w:szCs w:val="21"/>
                <w:lang w:val="en-US" w:eastAsia="zh-CN" w:bidi="ar"/>
              </w:rPr>
              <w:t>根据前文分析可知，本项目位于工业园区内，不涉及生态保护红线，符合所在区域用地规划和所在园区产业规划。根据调查，本项目厂界外500m范围内主要为各类工业企业、</w:t>
            </w:r>
            <w:r>
              <w:rPr>
                <w:rFonts w:hint="eastAsia" w:cs="Times New Roman"/>
                <w:color w:val="000000"/>
                <w:kern w:val="0"/>
                <w:sz w:val="21"/>
                <w:szCs w:val="21"/>
                <w:lang w:val="en-US" w:eastAsia="zh-CN" w:bidi="ar"/>
              </w:rPr>
              <w:t>1个</w:t>
            </w:r>
            <w:r>
              <w:rPr>
                <w:rFonts w:hint="default" w:ascii="Times New Roman" w:hAnsi="Times New Roman" w:eastAsia="宋体" w:cs="Times New Roman"/>
                <w:color w:val="000000"/>
                <w:kern w:val="0"/>
                <w:sz w:val="21"/>
                <w:szCs w:val="21"/>
                <w:lang w:val="en-US" w:eastAsia="zh-CN" w:bidi="ar"/>
              </w:rPr>
              <w:t>安置小区，包括家具制造、电缆制造、印刷业、再生资源利用等企业，与本项目</w:t>
            </w:r>
            <w:r>
              <w:rPr>
                <w:rFonts w:hint="eastAsia" w:ascii="Times New Roman" w:hAnsi="Times New Roman" w:eastAsia="宋体" w:cs="Times New Roman"/>
                <w:color w:val="000000"/>
                <w:kern w:val="0"/>
                <w:sz w:val="21"/>
                <w:szCs w:val="21"/>
                <w:lang w:val="en-US" w:eastAsia="zh-CN" w:bidi="ar"/>
              </w:rPr>
              <w:t>不冲突</w:t>
            </w:r>
            <w:r>
              <w:rPr>
                <w:rFonts w:hint="default" w:ascii="Times New Roman" w:hAnsi="Times New Roman" w:eastAsia="宋体" w:cs="Times New Roman"/>
                <w:color w:val="000000"/>
                <w:kern w:val="0"/>
                <w:sz w:val="21"/>
                <w:szCs w:val="21"/>
                <w:lang w:val="en-US" w:eastAsia="zh-CN" w:bidi="ar"/>
              </w:rPr>
              <w:t>。另外，本项目厂界外500m范围内内无自然保护区、风景名胜区、文化区，无地下水集中式饮用水水源和热水、矿泉水、温泉等，不存在重大环境制约因素，仅喷塑车间南侧5</w:t>
            </w:r>
            <w:r>
              <w:rPr>
                <w:rFonts w:hint="eastAsia" w:ascii="Times New Roman" w:hAnsi="Times New Roman" w:eastAsia="宋体" w:cs="Times New Roman"/>
                <w:color w:val="000000"/>
                <w:kern w:val="0"/>
                <w:sz w:val="21"/>
                <w:szCs w:val="21"/>
                <w:lang w:val="en-US" w:eastAsia="zh-CN" w:bidi="ar"/>
              </w:rPr>
              <w:t>6</w:t>
            </w:r>
            <w:r>
              <w:rPr>
                <w:rFonts w:hint="default" w:ascii="Times New Roman" w:hAnsi="Times New Roman" w:eastAsia="宋体" w:cs="Times New Roman"/>
                <w:color w:val="000000"/>
                <w:kern w:val="0"/>
                <w:sz w:val="21"/>
                <w:szCs w:val="21"/>
                <w:lang w:val="en-US" w:eastAsia="zh-CN" w:bidi="ar"/>
              </w:rPr>
              <w:t>m（喷涂车间西南侧</w:t>
            </w:r>
            <w:r>
              <w:rPr>
                <w:rFonts w:hint="eastAsia" w:cs="Times New Roman"/>
                <w:color w:val="000000"/>
                <w:kern w:val="0"/>
                <w:sz w:val="21"/>
                <w:szCs w:val="21"/>
                <w:lang w:val="en-US" w:eastAsia="zh-CN" w:bidi="ar"/>
              </w:rPr>
              <w:t>286</w:t>
            </w:r>
            <w:r>
              <w:rPr>
                <w:rFonts w:hint="default" w:ascii="Times New Roman" w:hAnsi="Times New Roman" w:eastAsia="宋体" w:cs="Times New Roman"/>
                <w:color w:val="000000"/>
                <w:kern w:val="0"/>
                <w:sz w:val="21"/>
                <w:szCs w:val="21"/>
                <w:lang w:val="en-US" w:eastAsia="zh-CN" w:bidi="ar"/>
              </w:rPr>
              <w:t>m）有一处小区，西华安置小区</w:t>
            </w:r>
            <w:r>
              <w:rPr>
                <w:rFonts w:hint="eastAsia" w:ascii="Times New Roman" w:hAnsi="Times New Roman" w:eastAsia="宋体" w:cs="Times New Roman"/>
                <w:color w:val="000000"/>
                <w:kern w:val="0"/>
                <w:sz w:val="21"/>
                <w:szCs w:val="21"/>
                <w:lang w:val="en-US" w:eastAsia="zh-CN" w:bidi="ar"/>
              </w:rPr>
              <w:t>。</w:t>
            </w:r>
          </w:p>
          <w:p w14:paraId="5FEF7B46">
            <w:pPr>
              <w:keepNext w:val="0"/>
              <w:keepLines w:val="0"/>
              <w:widowControl/>
              <w:suppressLineNumbers w:val="0"/>
              <w:spacing w:line="36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本项目对</w:t>
            </w:r>
            <w:r>
              <w:rPr>
                <w:rFonts w:hint="eastAsia" w:cs="Times New Roman"/>
                <w:sz w:val="21"/>
                <w:szCs w:val="21"/>
                <w:lang w:val="en-US" w:eastAsia="zh-CN"/>
              </w:rPr>
              <w:t>安置小区</w:t>
            </w:r>
            <w:r>
              <w:rPr>
                <w:rFonts w:hint="default" w:ascii="Times New Roman" w:hAnsi="Times New Roman" w:eastAsia="宋体" w:cs="Times New Roman"/>
                <w:color w:val="000000"/>
                <w:kern w:val="0"/>
                <w:sz w:val="21"/>
                <w:szCs w:val="21"/>
                <w:lang w:val="en-US" w:eastAsia="zh-CN" w:bidi="ar"/>
              </w:rPr>
              <w:t>居民产生的影响主要为废气（有机废气）。项目有机废气经集气罩收集后，由</w:t>
            </w:r>
            <w:r>
              <w:rPr>
                <w:rFonts w:hint="eastAsia" w:cs="Times New Roman"/>
                <w:color w:val="auto"/>
                <w:kern w:val="0"/>
                <w:sz w:val="21"/>
                <w:szCs w:val="21"/>
                <w:lang w:val="en-US" w:eastAsia="zh-CN" w:bidi="ar"/>
              </w:rPr>
              <w:t>7</w:t>
            </w:r>
            <w:r>
              <w:rPr>
                <w:rFonts w:hint="default" w:ascii="Times New Roman" w:hAnsi="Times New Roman" w:eastAsia="宋体" w:cs="Times New Roman"/>
                <w:color w:val="auto"/>
                <w:kern w:val="0"/>
                <w:sz w:val="21"/>
                <w:szCs w:val="21"/>
                <w:lang w:val="en-US" w:eastAsia="zh-CN" w:bidi="ar"/>
              </w:rPr>
              <w:t>套“二级活性炭吸附”废气处理设施处理后，经</w:t>
            </w:r>
            <w:r>
              <w:rPr>
                <w:rFonts w:hint="eastAsia" w:cs="Times New Roman"/>
                <w:color w:val="auto"/>
                <w:kern w:val="0"/>
                <w:sz w:val="21"/>
                <w:szCs w:val="21"/>
                <w:lang w:val="en-US" w:eastAsia="zh-CN" w:bidi="ar"/>
              </w:rPr>
              <w:t>7</w:t>
            </w:r>
            <w:r>
              <w:rPr>
                <w:rFonts w:hint="default" w:ascii="Times New Roman" w:hAnsi="Times New Roman" w:eastAsia="宋体" w:cs="Times New Roman"/>
                <w:color w:val="auto"/>
                <w:kern w:val="0"/>
                <w:sz w:val="21"/>
                <w:szCs w:val="21"/>
                <w:lang w:val="en-US" w:eastAsia="zh-CN" w:bidi="ar"/>
              </w:rPr>
              <w:t>根15m高排</w:t>
            </w:r>
            <w:r>
              <w:rPr>
                <w:rFonts w:hint="default" w:ascii="Times New Roman" w:hAnsi="Times New Roman" w:eastAsia="宋体" w:cs="Times New Roman"/>
                <w:color w:val="000000"/>
                <w:kern w:val="0"/>
                <w:sz w:val="21"/>
                <w:szCs w:val="21"/>
                <w:lang w:val="en-US" w:eastAsia="zh-CN" w:bidi="ar"/>
              </w:rPr>
              <w:t>气筒排放，可实现达标排放。遂宁市常年主导风向为北风或东南风，本项目周边敏感区（西华安置小区）</w:t>
            </w:r>
            <w:r>
              <w:rPr>
                <w:rFonts w:hint="eastAsia" w:cs="Times New Roman"/>
                <w:color w:val="000000"/>
                <w:kern w:val="0"/>
                <w:sz w:val="21"/>
                <w:szCs w:val="21"/>
                <w:lang w:val="en-US" w:eastAsia="zh-CN" w:bidi="ar"/>
              </w:rPr>
              <w:t>位于西南</w:t>
            </w:r>
            <w:r>
              <w:rPr>
                <w:rFonts w:hint="default" w:ascii="Times New Roman" w:hAnsi="Times New Roman" w:eastAsia="宋体" w:cs="Times New Roman"/>
                <w:color w:val="000000"/>
                <w:kern w:val="0"/>
                <w:sz w:val="21"/>
                <w:szCs w:val="21"/>
                <w:lang w:val="en-US" w:eastAsia="zh-CN" w:bidi="ar"/>
              </w:rPr>
              <w:t>侧，受本项目废气影响较小此外，本项目划定了以项目厂房边界为起点外延50m范围的卫生防护距离</w:t>
            </w:r>
            <w:r>
              <w:rPr>
                <w:rFonts w:hint="eastAsia"/>
                <w:lang w:eastAsia="zh-CN"/>
              </w:rPr>
              <w:t>，</w:t>
            </w:r>
            <w:r>
              <w:rPr>
                <w:rFonts w:hint="default" w:ascii="Times New Roman" w:hAnsi="Times New Roman" w:eastAsia="宋体" w:cs="Times New Roman"/>
                <w:color w:val="000000"/>
                <w:kern w:val="0"/>
                <w:sz w:val="21"/>
                <w:szCs w:val="21"/>
                <w:lang w:val="en-US" w:eastAsia="zh-CN" w:bidi="ar"/>
              </w:rPr>
              <w:t>卫生防护距离</w:t>
            </w:r>
            <w:r>
              <w:rPr>
                <w:rFonts w:hint="eastAsia" w:cs="Times New Roman"/>
                <w:color w:val="000000"/>
                <w:kern w:val="0"/>
                <w:sz w:val="21"/>
                <w:szCs w:val="21"/>
                <w:lang w:val="en-US" w:eastAsia="zh-CN" w:bidi="ar"/>
              </w:rPr>
              <w:t>内无保护目标</w:t>
            </w:r>
            <w:r>
              <w:rPr>
                <w:rFonts w:hint="default" w:ascii="Times New Roman" w:hAnsi="Times New Roman" w:eastAsia="宋体" w:cs="Times New Roman"/>
                <w:color w:val="000000"/>
                <w:kern w:val="0"/>
                <w:sz w:val="21"/>
                <w:szCs w:val="21"/>
                <w:lang w:val="en-US" w:eastAsia="zh-CN" w:bidi="ar"/>
              </w:rPr>
              <w:t>。根据规划，周边50m范围均为工业用地</w:t>
            </w:r>
            <w:r>
              <w:rPr>
                <w:rFonts w:hint="eastAsia" w:cs="Times New Roman"/>
                <w:color w:val="000000"/>
                <w:kern w:val="0"/>
                <w:sz w:val="21"/>
                <w:szCs w:val="21"/>
                <w:lang w:val="en-US" w:eastAsia="zh-CN" w:bidi="ar"/>
              </w:rPr>
              <w:t>和道路</w:t>
            </w:r>
            <w:r>
              <w:rPr>
                <w:rFonts w:hint="default" w:ascii="Times New Roman" w:hAnsi="Times New Roman" w:eastAsia="宋体" w:cs="Times New Roman"/>
                <w:color w:val="000000"/>
                <w:kern w:val="0"/>
                <w:sz w:val="21"/>
                <w:szCs w:val="21"/>
                <w:lang w:val="en-US" w:eastAsia="zh-CN" w:bidi="ar"/>
              </w:rPr>
              <w:t>，不会新建居民区、学校、医院等环境敏感目标</w:t>
            </w:r>
            <w:r>
              <w:rPr>
                <w:rFonts w:hint="eastAsia" w:ascii="Times New Roman" w:hAnsi="Times New Roman" w:eastAsia="宋体" w:cs="Times New Roman"/>
                <w:color w:val="000000"/>
                <w:kern w:val="0"/>
                <w:sz w:val="21"/>
                <w:szCs w:val="21"/>
                <w:lang w:val="en-US" w:eastAsia="zh-CN" w:bidi="ar"/>
              </w:rPr>
              <w:t>。</w:t>
            </w:r>
          </w:p>
          <w:p w14:paraId="56665DEB">
            <w:pPr>
              <w:keepNext w:val="0"/>
              <w:keepLines w:val="0"/>
              <w:pageBreakBefore w:val="0"/>
              <w:widowControl/>
              <w:suppressLineNumbers w:val="0"/>
              <w:kinsoku/>
              <w:wordWrap w:val="0"/>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cs="宋体"/>
                <w:color w:val="000000"/>
                <w:kern w:val="0"/>
                <w:sz w:val="21"/>
                <w:szCs w:val="21"/>
                <w:lang w:val="en-US" w:eastAsia="zh-CN" w:bidi="ar"/>
              </w:rPr>
              <w:t>本项目生活污水、注塑循环冷却水、地面清洁废水经园区管网进入预处理池处理（</w:t>
            </w:r>
            <w:r>
              <w:rPr>
                <w:rFonts w:hint="default" w:ascii="Times New Roman" w:hAnsi="Times New Roman" w:cs="Times New Roman"/>
                <w:color w:val="000000"/>
                <w:kern w:val="0"/>
                <w:sz w:val="21"/>
                <w:szCs w:val="21"/>
                <w:lang w:val="en-US" w:eastAsia="zh-CN" w:bidi="ar"/>
              </w:rPr>
              <w:t>12m</w:t>
            </w:r>
            <w:r>
              <w:rPr>
                <w:rFonts w:hint="default" w:ascii="Times New Roman" w:hAnsi="Times New Roman" w:cs="Times New Roman"/>
                <w:color w:val="000000"/>
                <w:kern w:val="0"/>
                <w:sz w:val="21"/>
                <w:szCs w:val="21"/>
                <w:vertAlign w:val="superscript"/>
                <w:lang w:val="en-US" w:eastAsia="zh-CN" w:bidi="ar"/>
              </w:rPr>
              <w:t>2</w:t>
            </w:r>
            <w:r>
              <w:rPr>
                <w:rFonts w:hint="eastAsia" w:ascii="宋体" w:hAnsi="宋体" w:cs="宋体"/>
                <w:color w:val="000000"/>
                <w:kern w:val="0"/>
                <w:sz w:val="21"/>
                <w:szCs w:val="21"/>
                <w:lang w:val="en-US" w:eastAsia="zh-CN" w:bidi="ar"/>
              </w:rPr>
              <w:t>）处理达到《污水综合排放标准》</w:t>
            </w:r>
            <w:r>
              <w:rPr>
                <w:rFonts w:hint="default" w:ascii="Times New Roman" w:hAnsi="Times New Roman" w:cs="Times New Roman"/>
                <w:color w:val="000000"/>
                <w:kern w:val="0"/>
                <w:sz w:val="21"/>
                <w:szCs w:val="21"/>
                <w:lang w:val="en-US" w:eastAsia="zh-CN" w:bidi="ar"/>
              </w:rPr>
              <w:t>(GB8978-1996)</w:t>
            </w:r>
            <w:r>
              <w:rPr>
                <w:rFonts w:hint="eastAsia" w:ascii="宋体" w:hAnsi="宋体" w:cs="宋体"/>
                <w:color w:val="000000"/>
                <w:kern w:val="0"/>
                <w:sz w:val="21"/>
                <w:szCs w:val="21"/>
                <w:lang w:val="en-US" w:eastAsia="zh-CN" w:bidi="ar"/>
              </w:rPr>
              <w:t>中三级标准后排入园区污水管网，最终</w:t>
            </w:r>
            <w:r>
              <w:rPr>
                <w:rFonts w:hint="default" w:ascii="Times New Roman" w:hAnsi="Times New Roman" w:cs="Times New Roman"/>
                <w:color w:val="auto"/>
                <w:sz w:val="21"/>
                <w:szCs w:val="21"/>
              </w:rPr>
              <w:t>汇入蓬溪县经济开发区废水处理厂处理达到《城镇污水处理厂污染物排放标准》（GB18918-2002）中一级A标后排入芝溪河</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本项目废水不会对周边地表水造成任何影响。</w:t>
            </w:r>
            <w:r>
              <w:rPr>
                <w:rFonts w:hint="eastAsia" w:ascii="宋体" w:hAnsi="宋体" w:eastAsia="宋体" w:cs="宋体"/>
                <w:color w:val="000000"/>
                <w:kern w:val="0"/>
                <w:sz w:val="21"/>
                <w:szCs w:val="21"/>
                <w:lang w:val="en-US" w:eastAsia="zh-CN" w:bidi="ar"/>
              </w:rPr>
              <w:t xml:space="preserve">在严格落实本次评价提出的各项污染防治措施并做好营运管理，确保废水、废气、噪声和固废能够实现达标排放和合理处置的情况下，本项目营运期不会对周围外环境产生不利影响。 </w:t>
            </w:r>
          </w:p>
          <w:p w14:paraId="6CA10DD0">
            <w:pPr>
              <w:keepNext w:val="0"/>
              <w:keepLines w:val="0"/>
              <w:widowControl/>
              <w:suppressLineNumbers w:val="0"/>
              <w:spacing w:line="360" w:lineRule="auto"/>
              <w:ind w:firstLine="422" w:firstLineChars="200"/>
              <w:jc w:val="left"/>
              <w:rPr>
                <w:sz w:val="21"/>
                <w:szCs w:val="21"/>
              </w:rPr>
            </w:pPr>
            <w:r>
              <w:rPr>
                <w:rFonts w:hint="eastAsia" w:ascii="宋体" w:hAnsi="宋体" w:eastAsia="宋体" w:cs="宋体"/>
                <w:b/>
                <w:bCs/>
                <w:color w:val="000000"/>
                <w:kern w:val="0"/>
                <w:sz w:val="21"/>
                <w:szCs w:val="21"/>
                <w:lang w:val="en-US" w:eastAsia="zh-CN" w:bidi="ar"/>
              </w:rPr>
              <w:t>综上所述，本项目建设符合园区定位要求，符合区域规划环评中入园企业环境门槛及环境准入条件要求，符合用地规划要求，外环境无明显环境制约因素，项目对污染物均采取了相应的治理措施后，可做到达标排放，从环保角度看，选址合理。</w:t>
            </w:r>
          </w:p>
          <w:p w14:paraId="5DEB4161">
            <w:pPr>
              <w:keepNext w:val="0"/>
              <w:keepLines w:val="0"/>
              <w:widowControl/>
              <w:suppressLineNumbers w:val="0"/>
              <w:spacing w:line="360" w:lineRule="auto"/>
              <w:jc w:val="left"/>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（9）与蓬溪县土地利用规划符合性分析</w:t>
            </w:r>
          </w:p>
          <w:p w14:paraId="6A37FBCA">
            <w:pPr>
              <w:keepNext w:val="0"/>
              <w:keepLines w:val="0"/>
              <w:widowControl/>
              <w:suppressLineNumbers w:val="0"/>
              <w:spacing w:line="360" w:lineRule="auto"/>
              <w:ind w:firstLine="420" w:firstLineChars="200"/>
              <w:jc w:val="left"/>
              <w:rPr>
                <w:rFonts w:hint="default"/>
                <w:lang w:val="en-US"/>
              </w:rPr>
            </w:pPr>
            <w:r>
              <w:rPr>
                <w:rFonts w:hint="eastAsia"/>
                <w:lang w:val="en-US" w:eastAsia="zh-CN"/>
              </w:rPr>
              <w:t>本项目在</w:t>
            </w:r>
            <w:r>
              <w:rPr>
                <w:rFonts w:hint="eastAsia" w:ascii="Times New Roman" w:hAnsi="Times New Roman" w:cs="Times New Roman"/>
                <w:sz w:val="21"/>
                <w:szCs w:val="21"/>
                <w:lang w:eastAsia="zh-CN"/>
              </w:rPr>
              <w:t>蓬溪县赤城镇上游工业园区拓展区11号F地块</w:t>
            </w:r>
            <w:r>
              <w:rPr>
                <w:rFonts w:hint="eastAsia" w:cs="Times New Roman"/>
                <w:sz w:val="21"/>
                <w:szCs w:val="21"/>
                <w:lang w:eastAsia="zh-CN"/>
              </w:rPr>
              <w:t>，</w:t>
            </w:r>
            <w:r>
              <w:rPr>
                <w:rFonts w:hint="eastAsia" w:cs="Times New Roman"/>
                <w:sz w:val="21"/>
                <w:szCs w:val="21"/>
                <w:lang w:val="en-US" w:eastAsia="zh-CN"/>
              </w:rPr>
              <w:t>位于</w:t>
            </w:r>
            <w:r>
              <w:rPr>
                <w:rFonts w:hint="eastAsia"/>
                <w:color w:val="auto"/>
                <w:lang w:val="en-US" w:eastAsia="zh-CN"/>
              </w:rPr>
              <w:t>蓬溪县上游工业园门业基地，未列入园区禁止发展项目清单中，属于园区入区企业环境准入门槛中允许类。根据《蓬溪县上游工业园门业基地控制性详细规划》（2020-2035）土地利用规划图</w:t>
            </w:r>
            <w:r>
              <w:rPr>
                <w:rFonts w:hint="eastAsia"/>
                <w:color w:val="FF0000"/>
                <w:lang w:val="en-US" w:eastAsia="zh-CN"/>
              </w:rPr>
              <w:t>（附图5）</w:t>
            </w:r>
            <w:r>
              <w:rPr>
                <w:rFonts w:hint="eastAsia"/>
                <w:lang w:val="en-US" w:eastAsia="zh-CN"/>
              </w:rPr>
              <w:t>，本项目所在地块为二类工业用地；另外，本项目所在地取得了《建设用地规划许可证》（蓬规地字第(2013)135号），明确用地性质为工业用地。因此，本项目土地利用性质符合蓬溪县上游工业园产业聚集区土地利用总体规划。</w:t>
            </w:r>
          </w:p>
          <w:p w14:paraId="5D426E65">
            <w:pPr>
              <w:keepNext w:val="0"/>
              <w:keepLines w:val="0"/>
              <w:widowControl/>
              <w:suppressLineNumbers w:val="0"/>
              <w:ind w:firstLine="420" w:firstLineChars="200"/>
              <w:jc w:val="left"/>
              <w:rPr>
                <w:rFonts w:hint="default"/>
                <w:lang w:val="en-US"/>
              </w:rPr>
            </w:pPr>
          </w:p>
          <w:p w14:paraId="229DB40D">
            <w:pPr>
              <w:keepNext w:val="0"/>
              <w:keepLines w:val="0"/>
              <w:widowControl/>
              <w:suppressLineNumbers w:val="0"/>
              <w:spacing w:line="360" w:lineRule="auto"/>
              <w:ind w:firstLine="420" w:firstLineChars="200"/>
              <w:jc w:val="left"/>
              <w:rPr>
                <w:rFonts w:hint="default" w:ascii="Times New Roman" w:hAnsi="Times New Roman" w:eastAsia="宋体" w:cs="Times New Roman"/>
                <w:sz w:val="21"/>
                <w:szCs w:val="21"/>
                <w:lang w:val="en-US" w:eastAsia="zh-CN"/>
              </w:rPr>
            </w:pPr>
          </w:p>
          <w:p w14:paraId="3776392C">
            <w:pPr>
              <w:pStyle w:val="42"/>
              <w:rPr>
                <w:vertAlign w:val="baseline"/>
              </w:rPr>
            </w:pPr>
          </w:p>
          <w:p w14:paraId="4E5350AB">
            <w:pPr>
              <w:pStyle w:val="42"/>
              <w:rPr>
                <w:vertAlign w:val="baseline"/>
              </w:rPr>
            </w:pPr>
          </w:p>
          <w:p w14:paraId="6F599955">
            <w:pPr>
              <w:pStyle w:val="42"/>
              <w:rPr>
                <w:vertAlign w:val="baseline"/>
              </w:rPr>
            </w:pPr>
          </w:p>
          <w:p w14:paraId="4D676385">
            <w:pPr>
              <w:pStyle w:val="42"/>
              <w:rPr>
                <w:vertAlign w:val="baseline"/>
              </w:rPr>
            </w:pPr>
          </w:p>
          <w:p w14:paraId="72A24E3B">
            <w:pPr>
              <w:pStyle w:val="42"/>
              <w:rPr>
                <w:vertAlign w:val="baseline"/>
              </w:rPr>
            </w:pPr>
          </w:p>
        </w:tc>
      </w:tr>
    </w:tbl>
    <w:p w14:paraId="5AF87FD7">
      <w:pPr>
        <w:pStyle w:val="42"/>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076F1DDC">
      <w:pPr>
        <w:pStyle w:val="9"/>
        <w:spacing w:before="0" w:beforeAutospacing="0" w:after="0" w:afterAutospacing="0"/>
        <w:outlineLvl w:val="0"/>
        <w:rPr>
          <w:rFonts w:ascii="Times New Roman" w:hAnsi="Times New Roman" w:eastAsia="黑体"/>
          <w:snapToGrid w:val="0"/>
          <w:sz w:val="30"/>
          <w:szCs w:val="30"/>
        </w:rPr>
      </w:pPr>
      <w:bookmarkStart w:id="7" w:name="_Toc12867"/>
      <w:r>
        <w:rPr>
          <w:rFonts w:ascii="Times New Roman" w:hAnsi="Times New Roman" w:eastAsia="黑体"/>
          <w:snapToGrid w:val="0"/>
          <w:sz w:val="30"/>
          <w:szCs w:val="30"/>
        </w:rPr>
        <w:t>二、建设项目工程分析</w:t>
      </w:r>
      <w:bookmarkEnd w:id="7"/>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1596A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0" w:hRule="atLeast"/>
          <w:jc w:val="center"/>
        </w:trPr>
        <w:tc>
          <w:tcPr>
            <w:tcW w:w="375" w:type="dxa"/>
            <w:noWrap w:val="0"/>
            <w:vAlign w:val="center"/>
          </w:tcPr>
          <w:p w14:paraId="19A0651C">
            <w:pPr>
              <w:pStyle w:val="9"/>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建设内容</w:t>
            </w:r>
          </w:p>
        </w:tc>
        <w:tc>
          <w:tcPr>
            <w:tcW w:w="8609" w:type="dxa"/>
            <w:noWrap w:val="0"/>
            <w:vAlign w:val="top"/>
          </w:tcPr>
          <w:p w14:paraId="1CC85F6C">
            <w:pPr>
              <w:numPr>
                <w:ilvl w:val="0"/>
                <w:numId w:val="0"/>
              </w:numPr>
              <w:bidi w:val="0"/>
              <w:spacing w:line="360" w:lineRule="auto"/>
              <w:ind w:firstLine="422" w:firstLineChars="200"/>
              <w:rPr>
                <w:rFonts w:hint="eastAsia"/>
                <w:b/>
                <w:bCs/>
                <w:lang w:val="en-US" w:eastAsia="zh-CN"/>
              </w:rPr>
            </w:pPr>
            <w:r>
              <w:rPr>
                <w:rFonts w:hint="eastAsia"/>
                <w:b/>
                <w:bCs/>
                <w:lang w:val="en-US" w:eastAsia="zh-CN"/>
              </w:rPr>
              <w:t>一、项目由来</w:t>
            </w:r>
          </w:p>
          <w:p w14:paraId="108AB6D4">
            <w:pPr>
              <w:numPr>
                <w:ilvl w:val="0"/>
                <w:numId w:val="0"/>
              </w:numPr>
              <w:bidi w:val="0"/>
              <w:spacing w:line="360" w:lineRule="auto"/>
              <w:ind w:firstLine="420" w:firstLineChars="200"/>
              <w:rPr>
                <w:rFonts w:hint="eastAsia"/>
                <w:lang w:val="en-US" w:eastAsia="zh-CN"/>
              </w:rPr>
            </w:pPr>
            <w:r>
              <w:rPr>
                <w:rFonts w:hint="eastAsia"/>
                <w:lang w:val="en-US" w:eastAsia="zh-CN"/>
              </w:rPr>
              <w:t>基于市场发展的需要，</w:t>
            </w:r>
            <w:r>
              <w:t>遂宁广瑞汽车配件有限公司成立于2024年08月05日</w:t>
            </w:r>
            <w:r>
              <w:rPr>
                <w:rFonts w:hint="eastAsia"/>
                <w:lang w:eastAsia="zh-CN"/>
              </w:rPr>
              <w:t>，</w:t>
            </w:r>
            <w:r>
              <w:rPr>
                <w:rFonts w:hint="eastAsia"/>
                <w:lang w:val="en-US" w:eastAsia="zh-CN"/>
              </w:rPr>
              <w:t>是一家主要从事汽车零部件生产、销售的公司。公司拟投资300万元，在</w:t>
            </w:r>
            <w:r>
              <w:rPr>
                <w:rFonts w:hint="eastAsia" w:ascii="Times New Roman" w:hAnsi="Times New Roman" w:cs="Times New Roman"/>
                <w:sz w:val="21"/>
                <w:szCs w:val="21"/>
                <w:lang w:eastAsia="zh-CN"/>
              </w:rPr>
              <w:t>蓬溪县赤城镇上游工业园区</w:t>
            </w:r>
            <w:r>
              <w:rPr>
                <w:rFonts w:hint="eastAsia" w:cs="Times New Roman"/>
                <w:sz w:val="21"/>
                <w:szCs w:val="21"/>
                <w:lang w:val="en-US" w:eastAsia="zh-CN"/>
              </w:rPr>
              <w:t>建设一个年产105万件汽车零配件生产线的项目。</w:t>
            </w:r>
            <w:r>
              <w:rPr>
                <w:rFonts w:hint="eastAsia"/>
                <w:lang w:val="en-US" w:eastAsia="zh-CN"/>
              </w:rPr>
              <w:t>本项目建成后主要生产车门下护板、扰流板、轮眉、后视镜等,年产值预计将达600万元。</w:t>
            </w:r>
          </w:p>
          <w:p w14:paraId="1383CFD5">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对照《建设项目环境影响评价分类管理名录（</w:t>
            </w:r>
            <w:r>
              <w:rPr>
                <w:rFonts w:hint="default" w:ascii="Times New Roman" w:hAnsi="Times New Roman" w:eastAsia="宋体" w:cs="Times New Roman"/>
                <w:color w:val="000000"/>
                <w:kern w:val="0"/>
                <w:sz w:val="21"/>
                <w:szCs w:val="21"/>
                <w:lang w:val="en-US" w:eastAsia="zh-CN" w:bidi="ar"/>
              </w:rPr>
              <w:t>2021</w:t>
            </w:r>
            <w:r>
              <w:rPr>
                <w:rFonts w:hint="eastAsia" w:ascii="宋体" w:hAnsi="宋体" w:eastAsia="宋体" w:cs="宋体"/>
                <w:color w:val="000000"/>
                <w:kern w:val="0"/>
                <w:sz w:val="21"/>
                <w:szCs w:val="21"/>
                <w:lang w:val="en-US" w:eastAsia="zh-CN" w:bidi="ar"/>
              </w:rPr>
              <w:t xml:space="preserve">版）》的有关规定，本项目属于其中的“二十六、橡胶和塑料制品业 </w:t>
            </w:r>
            <w:r>
              <w:rPr>
                <w:rFonts w:hint="default" w:ascii="Times New Roman" w:hAnsi="Times New Roman" w:eastAsia="宋体" w:cs="Times New Roman"/>
                <w:color w:val="000000"/>
                <w:kern w:val="0"/>
                <w:sz w:val="21"/>
                <w:szCs w:val="21"/>
                <w:lang w:val="en-US" w:eastAsia="zh-CN" w:bidi="ar"/>
              </w:rPr>
              <w:t>29-53</w:t>
            </w:r>
            <w:r>
              <w:rPr>
                <w:rFonts w:hint="eastAsia" w:ascii="宋体" w:hAnsi="宋体" w:eastAsia="宋体" w:cs="宋体"/>
                <w:color w:val="000000"/>
                <w:kern w:val="0"/>
                <w:sz w:val="21"/>
                <w:szCs w:val="21"/>
                <w:lang w:val="en-US" w:eastAsia="zh-CN" w:bidi="ar"/>
              </w:rPr>
              <w:t>塑料制品业</w:t>
            </w:r>
            <w:r>
              <w:rPr>
                <w:rFonts w:hint="default" w:ascii="Times New Roman" w:hAnsi="Times New Roman" w:eastAsia="宋体" w:cs="Times New Roman"/>
                <w:color w:val="000000"/>
                <w:kern w:val="0"/>
                <w:sz w:val="21"/>
                <w:szCs w:val="21"/>
                <w:lang w:val="en-US" w:eastAsia="zh-CN" w:bidi="ar"/>
              </w:rPr>
              <w:t>292-</w:t>
            </w:r>
            <w:r>
              <w:rPr>
                <w:rFonts w:hint="eastAsia" w:ascii="宋体" w:hAnsi="宋体" w:eastAsia="宋体" w:cs="宋体"/>
                <w:color w:val="000000"/>
                <w:kern w:val="0"/>
                <w:sz w:val="21"/>
                <w:szCs w:val="21"/>
                <w:lang w:val="en-US" w:eastAsia="zh-CN" w:bidi="ar"/>
              </w:rPr>
              <w:t>其他（年用非溶剂型低</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含量涂料</w:t>
            </w:r>
            <w:r>
              <w:rPr>
                <w:rFonts w:hint="default" w:ascii="Times New Roman" w:hAnsi="Times New Roman" w:eastAsia="宋体" w:cs="Times New Roman"/>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吨以下的除外）”、“</w:t>
            </w:r>
            <w:r>
              <w:rPr>
                <w:rFonts w:hint="eastAsia" w:cs="Times New Roman"/>
                <w:lang w:val="en-US" w:eastAsia="zh-CN"/>
              </w:rPr>
              <w:t>三十三、汽车制造业36-71</w:t>
            </w:r>
            <w:r>
              <w:rPr>
                <w:rFonts w:hint="default" w:ascii="Times New Roman" w:hAnsi="Times New Roman" w:eastAsia="宋体" w:cs="Times New Roman"/>
                <w:color w:val="000000" w:themeColor="text1"/>
                <w:sz w:val="21"/>
                <w:szCs w:val="21"/>
                <w14:textFill>
                  <w14:solidFill>
                    <w14:schemeClr w14:val="tx1"/>
                  </w14:solidFill>
                </w14:textFill>
              </w:rPr>
              <w:t>汽车零部件及配件制造</w:t>
            </w:r>
            <w:r>
              <w:rPr>
                <w:rFonts w:hint="eastAsia" w:cs="Times New Roman"/>
                <w:color w:val="000000" w:themeColor="text1"/>
                <w:sz w:val="21"/>
                <w:szCs w:val="21"/>
                <w:lang w:val="en-US" w:eastAsia="zh-CN"/>
                <w14:textFill>
                  <w14:solidFill>
                    <w14:schemeClr w14:val="tx1"/>
                  </w14:solidFill>
                </w14:textFill>
              </w:rPr>
              <w:t>367-其他（年用非溶剂型低VOCs含量涂料10吨以下的除外）</w:t>
            </w:r>
            <w:r>
              <w:rPr>
                <w:rFonts w:hint="eastAsia" w:ascii="宋体" w:hAnsi="宋体" w:eastAsia="宋体" w:cs="宋体"/>
                <w:color w:val="000000"/>
                <w:kern w:val="0"/>
                <w:sz w:val="21"/>
                <w:szCs w:val="21"/>
                <w:lang w:val="en-US" w:eastAsia="zh-CN" w:bidi="ar"/>
              </w:rPr>
              <w:t xml:space="preserve">”，因此，应该编制环境影响报告表。 </w:t>
            </w:r>
          </w:p>
          <w:p w14:paraId="2A7BA6A7">
            <w:pPr>
              <w:keepNext w:val="0"/>
              <w:keepLines w:val="0"/>
              <w:widowControl/>
              <w:suppressLineNumbers w:val="0"/>
              <w:spacing w:line="360" w:lineRule="auto"/>
              <w:ind w:firstLine="420" w:firstLineChars="200"/>
              <w:jc w:val="left"/>
              <w:rPr>
                <w:rFonts w:hint="default"/>
                <w:lang w:val="en-US" w:eastAsia="zh-CN"/>
              </w:rPr>
            </w:pPr>
            <w:r>
              <w:rPr>
                <w:rFonts w:hint="eastAsia" w:ascii="宋体" w:hAnsi="宋体" w:eastAsia="宋体" w:cs="宋体"/>
                <w:color w:val="000000"/>
                <w:kern w:val="0"/>
                <w:sz w:val="21"/>
                <w:szCs w:val="21"/>
                <w:lang w:val="en-US" w:eastAsia="zh-CN" w:bidi="ar"/>
              </w:rPr>
              <w:t>为此，遂宁广瑞汽车配件有限公司委托四川众拓全过程工程设计咨询有限公司承担该项目环境影响报告表的编制工作。我公司接受委托后，立即开展了详细的现场调查、资料收集等工作，在对本项目的环境现状和可能造成的环境影响进行分析后，按照有关技术规范和有关规定，编制完成《遂宁广瑞汽车配件年产汽车内外装饰件</w:t>
            </w:r>
            <w:r>
              <w:rPr>
                <w:rFonts w:hint="eastAsia" w:ascii="宋体" w:hAnsi="宋体" w:cs="宋体"/>
                <w:color w:val="000000"/>
                <w:kern w:val="0"/>
                <w:sz w:val="21"/>
                <w:szCs w:val="21"/>
                <w:lang w:val="en-US" w:eastAsia="zh-CN" w:bidi="ar"/>
              </w:rPr>
              <w:t>105</w:t>
            </w:r>
            <w:r>
              <w:rPr>
                <w:rFonts w:hint="eastAsia" w:ascii="宋体" w:hAnsi="宋体" w:eastAsia="宋体" w:cs="宋体"/>
                <w:color w:val="000000"/>
                <w:kern w:val="0"/>
                <w:sz w:val="21"/>
                <w:szCs w:val="21"/>
                <w:lang w:val="en-US" w:eastAsia="zh-CN" w:bidi="ar"/>
              </w:rPr>
              <w:t>万件生产线项目环境影响报告表》，现呈报审批。</w:t>
            </w:r>
          </w:p>
          <w:p w14:paraId="50672964">
            <w:pPr>
              <w:bidi w:val="0"/>
              <w:spacing w:line="360" w:lineRule="auto"/>
              <w:ind w:firstLine="422" w:firstLineChars="200"/>
              <w:rPr>
                <w:rFonts w:hint="default"/>
                <w:b/>
                <w:bCs/>
                <w:lang w:val="en-US" w:eastAsia="zh-CN"/>
              </w:rPr>
            </w:pPr>
            <w:r>
              <w:rPr>
                <w:rFonts w:hint="eastAsia"/>
                <w:b/>
                <w:bCs/>
                <w:lang w:val="en-US" w:eastAsia="zh-CN"/>
              </w:rPr>
              <w:t>二</w:t>
            </w:r>
            <w:r>
              <w:rPr>
                <w:rFonts w:hint="default"/>
                <w:b/>
                <w:bCs/>
              </w:rPr>
              <w:t>、</w:t>
            </w:r>
            <w:r>
              <w:rPr>
                <w:rFonts w:hint="eastAsia"/>
                <w:b/>
                <w:bCs/>
                <w:lang w:val="en-US" w:eastAsia="zh-CN"/>
              </w:rPr>
              <w:t>项目概况</w:t>
            </w:r>
          </w:p>
          <w:p w14:paraId="34FCA959">
            <w:pPr>
              <w:pStyle w:val="69"/>
              <w:spacing w:line="360" w:lineRule="auto"/>
              <w:ind w:firstLine="480"/>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项目名称：</w:t>
            </w:r>
            <w:r>
              <w:rPr>
                <w:rFonts w:hint="eastAsia" w:ascii="Times New Roman" w:hAnsi="Times New Roman" w:cs="Times New Roman"/>
                <w:sz w:val="21"/>
                <w:szCs w:val="21"/>
                <w:lang w:eastAsia="zh-CN"/>
              </w:rPr>
              <w:t>遂宁广瑞汽车配件年产汽车内外装饰件105万件生产线项目</w:t>
            </w:r>
          </w:p>
          <w:p w14:paraId="5CEAA9A8">
            <w:pPr>
              <w:pStyle w:val="69"/>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建设性质：新建</w:t>
            </w:r>
          </w:p>
          <w:p w14:paraId="58C94E70">
            <w:pPr>
              <w:pStyle w:val="69"/>
              <w:spacing w:line="360" w:lineRule="auto"/>
              <w:ind w:firstLine="480"/>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建设单位：</w:t>
            </w:r>
            <w:r>
              <w:rPr>
                <w:rFonts w:hint="eastAsia" w:ascii="Times New Roman" w:hAnsi="Times New Roman" w:cs="Times New Roman"/>
                <w:sz w:val="21"/>
                <w:szCs w:val="21"/>
                <w:lang w:eastAsia="zh-CN"/>
              </w:rPr>
              <w:t>遂宁广瑞汽车配件有限公司</w:t>
            </w:r>
          </w:p>
          <w:p w14:paraId="639077AE">
            <w:pPr>
              <w:pStyle w:val="69"/>
              <w:spacing w:line="360" w:lineRule="auto"/>
              <w:ind w:firstLine="480"/>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建设地点：</w:t>
            </w:r>
            <w:r>
              <w:rPr>
                <w:rFonts w:hint="eastAsia" w:ascii="Times New Roman" w:hAnsi="Times New Roman" w:cs="Times New Roman"/>
                <w:sz w:val="21"/>
                <w:szCs w:val="21"/>
                <w:lang w:eastAsia="zh-CN"/>
              </w:rPr>
              <w:t>四川省遂宁市蓬溪县赤城镇上游工业园区拓展区11号F地块</w:t>
            </w:r>
          </w:p>
          <w:p w14:paraId="76B3CFE3">
            <w:pPr>
              <w:pStyle w:val="69"/>
              <w:spacing w:line="360" w:lineRule="auto"/>
              <w:ind w:firstLine="480"/>
              <w:rPr>
                <w:rFonts w:hint="default" w:ascii="Times New Roman" w:hAnsi="Times New Roman" w:cs="Times New Roman"/>
                <w:color w:val="000000"/>
                <w:sz w:val="21"/>
                <w:szCs w:val="21"/>
              </w:rPr>
            </w:pPr>
            <w:r>
              <w:rPr>
                <w:rFonts w:hint="default" w:ascii="Times New Roman" w:hAnsi="Times New Roman" w:cs="Times New Roman"/>
                <w:sz w:val="21"/>
                <w:szCs w:val="21"/>
              </w:rPr>
              <w:t>建设投资：</w:t>
            </w:r>
            <w:r>
              <w:rPr>
                <w:rFonts w:hint="eastAsia" w:ascii="Times New Roman" w:hAnsi="Times New Roman" w:cs="Times New Roman"/>
                <w:sz w:val="21"/>
                <w:szCs w:val="21"/>
                <w:lang w:val="en-US" w:eastAsia="zh-CN"/>
              </w:rPr>
              <w:t>300</w:t>
            </w:r>
            <w:r>
              <w:rPr>
                <w:rFonts w:hint="default" w:ascii="Times New Roman" w:hAnsi="Times New Roman" w:cs="Times New Roman"/>
                <w:color w:val="000000"/>
                <w:sz w:val="21"/>
                <w:szCs w:val="21"/>
              </w:rPr>
              <w:t>万元，其中环保投资</w:t>
            </w:r>
            <w:r>
              <w:rPr>
                <w:rFonts w:hint="default" w:ascii="Times New Roman" w:hAnsi="Times New Roman" w:cs="Times New Roman"/>
                <w:color w:val="auto"/>
                <w:sz w:val="21"/>
                <w:szCs w:val="21"/>
                <w:lang w:val="en-US" w:eastAsia="zh-CN"/>
              </w:rPr>
              <w:t>37.3</w:t>
            </w:r>
            <w:r>
              <w:rPr>
                <w:rFonts w:hint="default" w:ascii="Times New Roman" w:hAnsi="Times New Roman" w:cs="Times New Roman"/>
                <w:color w:val="auto"/>
                <w:sz w:val="21"/>
                <w:szCs w:val="21"/>
              </w:rPr>
              <w:t>万元，占总投资</w:t>
            </w:r>
            <w:r>
              <w:rPr>
                <w:rFonts w:hint="default" w:ascii="Times New Roman" w:hAnsi="Times New Roman" w:cs="Times New Roman"/>
                <w:color w:val="auto"/>
                <w:sz w:val="21"/>
                <w:szCs w:val="21"/>
                <w:lang w:val="en-US" w:eastAsia="zh-CN"/>
              </w:rPr>
              <w:t>12.6%</w:t>
            </w:r>
            <w:r>
              <w:rPr>
                <w:rFonts w:hint="default" w:ascii="Times New Roman" w:hAnsi="Times New Roman" w:cs="Times New Roman"/>
                <w:color w:val="000000"/>
                <w:sz w:val="21"/>
                <w:szCs w:val="21"/>
              </w:rPr>
              <w:t>。</w:t>
            </w:r>
          </w:p>
          <w:p w14:paraId="77E0B865">
            <w:pPr>
              <w:pStyle w:val="69"/>
              <w:spacing w:line="360" w:lineRule="auto"/>
              <w:ind w:firstLine="480"/>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劳动定员：40人，不涉及食宿，工作时间300天，8小时两班倒。</w:t>
            </w:r>
          </w:p>
          <w:p w14:paraId="40B8CC0B">
            <w:pPr>
              <w:pStyle w:val="69"/>
              <w:spacing w:line="360" w:lineRule="auto"/>
              <w:ind w:firstLine="480"/>
              <w:rPr>
                <w:rFonts w:hint="default" w:ascii="Times New Roman" w:hAnsi="Times New Roman" w:eastAsia="宋体" w:cs="Times New Roman"/>
                <w:sz w:val="21"/>
                <w:szCs w:val="21"/>
              </w:rPr>
            </w:pPr>
            <w:r>
              <w:rPr>
                <w:rFonts w:hint="default" w:ascii="Times New Roman" w:hAnsi="Times New Roman" w:cs="Times New Roman"/>
                <w:b/>
                <w:bCs/>
                <w:sz w:val="21"/>
                <w:szCs w:val="21"/>
              </w:rPr>
              <w:t>建设内容</w:t>
            </w:r>
            <w:r>
              <w:rPr>
                <w:rFonts w:hint="eastAsia" w:ascii="Times New Roman" w:hAnsi="Times New Roman" w:cs="Times New Roman"/>
                <w:b/>
                <w:bCs/>
                <w:sz w:val="21"/>
                <w:szCs w:val="21"/>
                <w:lang w:eastAsia="zh-CN"/>
              </w:rPr>
              <w:t>：</w:t>
            </w:r>
            <w:r>
              <w:rPr>
                <w:rFonts w:hint="default" w:ascii="Times New Roman" w:hAnsi="Times New Roman" w:cs="Times New Roman"/>
                <w:sz w:val="21"/>
                <w:szCs w:val="21"/>
                <w:lang w:val="en-US" w:eastAsia="zh-CN"/>
              </w:rPr>
              <w:t>项目租赁园区既有标准厂房</w:t>
            </w:r>
            <w:r>
              <w:rPr>
                <w:rFonts w:hint="eastAsia" w:ascii="Times New Roman" w:hAnsi="Times New Roman" w:cs="Times New Roman"/>
                <w:color w:val="auto"/>
                <w:sz w:val="21"/>
                <w:szCs w:val="21"/>
                <w:lang w:val="en-US" w:eastAsia="zh-CN"/>
              </w:rPr>
              <w:t>9320</w:t>
            </w: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，主</w:t>
            </w:r>
            <w:r>
              <w:rPr>
                <w:rFonts w:hint="default" w:ascii="Times New Roman" w:hAnsi="Times New Roman" w:eastAsia="宋体" w:cs="Times New Roman"/>
                <w:color w:val="auto"/>
                <w:sz w:val="21"/>
                <w:szCs w:val="21"/>
                <w:lang w:val="en-US" w:eastAsia="zh-CN"/>
              </w:rPr>
              <w:t>要</w:t>
            </w:r>
            <w:r>
              <w:rPr>
                <w:rFonts w:hint="default" w:ascii="Times New Roman" w:hAnsi="Times New Roman" w:eastAsia="宋体" w:cs="Times New Roman"/>
                <w:sz w:val="21"/>
                <w:szCs w:val="21"/>
                <w:lang w:val="en-US" w:eastAsia="zh-CN"/>
              </w:rPr>
              <w:t>设置</w:t>
            </w:r>
            <w:r>
              <w:rPr>
                <w:rFonts w:hint="default" w:ascii="Times New Roman" w:hAnsi="Times New Roman" w:eastAsia="宋体" w:cs="Times New Roman"/>
                <w:color w:val="000000"/>
                <w:kern w:val="0"/>
                <w:sz w:val="21"/>
                <w:szCs w:val="21"/>
                <w:lang w:val="en-US" w:eastAsia="zh-CN" w:bidi="ar"/>
              </w:rPr>
              <w:t>备水帘喷房、地轨式烤炉、注塑机、喷漆机器人</w:t>
            </w:r>
            <w:r>
              <w:rPr>
                <w:rFonts w:hint="default" w:ascii="Times New Roman" w:hAnsi="Times New Roman" w:eastAsia="宋体" w:cs="Times New Roman"/>
                <w:sz w:val="21"/>
                <w:szCs w:val="21"/>
                <w:lang w:val="en-US" w:eastAsia="zh-CN"/>
              </w:rPr>
              <w:t>及配套环保设施设备等</w:t>
            </w:r>
            <w:r>
              <w:rPr>
                <w:rFonts w:hint="eastAsia" w:ascii="Times New Roman" w:hAnsi="Times New Roman" w:cs="Times New Roman"/>
                <w:sz w:val="21"/>
                <w:szCs w:val="21"/>
                <w:lang w:val="en-US" w:eastAsia="zh-CN"/>
              </w:rPr>
              <w:t>，</w:t>
            </w:r>
            <w:r>
              <w:rPr>
                <w:rFonts w:hint="eastAsia" w:ascii="宋体" w:hAnsi="宋体" w:eastAsia="宋体" w:cs="宋体"/>
                <w:color w:val="000000"/>
                <w:kern w:val="0"/>
                <w:sz w:val="21"/>
                <w:szCs w:val="21"/>
                <w:lang w:val="en-US" w:eastAsia="zh-CN" w:bidi="ar"/>
              </w:rPr>
              <w:t>建设汽车零配件喷涂生产线4条，注塑生产线1条，生产工艺主要熔融注塑、冷却成型、喷漆、烘干、焊接组装</w:t>
            </w:r>
            <w:r>
              <w:rPr>
                <w:rFonts w:hint="default" w:ascii="Times New Roman" w:hAnsi="Times New Roman" w:eastAsia="宋体" w:cs="Times New Roman"/>
                <w:sz w:val="21"/>
                <w:szCs w:val="21"/>
                <w:lang w:val="en-US" w:eastAsia="zh-CN"/>
              </w:rPr>
              <w:t>，项目建成后具备生产</w:t>
            </w:r>
            <w:r>
              <w:rPr>
                <w:rFonts w:hint="eastAsia" w:ascii="Times New Roman" w:hAnsi="Times New Roman" w:eastAsia="宋体" w:cs="Times New Roman"/>
                <w:sz w:val="21"/>
                <w:szCs w:val="21"/>
                <w:lang w:val="en-US" w:eastAsia="zh-CN"/>
              </w:rPr>
              <w:t>汽车内外装饰件</w:t>
            </w:r>
            <w:r>
              <w:rPr>
                <w:rFonts w:hint="eastAsia" w:ascii="Times New Roman" w:hAnsi="Times New Roman" w:cs="Times New Roman"/>
                <w:sz w:val="21"/>
                <w:szCs w:val="21"/>
                <w:lang w:val="en-US" w:eastAsia="zh-CN"/>
              </w:rPr>
              <w:t>105</w:t>
            </w:r>
            <w:r>
              <w:rPr>
                <w:rFonts w:hint="eastAsia" w:ascii="Times New Roman" w:hAnsi="Times New Roman" w:eastAsia="宋体" w:cs="Times New Roman"/>
                <w:sz w:val="21"/>
                <w:szCs w:val="21"/>
                <w:lang w:val="en-US" w:eastAsia="zh-CN"/>
              </w:rPr>
              <w:t>万件</w:t>
            </w:r>
            <w:r>
              <w:rPr>
                <w:rFonts w:hint="default" w:ascii="Times New Roman" w:hAnsi="Times New Roman" w:eastAsia="宋体" w:cs="Times New Roman"/>
                <w:sz w:val="21"/>
                <w:szCs w:val="21"/>
                <w:lang w:val="en-US" w:eastAsia="zh-CN"/>
              </w:rPr>
              <w:t>/年。</w:t>
            </w:r>
          </w:p>
          <w:p w14:paraId="032C9E72">
            <w:pPr>
              <w:pStyle w:val="69"/>
              <w:spacing w:line="360" w:lineRule="auto"/>
              <w:ind w:firstLine="482"/>
              <w:rPr>
                <w:rFonts w:hint="default" w:ascii="Times New Roman" w:hAnsi="Times New Roman" w:cs="Times New Roman"/>
                <w:b/>
                <w:bCs/>
                <w:sz w:val="21"/>
                <w:szCs w:val="21"/>
              </w:rPr>
            </w:pPr>
            <w:r>
              <w:rPr>
                <w:rFonts w:hint="eastAsia" w:ascii="Times New Roman" w:hAnsi="Times New Roman" w:cs="Times New Roman"/>
                <w:b/>
                <w:bCs/>
                <w:sz w:val="21"/>
                <w:szCs w:val="21"/>
                <w:lang w:val="en-US" w:eastAsia="zh-CN"/>
              </w:rPr>
              <w:t>三</w:t>
            </w:r>
            <w:r>
              <w:rPr>
                <w:rFonts w:hint="default" w:ascii="Times New Roman" w:hAnsi="Times New Roman" w:cs="Times New Roman"/>
                <w:b/>
                <w:bCs/>
                <w:sz w:val="21"/>
                <w:szCs w:val="21"/>
              </w:rPr>
              <w:t xml:space="preserve">、项目组成及主要环境问题 </w:t>
            </w:r>
          </w:p>
          <w:p w14:paraId="7B8C2D94">
            <w:pPr>
              <w:pStyle w:val="69"/>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本项目建设内容及项目组成见表2-1。</w:t>
            </w:r>
          </w:p>
          <w:p w14:paraId="7FF132CD">
            <w:pPr>
              <w:pStyle w:val="63"/>
              <w:spacing w:line="240" w:lineRule="auto"/>
              <w:rPr>
                <w:rFonts w:hint="default" w:ascii="Times New Roman" w:hAnsi="Times New Roman"/>
                <w:sz w:val="21"/>
                <w:szCs w:val="21"/>
              </w:rPr>
            </w:pPr>
            <w:r>
              <w:rPr>
                <w:rFonts w:hint="default" w:ascii="Times New Roman" w:hAnsi="Times New Roman"/>
                <w:sz w:val="21"/>
                <w:szCs w:val="21"/>
              </w:rPr>
              <w:t>表2-1 项目建设主要组成一览表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12"/>
              <w:gridCol w:w="888"/>
              <w:gridCol w:w="4236"/>
              <w:gridCol w:w="1059"/>
              <w:gridCol w:w="1144"/>
            </w:tblGrid>
            <w:tr w14:paraId="1E7186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exact"/>
                <w:jc w:val="center"/>
              </w:trPr>
              <w:tc>
                <w:tcPr>
                  <w:tcW w:w="712" w:type="dxa"/>
                  <w:vMerge w:val="restart"/>
                  <w:noWrap w:val="0"/>
                  <w:vAlign w:val="center"/>
                </w:tcPr>
                <w:p w14:paraId="037F5F22">
                  <w:pPr>
                    <w:spacing w:line="240" w:lineRule="auto"/>
                    <w:jc w:val="center"/>
                    <w:rPr>
                      <w:b/>
                      <w:bCs/>
                      <w:color w:val="auto"/>
                      <w:sz w:val="21"/>
                      <w:szCs w:val="21"/>
                    </w:rPr>
                  </w:pPr>
                  <w:r>
                    <w:rPr>
                      <w:b/>
                      <w:bCs/>
                      <w:color w:val="auto"/>
                      <w:sz w:val="21"/>
                      <w:szCs w:val="21"/>
                    </w:rPr>
                    <w:t>工程类别</w:t>
                  </w:r>
                </w:p>
              </w:tc>
              <w:tc>
                <w:tcPr>
                  <w:tcW w:w="5124" w:type="dxa"/>
                  <w:gridSpan w:val="2"/>
                  <w:vMerge w:val="restart"/>
                  <w:noWrap w:val="0"/>
                  <w:vAlign w:val="center"/>
                </w:tcPr>
                <w:p w14:paraId="61DE2D1A">
                  <w:pPr>
                    <w:spacing w:line="240" w:lineRule="auto"/>
                    <w:jc w:val="center"/>
                    <w:rPr>
                      <w:b/>
                      <w:bCs/>
                      <w:color w:val="auto"/>
                      <w:sz w:val="21"/>
                      <w:szCs w:val="21"/>
                    </w:rPr>
                  </w:pPr>
                  <w:r>
                    <w:rPr>
                      <w:b/>
                      <w:bCs/>
                      <w:color w:val="auto"/>
                      <w:sz w:val="21"/>
                      <w:szCs w:val="21"/>
                    </w:rPr>
                    <w:t>建设内容及规模</w:t>
                  </w:r>
                </w:p>
              </w:tc>
              <w:tc>
                <w:tcPr>
                  <w:tcW w:w="2203" w:type="dxa"/>
                  <w:gridSpan w:val="2"/>
                  <w:noWrap w:val="0"/>
                  <w:vAlign w:val="center"/>
                </w:tcPr>
                <w:p w14:paraId="54E3FE2D">
                  <w:pPr>
                    <w:spacing w:line="240" w:lineRule="auto"/>
                    <w:jc w:val="center"/>
                    <w:rPr>
                      <w:b/>
                      <w:bCs/>
                      <w:color w:val="auto"/>
                      <w:sz w:val="21"/>
                      <w:szCs w:val="21"/>
                    </w:rPr>
                  </w:pPr>
                  <w:r>
                    <w:rPr>
                      <w:b/>
                      <w:bCs/>
                      <w:color w:val="auto"/>
                      <w:sz w:val="21"/>
                      <w:szCs w:val="21"/>
                    </w:rPr>
                    <w:t>可能产生的环境问题</w:t>
                  </w:r>
                </w:p>
              </w:tc>
            </w:tr>
            <w:tr w14:paraId="21E0CD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exact"/>
                <w:jc w:val="center"/>
              </w:trPr>
              <w:tc>
                <w:tcPr>
                  <w:tcW w:w="712" w:type="dxa"/>
                  <w:vMerge w:val="continue"/>
                  <w:noWrap w:val="0"/>
                  <w:vAlign w:val="center"/>
                </w:tcPr>
                <w:p w14:paraId="3BBBAD19">
                  <w:pPr>
                    <w:spacing w:line="240" w:lineRule="auto"/>
                    <w:jc w:val="center"/>
                    <w:rPr>
                      <w:b/>
                      <w:color w:val="auto"/>
                      <w:kern w:val="0"/>
                      <w:sz w:val="21"/>
                      <w:szCs w:val="21"/>
                      <w:lang w:val="en-GB"/>
                    </w:rPr>
                  </w:pPr>
                </w:p>
              </w:tc>
              <w:tc>
                <w:tcPr>
                  <w:tcW w:w="5124" w:type="dxa"/>
                  <w:gridSpan w:val="2"/>
                  <w:vMerge w:val="continue"/>
                  <w:noWrap w:val="0"/>
                  <w:vAlign w:val="center"/>
                </w:tcPr>
                <w:p w14:paraId="63A6DDDE">
                  <w:pPr>
                    <w:spacing w:line="240" w:lineRule="auto"/>
                    <w:jc w:val="center"/>
                    <w:rPr>
                      <w:b/>
                      <w:color w:val="auto"/>
                      <w:kern w:val="0"/>
                      <w:sz w:val="21"/>
                      <w:szCs w:val="21"/>
                    </w:rPr>
                  </w:pPr>
                </w:p>
              </w:tc>
              <w:tc>
                <w:tcPr>
                  <w:tcW w:w="1059" w:type="dxa"/>
                  <w:noWrap w:val="0"/>
                  <w:vAlign w:val="center"/>
                </w:tcPr>
                <w:p w14:paraId="364FC709">
                  <w:pPr>
                    <w:spacing w:line="240" w:lineRule="auto"/>
                    <w:jc w:val="center"/>
                    <w:rPr>
                      <w:b/>
                      <w:color w:val="auto"/>
                      <w:sz w:val="21"/>
                      <w:szCs w:val="21"/>
                      <w:lang w:val="en-GB"/>
                    </w:rPr>
                  </w:pPr>
                  <w:r>
                    <w:rPr>
                      <w:b/>
                      <w:color w:val="auto"/>
                      <w:sz w:val="21"/>
                      <w:szCs w:val="21"/>
                      <w:lang w:val="en-GB"/>
                    </w:rPr>
                    <w:t>施工期</w:t>
                  </w:r>
                </w:p>
              </w:tc>
              <w:tc>
                <w:tcPr>
                  <w:tcW w:w="1144" w:type="dxa"/>
                  <w:noWrap w:val="0"/>
                  <w:vAlign w:val="center"/>
                </w:tcPr>
                <w:p w14:paraId="45D58958">
                  <w:pPr>
                    <w:spacing w:line="240" w:lineRule="auto"/>
                    <w:jc w:val="center"/>
                    <w:rPr>
                      <w:b/>
                      <w:color w:val="auto"/>
                      <w:sz w:val="21"/>
                      <w:szCs w:val="21"/>
                      <w:lang w:val="en-GB"/>
                    </w:rPr>
                  </w:pPr>
                  <w:r>
                    <w:rPr>
                      <w:b/>
                      <w:color w:val="auto"/>
                      <w:sz w:val="21"/>
                      <w:szCs w:val="21"/>
                      <w:lang w:val="en-GB"/>
                    </w:rPr>
                    <w:t>营运期</w:t>
                  </w:r>
                </w:p>
              </w:tc>
            </w:tr>
            <w:tr w14:paraId="62B74A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6" w:hRule="atLeast"/>
                <w:jc w:val="center"/>
              </w:trPr>
              <w:tc>
                <w:tcPr>
                  <w:tcW w:w="712" w:type="dxa"/>
                  <w:vMerge w:val="restart"/>
                  <w:noWrap w:val="0"/>
                  <w:vAlign w:val="center"/>
                </w:tcPr>
                <w:p w14:paraId="5220B011">
                  <w:pPr>
                    <w:spacing w:line="240" w:lineRule="auto"/>
                    <w:jc w:val="center"/>
                    <w:rPr>
                      <w:b/>
                      <w:color w:val="auto"/>
                      <w:sz w:val="21"/>
                      <w:szCs w:val="21"/>
                      <w:lang w:val="en-GB"/>
                    </w:rPr>
                  </w:pPr>
                  <w:r>
                    <w:rPr>
                      <w:b/>
                      <w:color w:val="auto"/>
                      <w:sz w:val="21"/>
                      <w:szCs w:val="21"/>
                      <w:lang w:val="en-GB"/>
                    </w:rPr>
                    <w:t>主体工程</w:t>
                  </w:r>
                </w:p>
              </w:tc>
              <w:tc>
                <w:tcPr>
                  <w:tcW w:w="888" w:type="dxa"/>
                  <w:tcBorders>
                    <w:right w:val="single" w:color="auto" w:sz="4" w:space="0"/>
                  </w:tcBorders>
                  <w:noWrap w:val="0"/>
                  <w:vAlign w:val="center"/>
                </w:tcPr>
                <w:p w14:paraId="4BA52E45">
                  <w:pPr>
                    <w:spacing w:line="240" w:lineRule="auto"/>
                    <w:jc w:val="center"/>
                    <w:rPr>
                      <w:rFonts w:hint="eastAsia"/>
                      <w:color w:val="auto"/>
                      <w:sz w:val="21"/>
                      <w:szCs w:val="21"/>
                      <w:lang w:val="en-US" w:eastAsia="zh-CN"/>
                    </w:rPr>
                  </w:pPr>
                  <w:r>
                    <w:rPr>
                      <w:rFonts w:hint="eastAsia"/>
                      <w:color w:val="auto"/>
                      <w:sz w:val="21"/>
                      <w:szCs w:val="21"/>
                      <w:lang w:val="en-US" w:eastAsia="zh-CN"/>
                    </w:rPr>
                    <w:t>喷涂</w:t>
                  </w:r>
                </w:p>
                <w:p w14:paraId="48F30240">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车间</w:t>
                  </w:r>
                </w:p>
              </w:tc>
              <w:tc>
                <w:tcPr>
                  <w:tcW w:w="4236" w:type="dxa"/>
                  <w:tcBorders>
                    <w:left w:val="single" w:color="auto" w:sz="4" w:space="0"/>
                  </w:tcBorders>
                  <w:noWrap w:val="0"/>
                  <w:vAlign w:val="center"/>
                </w:tcPr>
                <w:p w14:paraId="0F5E2379">
                  <w:p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租赁</w:t>
                  </w:r>
                  <w:r>
                    <w:rPr>
                      <w:rFonts w:hint="eastAsia" w:cs="Times New Roman"/>
                      <w:color w:val="auto"/>
                      <w:sz w:val="21"/>
                      <w:szCs w:val="21"/>
                      <w:lang w:val="en-US" w:eastAsia="zh-CN"/>
                    </w:rPr>
                    <w:t>厂房8320m</w:t>
                  </w:r>
                  <w:r>
                    <w:rPr>
                      <w:rFonts w:hint="eastAsia" w:cs="Times New Roman"/>
                      <w:color w:val="auto"/>
                      <w:sz w:val="21"/>
                      <w:szCs w:val="21"/>
                      <w:vertAlign w:val="superscript"/>
                      <w:lang w:val="en-US" w:eastAsia="zh-CN"/>
                    </w:rPr>
                    <w:t>2</w:t>
                  </w:r>
                  <w:r>
                    <w:rPr>
                      <w:rFonts w:hint="default" w:ascii="Times New Roman" w:hAnsi="Times New Roman" w:cs="Times New Roman"/>
                      <w:color w:val="auto"/>
                      <w:sz w:val="21"/>
                      <w:szCs w:val="21"/>
                    </w:rPr>
                    <w:t>，</w:t>
                  </w:r>
                  <w:r>
                    <w:rPr>
                      <w:rFonts w:hint="eastAsia" w:cs="Times New Roman"/>
                      <w:color w:val="auto"/>
                      <w:sz w:val="21"/>
                      <w:szCs w:val="21"/>
                      <w:lang w:val="en-US" w:eastAsia="zh-CN"/>
                    </w:rPr>
                    <w:t>喷涂生产线4条，</w:t>
                  </w:r>
                  <w:r>
                    <w:rPr>
                      <w:rFonts w:hint="default" w:ascii="Times New Roman" w:hAnsi="Times New Roman" w:cs="Times New Roman"/>
                      <w:color w:val="auto"/>
                      <w:sz w:val="21"/>
                      <w:szCs w:val="21"/>
                    </w:rPr>
                    <w:t>设置</w:t>
                  </w:r>
                  <w:r>
                    <w:rPr>
                      <w:rFonts w:hint="default" w:ascii="Times New Roman" w:hAnsi="Times New Roman" w:eastAsia="宋体" w:cs="Times New Roman"/>
                      <w:color w:val="auto"/>
                      <w:kern w:val="0"/>
                      <w:sz w:val="21"/>
                      <w:szCs w:val="21"/>
                      <w:lang w:val="en-US" w:eastAsia="zh-CN" w:bidi="ar"/>
                    </w:rPr>
                    <w:t>水帘喷房、地轨式烤炉、喷漆机器人</w:t>
                  </w:r>
                  <w:r>
                    <w:rPr>
                      <w:rFonts w:hint="default" w:ascii="Times New Roman" w:hAnsi="Times New Roman" w:cs="Times New Roman"/>
                      <w:color w:val="auto"/>
                      <w:sz w:val="21"/>
                      <w:szCs w:val="21"/>
                      <w:lang w:val="en-US" w:eastAsia="zh-CN"/>
                    </w:rPr>
                    <w:t>及配套环保设施设备</w:t>
                  </w:r>
                  <w:r>
                    <w:rPr>
                      <w:rFonts w:hint="eastAsia" w:cs="Times New Roman"/>
                      <w:color w:val="auto"/>
                      <w:sz w:val="21"/>
                      <w:szCs w:val="21"/>
                      <w:lang w:val="en-US" w:eastAsia="zh-CN"/>
                    </w:rPr>
                    <w:t>等</w:t>
                  </w:r>
                  <w:r>
                    <w:rPr>
                      <w:rFonts w:hint="default" w:ascii="Times New Roman" w:hAnsi="Times New Roman" w:cs="Times New Roman"/>
                      <w:color w:val="auto"/>
                      <w:sz w:val="21"/>
                      <w:szCs w:val="21"/>
                      <w:lang w:val="en-US" w:eastAsia="zh-CN"/>
                    </w:rPr>
                    <w:t>建设</w:t>
                  </w:r>
                  <w:r>
                    <w:rPr>
                      <w:rFonts w:hint="eastAsia" w:cs="Times New Roman"/>
                      <w:color w:val="auto"/>
                      <w:sz w:val="21"/>
                      <w:szCs w:val="21"/>
                      <w:vertAlign w:val="baseline"/>
                      <w:lang w:val="en-US" w:eastAsia="zh-CN"/>
                    </w:rPr>
                    <w:t>零配件48万件/年</w:t>
                  </w:r>
                  <w:r>
                    <w:rPr>
                      <w:rFonts w:hint="eastAsia" w:ascii="Times New Roman" w:hAnsi="Times New Roman" w:cs="Times New Roman"/>
                      <w:color w:val="auto"/>
                      <w:sz w:val="21"/>
                      <w:szCs w:val="21"/>
                      <w:lang w:eastAsia="zh-CN"/>
                    </w:rPr>
                    <w:t>。</w:t>
                  </w:r>
                </w:p>
              </w:tc>
              <w:tc>
                <w:tcPr>
                  <w:tcW w:w="1059" w:type="dxa"/>
                  <w:vMerge w:val="restart"/>
                  <w:noWrap w:val="0"/>
                  <w:vAlign w:val="center"/>
                </w:tcPr>
                <w:p w14:paraId="5B33B65D">
                  <w:pPr>
                    <w:spacing w:line="240" w:lineRule="auto"/>
                    <w:jc w:val="center"/>
                    <w:rPr>
                      <w:rFonts w:hint="default" w:eastAsia="宋体"/>
                      <w:color w:val="auto"/>
                      <w:sz w:val="21"/>
                      <w:szCs w:val="21"/>
                      <w:lang w:val="en-US" w:eastAsia="zh-CN"/>
                    </w:rPr>
                  </w:pPr>
                  <w:r>
                    <w:rPr>
                      <w:rFonts w:hint="eastAsia"/>
                      <w:color w:val="auto"/>
                      <w:sz w:val="21"/>
                      <w:szCs w:val="21"/>
                      <w:lang w:val="en-GB"/>
                    </w:rPr>
                    <w:t>施工</w:t>
                  </w:r>
                  <w:r>
                    <w:rPr>
                      <w:color w:val="auto"/>
                      <w:sz w:val="21"/>
                      <w:szCs w:val="21"/>
                      <w:lang w:val="en-GB"/>
                    </w:rPr>
                    <w:t>固废，噪声、废气</w:t>
                  </w:r>
                  <w:r>
                    <w:rPr>
                      <w:rFonts w:hint="eastAsia"/>
                      <w:color w:val="auto"/>
                      <w:sz w:val="21"/>
                      <w:szCs w:val="21"/>
                      <w:lang w:val="en-GB" w:eastAsia="zh-CN"/>
                    </w:rPr>
                    <w:t>、</w:t>
                  </w:r>
                  <w:r>
                    <w:rPr>
                      <w:rFonts w:hint="eastAsia"/>
                      <w:color w:val="auto"/>
                      <w:sz w:val="21"/>
                      <w:szCs w:val="21"/>
                      <w:lang w:val="en-US" w:eastAsia="zh-CN"/>
                    </w:rPr>
                    <w:t>施工废水</w:t>
                  </w:r>
                </w:p>
              </w:tc>
              <w:tc>
                <w:tcPr>
                  <w:tcW w:w="1144" w:type="dxa"/>
                  <w:vMerge w:val="restart"/>
                  <w:noWrap w:val="0"/>
                  <w:vAlign w:val="center"/>
                </w:tcPr>
                <w:p w14:paraId="22F85D44">
                  <w:pPr>
                    <w:spacing w:line="240" w:lineRule="auto"/>
                    <w:jc w:val="center"/>
                    <w:rPr>
                      <w:rFonts w:hint="default" w:eastAsia="宋体"/>
                      <w:color w:val="auto"/>
                      <w:sz w:val="21"/>
                      <w:szCs w:val="21"/>
                      <w:lang w:val="en-US" w:eastAsia="zh-CN"/>
                    </w:rPr>
                  </w:pPr>
                  <w:r>
                    <w:rPr>
                      <w:color w:val="auto"/>
                      <w:sz w:val="21"/>
                      <w:szCs w:val="21"/>
                    </w:rPr>
                    <w:t>固废、废气、噪声</w:t>
                  </w:r>
                  <w:r>
                    <w:rPr>
                      <w:rFonts w:hint="eastAsia"/>
                      <w:color w:val="auto"/>
                      <w:sz w:val="21"/>
                      <w:szCs w:val="21"/>
                      <w:lang w:eastAsia="zh-CN"/>
                    </w:rPr>
                    <w:t>、</w:t>
                  </w:r>
                  <w:r>
                    <w:rPr>
                      <w:rFonts w:hint="eastAsia"/>
                      <w:color w:val="auto"/>
                      <w:sz w:val="21"/>
                      <w:szCs w:val="21"/>
                      <w:lang w:val="en-US" w:eastAsia="zh-CN"/>
                    </w:rPr>
                    <w:t>废水</w:t>
                  </w:r>
                </w:p>
              </w:tc>
            </w:tr>
            <w:tr w14:paraId="5EFAD1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2" w:type="dxa"/>
                  <w:vMerge w:val="continue"/>
                  <w:noWrap w:val="0"/>
                  <w:vAlign w:val="center"/>
                </w:tcPr>
                <w:p w14:paraId="4DFE1C7B">
                  <w:pPr>
                    <w:spacing w:line="240" w:lineRule="auto"/>
                    <w:jc w:val="center"/>
                    <w:rPr>
                      <w:b/>
                      <w:color w:val="auto"/>
                      <w:sz w:val="21"/>
                      <w:szCs w:val="21"/>
                      <w:lang w:val="en-GB"/>
                    </w:rPr>
                  </w:pPr>
                </w:p>
              </w:tc>
              <w:tc>
                <w:tcPr>
                  <w:tcW w:w="888" w:type="dxa"/>
                  <w:tcBorders>
                    <w:right w:val="single" w:color="auto" w:sz="4" w:space="0"/>
                  </w:tcBorders>
                  <w:noWrap w:val="0"/>
                  <w:vAlign w:val="center"/>
                </w:tcPr>
                <w:p w14:paraId="5FFC28D9">
                  <w:pPr>
                    <w:spacing w:line="240" w:lineRule="auto"/>
                    <w:jc w:val="center"/>
                    <w:rPr>
                      <w:rFonts w:hint="eastAsia"/>
                      <w:color w:val="auto"/>
                      <w:sz w:val="21"/>
                      <w:szCs w:val="21"/>
                      <w:lang w:val="en-US" w:eastAsia="zh-CN"/>
                    </w:rPr>
                  </w:pPr>
                  <w:r>
                    <w:rPr>
                      <w:rFonts w:hint="eastAsia"/>
                      <w:color w:val="auto"/>
                      <w:sz w:val="21"/>
                      <w:szCs w:val="21"/>
                      <w:lang w:val="en-US" w:eastAsia="zh-CN"/>
                    </w:rPr>
                    <w:t>注塑</w:t>
                  </w:r>
                </w:p>
                <w:p w14:paraId="03DDE900">
                  <w:pPr>
                    <w:spacing w:line="240" w:lineRule="auto"/>
                    <w:jc w:val="center"/>
                    <w:rPr>
                      <w:rFonts w:hint="default"/>
                      <w:color w:val="auto"/>
                      <w:sz w:val="21"/>
                      <w:szCs w:val="21"/>
                      <w:lang w:val="en-US" w:eastAsia="zh-CN"/>
                    </w:rPr>
                  </w:pPr>
                  <w:r>
                    <w:rPr>
                      <w:rFonts w:hint="eastAsia"/>
                      <w:color w:val="auto"/>
                      <w:sz w:val="21"/>
                      <w:szCs w:val="21"/>
                      <w:lang w:val="en-US" w:eastAsia="zh-CN"/>
                    </w:rPr>
                    <w:t>车间</w:t>
                  </w:r>
                </w:p>
              </w:tc>
              <w:tc>
                <w:tcPr>
                  <w:tcW w:w="4236" w:type="dxa"/>
                  <w:tcBorders>
                    <w:left w:val="single" w:color="auto" w:sz="4" w:space="0"/>
                  </w:tcBorders>
                  <w:noWrap w:val="0"/>
                  <w:vAlign w:val="center"/>
                </w:tcPr>
                <w:p w14:paraId="3D866274">
                  <w:pPr>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租赁1000m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，注塑生产线1条，位于喷涂车间南侧210m，设置注塑机10台，可生产汽车零配件。</w:t>
                  </w:r>
                </w:p>
              </w:tc>
              <w:tc>
                <w:tcPr>
                  <w:tcW w:w="1059" w:type="dxa"/>
                  <w:vMerge w:val="continue"/>
                  <w:noWrap w:val="0"/>
                  <w:vAlign w:val="center"/>
                </w:tcPr>
                <w:p w14:paraId="6CC47FEE">
                  <w:pPr>
                    <w:spacing w:line="240" w:lineRule="auto"/>
                    <w:jc w:val="center"/>
                    <w:rPr>
                      <w:rFonts w:hint="eastAsia"/>
                      <w:color w:val="auto"/>
                      <w:sz w:val="21"/>
                      <w:szCs w:val="21"/>
                      <w:lang w:val="en-GB"/>
                    </w:rPr>
                  </w:pPr>
                </w:p>
              </w:tc>
              <w:tc>
                <w:tcPr>
                  <w:tcW w:w="1144" w:type="dxa"/>
                  <w:vMerge w:val="continue"/>
                  <w:noWrap w:val="0"/>
                  <w:vAlign w:val="center"/>
                </w:tcPr>
                <w:p w14:paraId="122D0967">
                  <w:pPr>
                    <w:spacing w:line="240" w:lineRule="auto"/>
                    <w:jc w:val="center"/>
                    <w:rPr>
                      <w:color w:val="auto"/>
                      <w:sz w:val="21"/>
                      <w:szCs w:val="21"/>
                    </w:rPr>
                  </w:pPr>
                </w:p>
              </w:tc>
            </w:tr>
            <w:tr w14:paraId="41DEAB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712" w:type="dxa"/>
                  <w:noWrap w:val="0"/>
                  <w:vAlign w:val="center"/>
                </w:tcPr>
                <w:p w14:paraId="72EB68A0">
                  <w:pPr>
                    <w:spacing w:line="240" w:lineRule="auto"/>
                    <w:jc w:val="center"/>
                    <w:rPr>
                      <w:rFonts w:hint="default" w:eastAsia="宋体"/>
                      <w:b/>
                      <w:color w:val="auto"/>
                      <w:sz w:val="21"/>
                      <w:szCs w:val="21"/>
                      <w:lang w:val="en-US" w:eastAsia="zh-CN"/>
                    </w:rPr>
                  </w:pPr>
                  <w:r>
                    <w:rPr>
                      <w:rFonts w:hint="eastAsia"/>
                      <w:b/>
                      <w:color w:val="auto"/>
                      <w:sz w:val="21"/>
                      <w:szCs w:val="21"/>
                      <w:lang w:val="en-US" w:eastAsia="zh-CN"/>
                    </w:rPr>
                    <w:t>辅助工程</w:t>
                  </w:r>
                </w:p>
              </w:tc>
              <w:tc>
                <w:tcPr>
                  <w:tcW w:w="888" w:type="dxa"/>
                  <w:tcBorders>
                    <w:right w:val="single" w:color="auto" w:sz="4" w:space="0"/>
                  </w:tcBorders>
                  <w:noWrap w:val="0"/>
                  <w:vAlign w:val="center"/>
                </w:tcPr>
                <w:p w14:paraId="05DFA2FD">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空压</w:t>
                  </w:r>
                </w:p>
                <w:p w14:paraId="5376BA34">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机房</w:t>
                  </w:r>
                </w:p>
              </w:tc>
              <w:tc>
                <w:tcPr>
                  <w:tcW w:w="4236" w:type="dxa"/>
                  <w:tcBorders>
                    <w:left w:val="single" w:color="auto" w:sz="4" w:space="0"/>
                  </w:tcBorders>
                  <w:noWrap w:val="0"/>
                  <w:vAlign w:val="center"/>
                </w:tcPr>
                <w:p w14:paraId="0D8AA6E8">
                  <w:pPr>
                    <w:spacing w:line="240" w:lineRule="auto"/>
                    <w:jc w:val="both"/>
                    <w:rPr>
                      <w:rFonts w:hint="eastAsia" w:cs="Times New Roman"/>
                      <w:color w:val="auto"/>
                      <w:sz w:val="21"/>
                      <w:szCs w:val="21"/>
                      <w:lang w:val="en-US" w:eastAsia="zh-CN"/>
                    </w:rPr>
                  </w:pPr>
                  <w:r>
                    <w:rPr>
                      <w:rFonts w:hint="eastAsia" w:cs="Times New Roman"/>
                      <w:color w:val="auto"/>
                      <w:sz w:val="21"/>
                      <w:szCs w:val="21"/>
                      <w:lang w:val="en-US" w:eastAsia="zh-CN"/>
                    </w:rPr>
                    <w:t>面积约30m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，位于厂房东侧</w:t>
                  </w:r>
                </w:p>
              </w:tc>
              <w:tc>
                <w:tcPr>
                  <w:tcW w:w="1059" w:type="dxa"/>
                  <w:vMerge w:val="continue"/>
                  <w:noWrap w:val="0"/>
                  <w:vAlign w:val="center"/>
                </w:tcPr>
                <w:p w14:paraId="12DF3D10">
                  <w:pPr>
                    <w:spacing w:line="240" w:lineRule="auto"/>
                    <w:jc w:val="center"/>
                    <w:rPr>
                      <w:rFonts w:hint="eastAsia"/>
                      <w:color w:val="auto"/>
                      <w:sz w:val="21"/>
                      <w:szCs w:val="21"/>
                      <w:lang w:val="en-GB"/>
                    </w:rPr>
                  </w:pPr>
                </w:p>
              </w:tc>
              <w:tc>
                <w:tcPr>
                  <w:tcW w:w="1144" w:type="dxa"/>
                  <w:noWrap w:val="0"/>
                  <w:vAlign w:val="center"/>
                </w:tcPr>
                <w:p w14:paraId="4BC000F4">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噪声</w:t>
                  </w:r>
                </w:p>
              </w:tc>
            </w:tr>
            <w:tr w14:paraId="24DF28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712" w:type="dxa"/>
                  <w:vMerge w:val="restart"/>
                  <w:noWrap w:val="0"/>
                  <w:vAlign w:val="center"/>
                </w:tcPr>
                <w:p w14:paraId="525DFE08">
                  <w:pPr>
                    <w:spacing w:line="240" w:lineRule="auto"/>
                    <w:jc w:val="center"/>
                    <w:rPr>
                      <w:b/>
                      <w:color w:val="auto"/>
                      <w:sz w:val="21"/>
                      <w:szCs w:val="21"/>
                      <w:lang w:val="en-GB"/>
                    </w:rPr>
                  </w:pPr>
                  <w:r>
                    <w:rPr>
                      <w:rFonts w:hint="eastAsia"/>
                      <w:b/>
                      <w:color w:val="auto"/>
                      <w:sz w:val="21"/>
                      <w:szCs w:val="21"/>
                      <w:lang w:val="en-US" w:eastAsia="zh-CN"/>
                    </w:rPr>
                    <w:t>仓储</w:t>
                  </w:r>
                  <w:r>
                    <w:rPr>
                      <w:b/>
                      <w:color w:val="auto"/>
                      <w:sz w:val="21"/>
                      <w:szCs w:val="21"/>
                      <w:lang w:val="en-GB"/>
                    </w:rPr>
                    <w:t>工程</w:t>
                  </w:r>
                </w:p>
              </w:tc>
              <w:tc>
                <w:tcPr>
                  <w:tcW w:w="888" w:type="dxa"/>
                  <w:tcBorders>
                    <w:right w:val="single" w:color="auto" w:sz="4" w:space="0"/>
                  </w:tcBorders>
                  <w:noWrap w:val="0"/>
                  <w:vAlign w:val="center"/>
                </w:tcPr>
                <w:p w14:paraId="3DAC3F79">
                  <w:pPr>
                    <w:spacing w:line="240" w:lineRule="auto"/>
                    <w:jc w:val="center"/>
                    <w:rPr>
                      <w:rFonts w:hint="default"/>
                      <w:color w:val="auto"/>
                      <w:sz w:val="21"/>
                      <w:szCs w:val="21"/>
                      <w:lang w:val="en-US"/>
                    </w:rPr>
                  </w:pPr>
                  <w:r>
                    <w:rPr>
                      <w:rFonts w:hint="eastAsia"/>
                      <w:color w:val="auto"/>
                      <w:sz w:val="21"/>
                      <w:szCs w:val="21"/>
                      <w:lang w:val="en-US" w:eastAsia="zh-CN"/>
                    </w:rPr>
                    <w:t>原料仓库</w:t>
                  </w:r>
                </w:p>
              </w:tc>
              <w:tc>
                <w:tcPr>
                  <w:tcW w:w="4236" w:type="dxa"/>
                  <w:tcBorders>
                    <w:left w:val="single" w:color="auto" w:sz="4" w:space="0"/>
                  </w:tcBorders>
                  <w:noWrap w:val="0"/>
                  <w:vAlign w:val="center"/>
                </w:tcPr>
                <w:p w14:paraId="56AE5311">
                  <w:pPr>
                    <w:spacing w:line="240" w:lineRule="auto"/>
                    <w:jc w:val="both"/>
                    <w:rPr>
                      <w:rFonts w:hint="default" w:eastAsia="宋体"/>
                      <w:b w:val="0"/>
                      <w:bCs w:val="0"/>
                      <w:lang w:val="en-US" w:eastAsia="zh-CN"/>
                    </w:rPr>
                  </w:pPr>
                  <w:r>
                    <w:rPr>
                      <w:rFonts w:hint="eastAsia" w:cs="Times New Roman"/>
                      <w:b w:val="0"/>
                      <w:bCs w:val="0"/>
                      <w:color w:val="auto"/>
                      <w:sz w:val="21"/>
                      <w:szCs w:val="21"/>
                      <w:lang w:val="en-US" w:eastAsia="zh-CN"/>
                    </w:rPr>
                    <w:t>本项目设置</w:t>
                  </w:r>
                  <w:r>
                    <w:rPr>
                      <w:rFonts w:hint="eastAsia"/>
                      <w:color w:val="auto"/>
                      <w:sz w:val="21"/>
                      <w:szCs w:val="21"/>
                      <w:lang w:val="en-US" w:eastAsia="zh-CN"/>
                    </w:rPr>
                    <w:t>原料仓库2间，1间</w:t>
                  </w:r>
                  <w:r>
                    <w:rPr>
                      <w:rFonts w:hint="default" w:ascii="Times New Roman" w:hAnsi="Times New Roman" w:cs="Times New Roman"/>
                      <w:b w:val="0"/>
                      <w:bCs w:val="0"/>
                      <w:color w:val="auto"/>
                      <w:sz w:val="21"/>
                      <w:szCs w:val="21"/>
                    </w:rPr>
                    <w:t>位于</w:t>
                  </w:r>
                  <w:r>
                    <w:rPr>
                      <w:rFonts w:hint="default" w:ascii="Times New Roman" w:hAnsi="Times New Roman" w:cs="Times New Roman"/>
                      <w:b w:val="0"/>
                      <w:bCs w:val="0"/>
                      <w:color w:val="auto"/>
                      <w:sz w:val="21"/>
                      <w:szCs w:val="21"/>
                      <w:lang w:val="en-US" w:eastAsia="zh-CN"/>
                    </w:rPr>
                    <w:t>喷涂</w:t>
                  </w:r>
                  <w:r>
                    <w:rPr>
                      <w:rFonts w:hint="default" w:ascii="Times New Roman" w:hAnsi="Times New Roman" w:cs="Times New Roman"/>
                      <w:b w:val="0"/>
                      <w:bCs w:val="0"/>
                      <w:color w:val="auto"/>
                      <w:sz w:val="21"/>
                      <w:szCs w:val="21"/>
                    </w:rPr>
                    <w:t>车间</w:t>
                  </w:r>
                  <w:r>
                    <w:rPr>
                      <w:rFonts w:hint="default" w:ascii="Times New Roman" w:hAnsi="Times New Roman" w:cs="Times New Roman"/>
                      <w:b w:val="0"/>
                      <w:bCs w:val="0"/>
                      <w:color w:val="auto"/>
                      <w:sz w:val="21"/>
                      <w:szCs w:val="21"/>
                      <w:lang w:val="en-US" w:eastAsia="zh-CN"/>
                    </w:rPr>
                    <w:t>西北</w:t>
                  </w:r>
                  <w:r>
                    <w:rPr>
                      <w:rFonts w:hint="default" w:ascii="Times New Roman" w:hAnsi="Times New Roman" w:cs="Times New Roman"/>
                      <w:b w:val="0"/>
                      <w:bCs w:val="0"/>
                      <w:color w:val="auto"/>
                      <w:sz w:val="21"/>
                      <w:szCs w:val="21"/>
                    </w:rPr>
                    <w:t>侧，面积约</w:t>
                  </w:r>
                  <w:r>
                    <w:rPr>
                      <w:rFonts w:hint="default" w:ascii="Times New Roman" w:hAnsi="Times New Roman" w:cs="Times New Roman"/>
                      <w:b w:val="0"/>
                      <w:bCs w:val="0"/>
                      <w:color w:val="auto"/>
                      <w:sz w:val="21"/>
                      <w:szCs w:val="21"/>
                      <w:lang w:val="en-US" w:eastAsia="zh-CN"/>
                    </w:rPr>
                    <w:t>85m</w:t>
                  </w:r>
                  <w:r>
                    <w:rPr>
                      <w:rFonts w:hint="default" w:ascii="Times New Roman" w:hAnsi="Times New Roman"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rPr>
                    <w:t>。</w:t>
                  </w:r>
                  <w:r>
                    <w:rPr>
                      <w:rFonts w:hint="eastAsia" w:ascii="Times New Roman" w:hAnsi="Times New Roman" w:cs="Times New Roman"/>
                      <w:b w:val="0"/>
                      <w:bCs w:val="0"/>
                      <w:color w:val="auto"/>
                      <w:sz w:val="21"/>
                      <w:szCs w:val="21"/>
                      <w:lang w:val="en-US" w:eastAsia="zh-CN"/>
                    </w:rPr>
                    <w:t>1间</w:t>
                  </w:r>
                  <w:r>
                    <w:rPr>
                      <w:rFonts w:hint="default" w:ascii="Times New Roman" w:hAnsi="Times New Roman" w:cs="Times New Roman"/>
                      <w:b w:val="0"/>
                      <w:bCs w:val="0"/>
                      <w:color w:val="auto"/>
                      <w:sz w:val="21"/>
                      <w:szCs w:val="21"/>
                      <w:lang w:val="en-US" w:eastAsia="zh-CN"/>
                    </w:rPr>
                    <w:t>位于注塑车间西侧，面积约70m</w:t>
                  </w:r>
                  <w:r>
                    <w:rPr>
                      <w:rFonts w:hint="default" w:ascii="Times New Roman" w:hAnsi="Times New Roman" w:cs="Times New Roman"/>
                      <w:b w:val="0"/>
                      <w:bCs w:val="0"/>
                      <w:color w:val="auto"/>
                      <w:sz w:val="21"/>
                      <w:szCs w:val="21"/>
                      <w:vertAlign w:val="superscript"/>
                      <w:lang w:val="en-US" w:eastAsia="zh-CN"/>
                    </w:rPr>
                    <w:t>2</w:t>
                  </w:r>
                </w:p>
              </w:tc>
              <w:tc>
                <w:tcPr>
                  <w:tcW w:w="1059" w:type="dxa"/>
                  <w:vMerge w:val="continue"/>
                  <w:noWrap w:val="0"/>
                  <w:vAlign w:val="center"/>
                </w:tcPr>
                <w:p w14:paraId="1FBAC043">
                  <w:pPr>
                    <w:spacing w:line="240" w:lineRule="auto"/>
                    <w:jc w:val="center"/>
                    <w:rPr>
                      <w:color w:val="auto"/>
                      <w:sz w:val="21"/>
                      <w:szCs w:val="21"/>
                      <w:lang w:val="en-GB"/>
                    </w:rPr>
                  </w:pPr>
                </w:p>
              </w:tc>
              <w:tc>
                <w:tcPr>
                  <w:tcW w:w="1144" w:type="dxa"/>
                  <w:vMerge w:val="restart"/>
                  <w:noWrap w:val="0"/>
                  <w:vAlign w:val="center"/>
                </w:tcPr>
                <w:p w14:paraId="7DDF9398">
                  <w:pPr>
                    <w:spacing w:line="240" w:lineRule="auto"/>
                    <w:jc w:val="center"/>
                    <w:rPr>
                      <w:color w:val="auto"/>
                      <w:sz w:val="21"/>
                      <w:szCs w:val="21"/>
                    </w:rPr>
                  </w:pPr>
                  <w:r>
                    <w:rPr>
                      <w:color w:val="auto"/>
                      <w:sz w:val="21"/>
                      <w:szCs w:val="21"/>
                    </w:rPr>
                    <w:t>/</w:t>
                  </w:r>
                </w:p>
              </w:tc>
            </w:tr>
            <w:tr w14:paraId="10988F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12" w:type="dxa"/>
                  <w:vMerge w:val="continue"/>
                  <w:noWrap w:val="0"/>
                  <w:vAlign w:val="center"/>
                </w:tcPr>
                <w:p w14:paraId="51CD5E2B">
                  <w:pPr>
                    <w:spacing w:line="240" w:lineRule="auto"/>
                    <w:jc w:val="center"/>
                    <w:rPr>
                      <w:b/>
                      <w:color w:val="auto"/>
                      <w:sz w:val="21"/>
                      <w:szCs w:val="21"/>
                      <w:lang w:val="en-GB"/>
                    </w:rPr>
                  </w:pPr>
                </w:p>
              </w:tc>
              <w:tc>
                <w:tcPr>
                  <w:tcW w:w="888" w:type="dxa"/>
                  <w:tcBorders>
                    <w:right w:val="single" w:color="auto" w:sz="4" w:space="0"/>
                  </w:tcBorders>
                  <w:noWrap w:val="0"/>
                  <w:vAlign w:val="center"/>
                </w:tcPr>
                <w:p w14:paraId="194CFB7B">
                  <w:pPr>
                    <w:spacing w:line="240" w:lineRule="auto"/>
                    <w:jc w:val="center"/>
                    <w:rPr>
                      <w:rFonts w:hint="eastAsia"/>
                      <w:color w:val="auto"/>
                      <w:sz w:val="21"/>
                      <w:szCs w:val="21"/>
                    </w:rPr>
                  </w:pPr>
                  <w:r>
                    <w:rPr>
                      <w:rFonts w:hint="eastAsia"/>
                      <w:color w:val="auto"/>
                      <w:sz w:val="21"/>
                      <w:szCs w:val="21"/>
                    </w:rPr>
                    <w:t>成品</w:t>
                  </w:r>
                </w:p>
                <w:p w14:paraId="56886D2F">
                  <w:pPr>
                    <w:spacing w:line="240" w:lineRule="auto"/>
                    <w:jc w:val="center"/>
                    <w:rPr>
                      <w:color w:val="auto"/>
                      <w:sz w:val="21"/>
                      <w:szCs w:val="21"/>
                    </w:rPr>
                  </w:pPr>
                  <w:r>
                    <w:rPr>
                      <w:rFonts w:hint="eastAsia"/>
                      <w:color w:val="auto"/>
                      <w:sz w:val="21"/>
                      <w:szCs w:val="21"/>
                      <w:lang w:val="en-US" w:eastAsia="zh-CN"/>
                    </w:rPr>
                    <w:t>仓库</w:t>
                  </w:r>
                </w:p>
              </w:tc>
              <w:tc>
                <w:tcPr>
                  <w:tcW w:w="4236" w:type="dxa"/>
                  <w:tcBorders>
                    <w:left w:val="single" w:color="auto" w:sz="4" w:space="0"/>
                  </w:tcBorders>
                  <w:noWrap w:val="0"/>
                  <w:vAlign w:val="center"/>
                </w:tcPr>
                <w:p w14:paraId="3C00E72A">
                  <w:pPr>
                    <w:spacing w:line="240" w:lineRule="auto"/>
                    <w:jc w:val="both"/>
                    <w:rPr>
                      <w:rFonts w:hint="eastAsia"/>
                      <w:b w:val="0"/>
                      <w:bCs w:val="0"/>
                      <w:color w:val="auto"/>
                      <w:sz w:val="21"/>
                      <w:szCs w:val="21"/>
                    </w:rPr>
                  </w:pPr>
                  <w:r>
                    <w:rPr>
                      <w:rFonts w:hint="eastAsia" w:cs="Times New Roman"/>
                      <w:b w:val="0"/>
                      <w:bCs w:val="0"/>
                      <w:color w:val="auto"/>
                      <w:sz w:val="21"/>
                      <w:szCs w:val="21"/>
                      <w:lang w:val="en-US" w:eastAsia="zh-CN"/>
                    </w:rPr>
                    <w:t>本项目设置</w:t>
                  </w:r>
                  <w:r>
                    <w:rPr>
                      <w:rFonts w:hint="eastAsia"/>
                      <w:color w:val="auto"/>
                      <w:sz w:val="21"/>
                      <w:szCs w:val="21"/>
                    </w:rPr>
                    <w:t>成品</w:t>
                  </w:r>
                  <w:r>
                    <w:rPr>
                      <w:rFonts w:hint="eastAsia"/>
                      <w:color w:val="auto"/>
                      <w:sz w:val="21"/>
                      <w:szCs w:val="21"/>
                      <w:lang w:val="en-US" w:eastAsia="zh-CN"/>
                    </w:rPr>
                    <w:t>仓库2间，1间</w:t>
                  </w:r>
                  <w:r>
                    <w:rPr>
                      <w:rFonts w:hint="eastAsia"/>
                      <w:b w:val="0"/>
                      <w:bCs w:val="0"/>
                      <w:color w:val="auto"/>
                      <w:sz w:val="21"/>
                      <w:szCs w:val="21"/>
                    </w:rPr>
                    <w:t>位于</w:t>
                  </w:r>
                  <w:r>
                    <w:rPr>
                      <w:rFonts w:hint="eastAsia"/>
                      <w:b w:val="0"/>
                      <w:bCs w:val="0"/>
                      <w:color w:val="auto"/>
                      <w:sz w:val="21"/>
                      <w:szCs w:val="21"/>
                      <w:lang w:val="en-US" w:eastAsia="zh-CN"/>
                    </w:rPr>
                    <w:t>喷涂</w:t>
                  </w:r>
                  <w:r>
                    <w:rPr>
                      <w:rFonts w:hint="eastAsia"/>
                      <w:b w:val="0"/>
                      <w:bCs w:val="0"/>
                      <w:color w:val="auto"/>
                      <w:sz w:val="21"/>
                      <w:szCs w:val="21"/>
                    </w:rPr>
                    <w:t>车间</w:t>
                  </w:r>
                  <w:r>
                    <w:rPr>
                      <w:rFonts w:hint="eastAsia"/>
                      <w:b w:val="0"/>
                      <w:bCs w:val="0"/>
                      <w:color w:val="auto"/>
                      <w:sz w:val="21"/>
                      <w:szCs w:val="21"/>
                      <w:lang w:val="en-US" w:eastAsia="zh-CN"/>
                    </w:rPr>
                    <w:t>西北侧</w:t>
                  </w:r>
                  <w:r>
                    <w:rPr>
                      <w:b w:val="0"/>
                      <w:bCs w:val="0"/>
                      <w:color w:val="auto"/>
                      <w:sz w:val="21"/>
                      <w:szCs w:val="21"/>
                    </w:rPr>
                    <w:t>，面积约</w:t>
                  </w:r>
                  <w:r>
                    <w:rPr>
                      <w:rFonts w:hint="eastAsia"/>
                      <w:b w:val="0"/>
                      <w:bCs w:val="0"/>
                      <w:color w:val="auto"/>
                      <w:sz w:val="21"/>
                      <w:szCs w:val="21"/>
                      <w:lang w:val="en-US" w:eastAsia="zh-CN"/>
                    </w:rPr>
                    <w:t>10</w:t>
                  </w:r>
                  <w:r>
                    <w:rPr>
                      <w:rFonts w:hint="eastAsia"/>
                      <w:b w:val="0"/>
                      <w:bCs w:val="0"/>
                      <w:color w:val="auto"/>
                      <w:sz w:val="21"/>
                      <w:szCs w:val="21"/>
                    </w:rPr>
                    <w:t>0</w:t>
                  </w:r>
                  <w:r>
                    <w:rPr>
                      <w:rFonts w:hint="eastAsia" w:cs="Times New Roman"/>
                      <w:b w:val="0"/>
                      <w:bCs w:val="0"/>
                      <w:color w:val="auto"/>
                      <w:sz w:val="21"/>
                      <w:szCs w:val="21"/>
                      <w:lang w:val="en-US" w:eastAsia="zh-CN"/>
                    </w:rPr>
                    <w:t>m</w:t>
                  </w:r>
                  <w:r>
                    <w:rPr>
                      <w:rFonts w:hint="eastAsia" w:cs="Times New Roman"/>
                      <w:b w:val="0"/>
                      <w:bCs w:val="0"/>
                      <w:color w:val="auto"/>
                      <w:sz w:val="21"/>
                      <w:szCs w:val="21"/>
                      <w:vertAlign w:val="superscript"/>
                      <w:lang w:val="en-US" w:eastAsia="zh-CN"/>
                    </w:rPr>
                    <w:t>2</w:t>
                  </w:r>
                  <w:r>
                    <w:rPr>
                      <w:b w:val="0"/>
                      <w:bCs w:val="0"/>
                      <w:color w:val="auto"/>
                      <w:sz w:val="21"/>
                      <w:szCs w:val="21"/>
                    </w:rPr>
                    <w:t>。</w:t>
                  </w:r>
                  <w:r>
                    <w:rPr>
                      <w:rFonts w:hint="eastAsia"/>
                      <w:b w:val="0"/>
                      <w:bCs w:val="0"/>
                      <w:color w:val="auto"/>
                      <w:sz w:val="21"/>
                      <w:szCs w:val="21"/>
                      <w:lang w:val="en-US" w:eastAsia="zh-CN"/>
                    </w:rPr>
                    <w:t>1间</w:t>
                  </w:r>
                  <w:r>
                    <w:rPr>
                      <w:rFonts w:hint="default" w:ascii="Times New Roman" w:hAnsi="Times New Roman" w:cs="Times New Roman"/>
                      <w:b w:val="0"/>
                      <w:bCs w:val="0"/>
                      <w:color w:val="auto"/>
                      <w:sz w:val="21"/>
                      <w:szCs w:val="21"/>
                      <w:lang w:val="en-US" w:eastAsia="zh-CN"/>
                    </w:rPr>
                    <w:t>位于注塑车间西</w:t>
                  </w:r>
                  <w:r>
                    <w:rPr>
                      <w:rFonts w:hint="eastAsia" w:cs="Times New Roman"/>
                      <w:b w:val="0"/>
                      <w:bCs w:val="0"/>
                      <w:color w:val="auto"/>
                      <w:sz w:val="21"/>
                      <w:szCs w:val="21"/>
                      <w:lang w:val="en-US" w:eastAsia="zh-CN"/>
                    </w:rPr>
                    <w:t>北</w:t>
                  </w:r>
                  <w:r>
                    <w:rPr>
                      <w:rFonts w:hint="default" w:ascii="Times New Roman" w:hAnsi="Times New Roman" w:cs="Times New Roman"/>
                      <w:b w:val="0"/>
                      <w:bCs w:val="0"/>
                      <w:color w:val="auto"/>
                      <w:sz w:val="21"/>
                      <w:szCs w:val="21"/>
                      <w:lang w:val="en-US" w:eastAsia="zh-CN"/>
                    </w:rPr>
                    <w:t>侧，面积约70m</w:t>
                  </w:r>
                  <w:r>
                    <w:rPr>
                      <w:rFonts w:hint="default" w:ascii="Times New Roman" w:hAnsi="Times New Roman" w:cs="Times New Roman"/>
                      <w:b w:val="0"/>
                      <w:bCs w:val="0"/>
                      <w:color w:val="auto"/>
                      <w:sz w:val="21"/>
                      <w:szCs w:val="21"/>
                      <w:vertAlign w:val="superscript"/>
                      <w:lang w:val="en-US" w:eastAsia="zh-CN"/>
                    </w:rPr>
                    <w:t>2</w:t>
                  </w:r>
                </w:p>
              </w:tc>
              <w:tc>
                <w:tcPr>
                  <w:tcW w:w="1059" w:type="dxa"/>
                  <w:vMerge w:val="continue"/>
                  <w:noWrap w:val="0"/>
                  <w:vAlign w:val="center"/>
                </w:tcPr>
                <w:p w14:paraId="398826AB">
                  <w:pPr>
                    <w:spacing w:line="240" w:lineRule="auto"/>
                    <w:jc w:val="center"/>
                    <w:rPr>
                      <w:color w:val="FF0000"/>
                      <w:sz w:val="21"/>
                      <w:szCs w:val="21"/>
                      <w:lang w:val="en-GB"/>
                    </w:rPr>
                  </w:pPr>
                </w:p>
              </w:tc>
              <w:tc>
                <w:tcPr>
                  <w:tcW w:w="1144" w:type="dxa"/>
                  <w:vMerge w:val="continue"/>
                  <w:noWrap w:val="0"/>
                  <w:vAlign w:val="center"/>
                </w:tcPr>
                <w:p w14:paraId="011B1E63">
                  <w:pPr>
                    <w:spacing w:line="240" w:lineRule="auto"/>
                    <w:jc w:val="center"/>
                    <w:rPr>
                      <w:color w:val="FF0000"/>
                      <w:sz w:val="21"/>
                      <w:szCs w:val="21"/>
                    </w:rPr>
                  </w:pPr>
                </w:p>
              </w:tc>
            </w:tr>
            <w:tr w14:paraId="5B1749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2" w:type="dxa"/>
                  <w:vMerge w:val="continue"/>
                  <w:noWrap w:val="0"/>
                  <w:vAlign w:val="center"/>
                </w:tcPr>
                <w:p w14:paraId="33FFB375">
                  <w:pPr>
                    <w:spacing w:line="240" w:lineRule="auto"/>
                    <w:jc w:val="center"/>
                    <w:rPr>
                      <w:b/>
                      <w:color w:val="auto"/>
                      <w:sz w:val="21"/>
                      <w:szCs w:val="21"/>
                      <w:lang w:val="en-GB"/>
                    </w:rPr>
                  </w:pPr>
                </w:p>
              </w:tc>
              <w:tc>
                <w:tcPr>
                  <w:tcW w:w="888" w:type="dxa"/>
                  <w:tcBorders>
                    <w:right w:val="single" w:color="auto" w:sz="4" w:space="0"/>
                  </w:tcBorders>
                  <w:noWrap w:val="0"/>
                  <w:vAlign w:val="center"/>
                </w:tcPr>
                <w:p w14:paraId="6990D5F1">
                  <w:pPr>
                    <w:spacing w:line="240" w:lineRule="auto"/>
                    <w:jc w:val="center"/>
                    <w:rPr>
                      <w:rFonts w:hint="default" w:eastAsia="宋体"/>
                      <w:color w:val="auto"/>
                      <w:sz w:val="21"/>
                      <w:szCs w:val="21"/>
                      <w:vertAlign w:val="baseline"/>
                      <w:lang w:val="en-US" w:eastAsia="zh-CN"/>
                    </w:rPr>
                  </w:pPr>
                  <w:r>
                    <w:rPr>
                      <w:rFonts w:hint="eastAsia"/>
                      <w:color w:val="auto"/>
                      <w:sz w:val="21"/>
                      <w:szCs w:val="21"/>
                      <w:lang w:val="en-US" w:eastAsia="zh-CN"/>
                    </w:rPr>
                    <w:t>不良品仓库</w:t>
                  </w:r>
                </w:p>
              </w:tc>
              <w:tc>
                <w:tcPr>
                  <w:tcW w:w="4236" w:type="dxa"/>
                  <w:tcBorders>
                    <w:left w:val="single" w:color="auto" w:sz="4" w:space="0"/>
                  </w:tcBorders>
                  <w:noWrap w:val="0"/>
                  <w:vAlign w:val="center"/>
                </w:tcPr>
                <w:p w14:paraId="136684C2">
                  <w:pPr>
                    <w:spacing w:line="240" w:lineRule="auto"/>
                    <w:jc w:val="both"/>
                    <w:rPr>
                      <w:rFonts w:hint="eastAsia"/>
                      <w:color w:val="auto"/>
                      <w:sz w:val="21"/>
                      <w:szCs w:val="21"/>
                      <w:lang w:val="en-US" w:eastAsia="zh-CN"/>
                    </w:rPr>
                  </w:pPr>
                  <w:r>
                    <w:rPr>
                      <w:rFonts w:hint="eastAsia"/>
                      <w:color w:val="auto"/>
                      <w:sz w:val="21"/>
                      <w:szCs w:val="21"/>
                      <w:lang w:val="en-US" w:eastAsia="zh-CN"/>
                    </w:rPr>
                    <w:t>不良品仓库1间面积约35</w:t>
                  </w: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，位于</w:t>
                  </w:r>
                  <w:r>
                    <w:rPr>
                      <w:rFonts w:hint="eastAsia"/>
                      <w:color w:val="auto"/>
                      <w:sz w:val="21"/>
                      <w:szCs w:val="21"/>
                      <w:lang w:val="en-US" w:eastAsia="zh-CN"/>
                    </w:rPr>
                    <w:t>喷涂</w:t>
                  </w:r>
                  <w:r>
                    <w:rPr>
                      <w:rFonts w:hint="eastAsia"/>
                      <w:color w:val="auto"/>
                      <w:sz w:val="21"/>
                      <w:szCs w:val="21"/>
                    </w:rPr>
                    <w:t>车间</w:t>
                  </w:r>
                  <w:r>
                    <w:rPr>
                      <w:rFonts w:hint="eastAsia"/>
                      <w:color w:val="auto"/>
                      <w:sz w:val="21"/>
                      <w:szCs w:val="21"/>
                      <w:lang w:val="en-US" w:eastAsia="zh-CN"/>
                    </w:rPr>
                    <w:t>西侧</w:t>
                  </w:r>
                  <w:r>
                    <w:rPr>
                      <w:rFonts w:hint="eastAsia" w:cs="Times New Roman"/>
                      <w:color w:val="auto"/>
                      <w:sz w:val="21"/>
                      <w:szCs w:val="21"/>
                      <w:vertAlign w:val="baseline"/>
                      <w:lang w:val="en-US" w:eastAsia="zh-CN"/>
                    </w:rPr>
                    <w:t>。</w:t>
                  </w:r>
                </w:p>
              </w:tc>
              <w:tc>
                <w:tcPr>
                  <w:tcW w:w="1059" w:type="dxa"/>
                  <w:vMerge w:val="continue"/>
                  <w:noWrap w:val="0"/>
                  <w:vAlign w:val="center"/>
                </w:tcPr>
                <w:p w14:paraId="447C1775">
                  <w:pPr>
                    <w:spacing w:line="240" w:lineRule="auto"/>
                    <w:jc w:val="center"/>
                    <w:rPr>
                      <w:color w:val="FF0000"/>
                      <w:sz w:val="21"/>
                      <w:szCs w:val="21"/>
                      <w:lang w:val="en-GB"/>
                    </w:rPr>
                  </w:pPr>
                </w:p>
              </w:tc>
              <w:tc>
                <w:tcPr>
                  <w:tcW w:w="1144" w:type="dxa"/>
                  <w:vMerge w:val="continue"/>
                  <w:noWrap w:val="0"/>
                  <w:vAlign w:val="center"/>
                </w:tcPr>
                <w:p w14:paraId="6AA5C179">
                  <w:pPr>
                    <w:spacing w:line="240" w:lineRule="auto"/>
                    <w:jc w:val="center"/>
                    <w:rPr>
                      <w:color w:val="FF0000"/>
                      <w:sz w:val="21"/>
                      <w:szCs w:val="21"/>
                    </w:rPr>
                  </w:pPr>
                </w:p>
              </w:tc>
            </w:tr>
            <w:tr w14:paraId="3FC95A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0" w:hRule="atLeast"/>
                <w:jc w:val="center"/>
              </w:trPr>
              <w:tc>
                <w:tcPr>
                  <w:tcW w:w="712" w:type="dxa"/>
                  <w:vMerge w:val="restart"/>
                  <w:noWrap w:val="0"/>
                  <w:vAlign w:val="center"/>
                </w:tcPr>
                <w:p w14:paraId="7B76BE52">
                  <w:pPr>
                    <w:spacing w:line="240" w:lineRule="auto"/>
                    <w:jc w:val="center"/>
                    <w:rPr>
                      <w:b/>
                      <w:color w:val="FF0000"/>
                      <w:sz w:val="21"/>
                      <w:szCs w:val="21"/>
                      <w:lang w:val="en-GB"/>
                    </w:rPr>
                  </w:pPr>
                  <w:r>
                    <w:rPr>
                      <w:b/>
                      <w:color w:val="auto"/>
                      <w:sz w:val="21"/>
                      <w:szCs w:val="21"/>
                      <w:lang w:val="en-GB"/>
                    </w:rPr>
                    <w:t>公用工程</w:t>
                  </w:r>
                </w:p>
              </w:tc>
              <w:tc>
                <w:tcPr>
                  <w:tcW w:w="888" w:type="dxa"/>
                  <w:tcBorders>
                    <w:right w:val="single" w:color="auto" w:sz="4" w:space="0"/>
                  </w:tcBorders>
                  <w:noWrap w:val="0"/>
                  <w:vAlign w:val="center"/>
                </w:tcPr>
                <w:p w14:paraId="6ABD707C">
                  <w:pPr>
                    <w:spacing w:line="240" w:lineRule="auto"/>
                    <w:jc w:val="center"/>
                    <w:rPr>
                      <w:rFonts w:hint="default"/>
                      <w:color w:val="auto"/>
                      <w:sz w:val="21"/>
                      <w:szCs w:val="21"/>
                      <w:lang w:val="en-US"/>
                    </w:rPr>
                  </w:pPr>
                  <w:r>
                    <w:rPr>
                      <w:rFonts w:hint="eastAsia"/>
                      <w:color w:val="auto"/>
                      <w:sz w:val="21"/>
                      <w:szCs w:val="21"/>
                      <w:lang w:val="en-US" w:eastAsia="zh-CN"/>
                    </w:rPr>
                    <w:t>卫生间</w:t>
                  </w:r>
                </w:p>
              </w:tc>
              <w:tc>
                <w:tcPr>
                  <w:tcW w:w="4236" w:type="dxa"/>
                  <w:tcBorders>
                    <w:left w:val="single" w:color="auto" w:sz="4" w:space="0"/>
                  </w:tcBorders>
                  <w:noWrap w:val="0"/>
                  <w:vAlign w:val="center"/>
                </w:tcPr>
                <w:p w14:paraId="0D0542E3">
                  <w:pPr>
                    <w:spacing w:line="240" w:lineRule="auto"/>
                    <w:jc w:val="both"/>
                    <w:rPr>
                      <w:rFonts w:hint="eastAsia"/>
                      <w:color w:val="auto"/>
                      <w:sz w:val="21"/>
                      <w:szCs w:val="21"/>
                      <w:lang w:val="en-US" w:eastAsia="zh-CN"/>
                    </w:rPr>
                  </w:pPr>
                  <w:r>
                    <w:rPr>
                      <w:rFonts w:hint="eastAsia"/>
                      <w:color w:val="auto"/>
                      <w:sz w:val="21"/>
                      <w:szCs w:val="21"/>
                      <w:lang w:val="en-US" w:eastAsia="zh-CN"/>
                    </w:rPr>
                    <w:t>依托园区厕所，位于注塑车间东南侧外12m，面积20</w:t>
                  </w: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w:t>
                  </w:r>
                  <w:r>
                    <w:rPr>
                      <w:rFonts w:hint="eastAsia"/>
                      <w:color w:val="auto"/>
                      <w:sz w:val="21"/>
                      <w:szCs w:val="21"/>
                      <w:lang w:val="en-US" w:eastAsia="zh-CN"/>
                    </w:rPr>
                    <w:t>自建厕所位于喷涂车间内西北侧，面积约30</w:t>
                  </w: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2</w:t>
                  </w:r>
                  <w:r>
                    <w:rPr>
                      <w:rFonts w:hint="eastAsia"/>
                      <w:color w:val="auto"/>
                      <w:sz w:val="21"/>
                      <w:szCs w:val="21"/>
                    </w:rPr>
                    <w:t>。</w:t>
                  </w:r>
                </w:p>
              </w:tc>
              <w:tc>
                <w:tcPr>
                  <w:tcW w:w="1059" w:type="dxa"/>
                  <w:vMerge w:val="continue"/>
                  <w:noWrap w:val="0"/>
                  <w:vAlign w:val="center"/>
                </w:tcPr>
                <w:p w14:paraId="03B77505">
                  <w:pPr>
                    <w:spacing w:line="240" w:lineRule="auto"/>
                    <w:jc w:val="center"/>
                    <w:rPr>
                      <w:rFonts w:hint="eastAsia" w:eastAsia="宋体"/>
                      <w:color w:val="auto"/>
                      <w:sz w:val="21"/>
                      <w:szCs w:val="21"/>
                      <w:lang w:eastAsia="zh-CN"/>
                    </w:rPr>
                  </w:pPr>
                </w:p>
              </w:tc>
              <w:tc>
                <w:tcPr>
                  <w:tcW w:w="1144" w:type="dxa"/>
                  <w:noWrap w:val="0"/>
                  <w:vAlign w:val="center"/>
                </w:tcPr>
                <w:p w14:paraId="3ABA1E7F">
                  <w:pPr>
                    <w:spacing w:line="240" w:lineRule="auto"/>
                    <w:jc w:val="center"/>
                    <w:rPr>
                      <w:rFonts w:hint="eastAsia"/>
                      <w:color w:val="auto"/>
                      <w:sz w:val="21"/>
                      <w:szCs w:val="21"/>
                    </w:rPr>
                  </w:pPr>
                  <w:r>
                    <w:rPr>
                      <w:rFonts w:hint="eastAsia"/>
                      <w:color w:val="auto"/>
                      <w:sz w:val="21"/>
                      <w:szCs w:val="21"/>
                      <w:lang w:val="en-US" w:eastAsia="zh-CN"/>
                    </w:rPr>
                    <w:t>废水</w:t>
                  </w:r>
                  <w:r>
                    <w:rPr>
                      <w:rFonts w:hint="eastAsia"/>
                      <w:color w:val="auto"/>
                      <w:sz w:val="21"/>
                      <w:szCs w:val="21"/>
                    </w:rPr>
                    <w:t>、固废</w:t>
                  </w:r>
                </w:p>
              </w:tc>
            </w:tr>
            <w:tr w14:paraId="5BD81F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712" w:type="dxa"/>
                  <w:vMerge w:val="continue"/>
                  <w:noWrap w:val="0"/>
                  <w:vAlign w:val="center"/>
                </w:tcPr>
                <w:p w14:paraId="5A127A88">
                  <w:pPr>
                    <w:spacing w:line="240" w:lineRule="auto"/>
                    <w:jc w:val="center"/>
                    <w:rPr>
                      <w:b/>
                      <w:color w:val="FF0000"/>
                      <w:sz w:val="21"/>
                      <w:szCs w:val="21"/>
                      <w:lang w:val="en-GB"/>
                    </w:rPr>
                  </w:pPr>
                </w:p>
              </w:tc>
              <w:tc>
                <w:tcPr>
                  <w:tcW w:w="888" w:type="dxa"/>
                  <w:tcBorders>
                    <w:right w:val="single" w:color="auto" w:sz="4" w:space="0"/>
                  </w:tcBorders>
                  <w:noWrap w:val="0"/>
                  <w:vAlign w:val="center"/>
                </w:tcPr>
                <w:p w14:paraId="5E295890">
                  <w:pPr>
                    <w:spacing w:line="240" w:lineRule="auto"/>
                    <w:jc w:val="center"/>
                    <w:rPr>
                      <w:color w:val="FF0000"/>
                      <w:sz w:val="21"/>
                      <w:szCs w:val="21"/>
                    </w:rPr>
                  </w:pPr>
                  <w:r>
                    <w:rPr>
                      <w:color w:val="auto"/>
                      <w:sz w:val="21"/>
                      <w:szCs w:val="21"/>
                    </w:rPr>
                    <w:t>供电</w:t>
                  </w:r>
                </w:p>
              </w:tc>
              <w:tc>
                <w:tcPr>
                  <w:tcW w:w="4236" w:type="dxa"/>
                  <w:tcBorders>
                    <w:left w:val="single" w:color="auto" w:sz="4" w:space="0"/>
                  </w:tcBorders>
                  <w:noWrap w:val="0"/>
                  <w:vAlign w:val="center"/>
                </w:tcPr>
                <w:p w14:paraId="5CA00FA7">
                  <w:pPr>
                    <w:spacing w:line="240" w:lineRule="auto"/>
                    <w:jc w:val="center"/>
                    <w:rPr>
                      <w:color w:val="auto"/>
                      <w:sz w:val="21"/>
                      <w:szCs w:val="21"/>
                    </w:rPr>
                  </w:pPr>
                  <w:r>
                    <w:rPr>
                      <w:color w:val="auto"/>
                      <w:sz w:val="21"/>
                      <w:szCs w:val="21"/>
                    </w:rPr>
                    <w:t>园区市政电网供电</w:t>
                  </w:r>
                </w:p>
              </w:tc>
              <w:tc>
                <w:tcPr>
                  <w:tcW w:w="1059" w:type="dxa"/>
                  <w:vMerge w:val="continue"/>
                  <w:noWrap w:val="0"/>
                  <w:vAlign w:val="center"/>
                </w:tcPr>
                <w:p w14:paraId="4B8143B9">
                  <w:pPr>
                    <w:spacing w:line="240" w:lineRule="auto"/>
                    <w:jc w:val="center"/>
                    <w:rPr>
                      <w:color w:val="FF0000"/>
                      <w:sz w:val="21"/>
                      <w:szCs w:val="21"/>
                      <w:lang w:val="en-GB"/>
                    </w:rPr>
                  </w:pPr>
                </w:p>
              </w:tc>
              <w:tc>
                <w:tcPr>
                  <w:tcW w:w="1144" w:type="dxa"/>
                  <w:noWrap w:val="0"/>
                  <w:vAlign w:val="center"/>
                </w:tcPr>
                <w:p w14:paraId="69386B0E">
                  <w:pPr>
                    <w:spacing w:line="240" w:lineRule="auto"/>
                    <w:jc w:val="center"/>
                    <w:rPr>
                      <w:color w:val="FF0000"/>
                      <w:sz w:val="21"/>
                      <w:szCs w:val="21"/>
                    </w:rPr>
                  </w:pPr>
                  <w:r>
                    <w:rPr>
                      <w:color w:val="FF0000"/>
                      <w:sz w:val="21"/>
                      <w:szCs w:val="21"/>
                    </w:rPr>
                    <w:t>/</w:t>
                  </w:r>
                </w:p>
              </w:tc>
            </w:tr>
            <w:tr w14:paraId="5E208D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712" w:type="dxa"/>
                  <w:vMerge w:val="continue"/>
                  <w:noWrap w:val="0"/>
                  <w:vAlign w:val="center"/>
                </w:tcPr>
                <w:p w14:paraId="45987DD4">
                  <w:pPr>
                    <w:spacing w:line="240" w:lineRule="auto"/>
                    <w:jc w:val="center"/>
                    <w:rPr>
                      <w:b/>
                      <w:color w:val="FF0000"/>
                      <w:sz w:val="21"/>
                      <w:szCs w:val="21"/>
                      <w:lang w:val="en-GB"/>
                    </w:rPr>
                  </w:pPr>
                </w:p>
              </w:tc>
              <w:tc>
                <w:tcPr>
                  <w:tcW w:w="888" w:type="dxa"/>
                  <w:tcBorders>
                    <w:right w:val="single" w:color="auto" w:sz="4" w:space="0"/>
                  </w:tcBorders>
                  <w:noWrap w:val="0"/>
                  <w:vAlign w:val="center"/>
                </w:tcPr>
                <w:p w14:paraId="4191C29C">
                  <w:pPr>
                    <w:spacing w:line="240" w:lineRule="auto"/>
                    <w:jc w:val="center"/>
                    <w:rPr>
                      <w:rFonts w:hint="eastAsia" w:eastAsia="宋体"/>
                      <w:color w:val="FF0000"/>
                      <w:sz w:val="21"/>
                      <w:szCs w:val="21"/>
                      <w:lang w:val="en-US" w:eastAsia="zh-CN"/>
                    </w:rPr>
                  </w:pPr>
                  <w:r>
                    <w:rPr>
                      <w:color w:val="auto"/>
                      <w:sz w:val="21"/>
                      <w:szCs w:val="21"/>
                    </w:rPr>
                    <w:t>供水</w:t>
                  </w:r>
                  <w:r>
                    <w:rPr>
                      <w:rFonts w:hint="eastAsia"/>
                      <w:color w:val="auto"/>
                      <w:sz w:val="21"/>
                      <w:szCs w:val="21"/>
                      <w:lang w:val="en-US" w:eastAsia="zh-CN"/>
                    </w:rPr>
                    <w:t>与</w:t>
                  </w:r>
                  <w:r>
                    <w:rPr>
                      <w:color w:val="auto"/>
                      <w:sz w:val="21"/>
                      <w:szCs w:val="21"/>
                    </w:rPr>
                    <w:t>排水</w:t>
                  </w:r>
                </w:p>
              </w:tc>
              <w:tc>
                <w:tcPr>
                  <w:tcW w:w="4236" w:type="dxa"/>
                  <w:tcBorders>
                    <w:left w:val="single" w:color="auto" w:sz="4" w:space="0"/>
                  </w:tcBorders>
                  <w:noWrap w:val="0"/>
                  <w:vAlign w:val="center"/>
                </w:tcPr>
                <w:p w14:paraId="6400169E">
                  <w:pPr>
                    <w:spacing w:line="240" w:lineRule="auto"/>
                    <w:jc w:val="both"/>
                    <w:rPr>
                      <w:color w:val="auto"/>
                      <w:sz w:val="21"/>
                      <w:szCs w:val="21"/>
                    </w:rPr>
                  </w:pPr>
                  <w:r>
                    <w:rPr>
                      <w:color w:val="auto"/>
                      <w:sz w:val="21"/>
                      <w:szCs w:val="21"/>
                    </w:rPr>
                    <w:t>依托园区市政供水管网供水，雨水依托园区雨水管网排放，</w:t>
                  </w:r>
                  <w:r>
                    <w:rPr>
                      <w:rFonts w:hint="eastAsia"/>
                      <w:color w:val="auto"/>
                      <w:sz w:val="21"/>
                      <w:szCs w:val="21"/>
                      <w:lang w:eastAsia="zh-CN"/>
                    </w:rPr>
                    <w:t>生活污水</w:t>
                  </w:r>
                  <w:r>
                    <w:rPr>
                      <w:color w:val="auto"/>
                      <w:sz w:val="21"/>
                      <w:szCs w:val="21"/>
                    </w:rPr>
                    <w:t>依托园区</w:t>
                  </w:r>
                  <w:r>
                    <w:rPr>
                      <w:rFonts w:hint="eastAsia"/>
                      <w:color w:val="auto"/>
                      <w:sz w:val="21"/>
                      <w:szCs w:val="21"/>
                      <w:lang w:val="en-US" w:eastAsia="zh-CN"/>
                    </w:rPr>
                    <w:t>预处理池</w:t>
                  </w:r>
                  <w:r>
                    <w:rPr>
                      <w:color w:val="auto"/>
                      <w:sz w:val="21"/>
                      <w:szCs w:val="21"/>
                    </w:rPr>
                    <w:t>污水管网排入蓬溪经开区污水处理厂处理</w:t>
                  </w:r>
                  <w:r>
                    <w:rPr>
                      <w:rFonts w:hint="eastAsia"/>
                      <w:color w:val="auto"/>
                      <w:sz w:val="21"/>
                      <w:szCs w:val="21"/>
                      <w:lang w:eastAsia="zh-CN"/>
                    </w:rPr>
                    <w:t>。</w:t>
                  </w:r>
                </w:p>
              </w:tc>
              <w:tc>
                <w:tcPr>
                  <w:tcW w:w="1059" w:type="dxa"/>
                  <w:vMerge w:val="continue"/>
                  <w:noWrap w:val="0"/>
                  <w:vAlign w:val="center"/>
                </w:tcPr>
                <w:p w14:paraId="2CDDE553">
                  <w:pPr>
                    <w:spacing w:line="240" w:lineRule="auto"/>
                    <w:jc w:val="center"/>
                    <w:rPr>
                      <w:color w:val="FF0000"/>
                      <w:sz w:val="21"/>
                      <w:szCs w:val="21"/>
                    </w:rPr>
                  </w:pPr>
                </w:p>
              </w:tc>
              <w:tc>
                <w:tcPr>
                  <w:tcW w:w="1144" w:type="dxa"/>
                  <w:noWrap w:val="0"/>
                  <w:vAlign w:val="center"/>
                </w:tcPr>
                <w:p w14:paraId="3E79EDFE">
                  <w:pPr>
                    <w:spacing w:line="240" w:lineRule="auto"/>
                    <w:jc w:val="center"/>
                    <w:rPr>
                      <w:color w:val="FF0000"/>
                      <w:sz w:val="21"/>
                      <w:szCs w:val="21"/>
                    </w:rPr>
                  </w:pPr>
                  <w:r>
                    <w:rPr>
                      <w:color w:val="FF0000"/>
                      <w:sz w:val="21"/>
                      <w:szCs w:val="21"/>
                    </w:rPr>
                    <w:t>/</w:t>
                  </w:r>
                </w:p>
              </w:tc>
            </w:tr>
            <w:tr w14:paraId="60FACF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10" w:hRule="atLeast"/>
                <w:jc w:val="center"/>
              </w:trPr>
              <w:tc>
                <w:tcPr>
                  <w:tcW w:w="712" w:type="dxa"/>
                  <w:vMerge w:val="restart"/>
                  <w:noWrap w:val="0"/>
                  <w:vAlign w:val="center"/>
                </w:tcPr>
                <w:p w14:paraId="05FA8217">
                  <w:pPr>
                    <w:spacing w:line="240" w:lineRule="auto"/>
                    <w:jc w:val="center"/>
                    <w:rPr>
                      <w:b/>
                      <w:color w:val="auto"/>
                      <w:sz w:val="21"/>
                      <w:szCs w:val="21"/>
                      <w:lang w:val="en-GB"/>
                    </w:rPr>
                  </w:pPr>
                  <w:r>
                    <w:rPr>
                      <w:b/>
                      <w:color w:val="auto"/>
                      <w:sz w:val="21"/>
                      <w:szCs w:val="21"/>
                      <w:lang w:val="en-GB"/>
                    </w:rPr>
                    <w:t>环保工程</w:t>
                  </w:r>
                </w:p>
              </w:tc>
              <w:tc>
                <w:tcPr>
                  <w:tcW w:w="888" w:type="dxa"/>
                  <w:tcBorders>
                    <w:right w:val="single" w:color="auto" w:sz="4" w:space="0"/>
                  </w:tcBorders>
                  <w:noWrap w:val="0"/>
                  <w:vAlign w:val="center"/>
                </w:tcPr>
                <w:p w14:paraId="39479897">
                  <w:pPr>
                    <w:widowControl/>
                    <w:spacing w:line="240" w:lineRule="auto"/>
                    <w:jc w:val="center"/>
                    <w:rPr>
                      <w:color w:val="auto"/>
                      <w:sz w:val="21"/>
                      <w:szCs w:val="21"/>
                    </w:rPr>
                  </w:pPr>
                  <w:r>
                    <w:rPr>
                      <w:color w:val="auto"/>
                      <w:sz w:val="21"/>
                      <w:szCs w:val="21"/>
                    </w:rPr>
                    <w:t>废气</w:t>
                  </w:r>
                </w:p>
              </w:tc>
              <w:tc>
                <w:tcPr>
                  <w:tcW w:w="4236" w:type="dxa"/>
                  <w:tcBorders>
                    <w:left w:val="single" w:color="auto" w:sz="4" w:space="0"/>
                  </w:tcBorders>
                  <w:noWrap w:val="0"/>
                  <w:vAlign w:val="center"/>
                </w:tcPr>
                <w:p w14:paraId="232F82FF">
                  <w:pPr>
                    <w:widowControl/>
                    <w:spacing w:line="240" w:lineRule="auto"/>
                    <w:ind w:firstLine="210" w:firstLineChars="100"/>
                    <w:jc w:val="both"/>
                    <w:rPr>
                      <w:color w:val="auto"/>
                      <w:sz w:val="21"/>
                      <w:szCs w:val="21"/>
                    </w:rPr>
                  </w:pPr>
                  <w:r>
                    <w:rPr>
                      <w:rFonts w:hint="eastAsia"/>
                      <w:color w:val="auto"/>
                      <w:sz w:val="21"/>
                      <w:szCs w:val="21"/>
                    </w:rPr>
                    <w:t>①</w:t>
                  </w:r>
                  <w:r>
                    <w:rPr>
                      <w:rFonts w:hint="eastAsia"/>
                      <w:color w:val="auto"/>
                      <w:sz w:val="21"/>
                      <w:szCs w:val="21"/>
                      <w:lang w:val="en-US" w:eastAsia="zh-CN"/>
                    </w:rPr>
                    <w:t>设置布袋除尘器一套，对破碎过程中产生的粉尘收集处理后车间内排放</w:t>
                  </w:r>
                  <w:r>
                    <w:rPr>
                      <w:color w:val="auto"/>
                      <w:sz w:val="21"/>
                      <w:szCs w:val="21"/>
                    </w:rPr>
                    <w:t>。</w:t>
                  </w:r>
                </w:p>
                <w:p w14:paraId="3582019D">
                  <w:pPr>
                    <w:widowControl/>
                    <w:spacing w:line="240" w:lineRule="auto"/>
                    <w:ind w:firstLine="210" w:firstLineChars="100"/>
                    <w:jc w:val="both"/>
                    <w:rPr>
                      <w:color w:val="auto"/>
                      <w:sz w:val="21"/>
                      <w:szCs w:val="21"/>
                    </w:rPr>
                  </w:pPr>
                  <w:r>
                    <w:rPr>
                      <w:rFonts w:hint="eastAsia"/>
                      <w:color w:val="auto"/>
                      <w:sz w:val="21"/>
                      <w:szCs w:val="21"/>
                    </w:rPr>
                    <w:t>②设置</w:t>
                  </w:r>
                  <w:r>
                    <w:rPr>
                      <w:rFonts w:hint="eastAsia"/>
                      <w:color w:val="auto"/>
                      <w:sz w:val="21"/>
                      <w:szCs w:val="21"/>
                      <w:lang w:val="en-US" w:eastAsia="zh-CN"/>
                    </w:rPr>
                    <w:t>二级活性炭吸附系统1</w:t>
                  </w:r>
                  <w:r>
                    <w:rPr>
                      <w:rFonts w:hint="eastAsia"/>
                      <w:color w:val="auto"/>
                      <w:sz w:val="21"/>
                      <w:szCs w:val="21"/>
                    </w:rPr>
                    <w:t>套，对</w:t>
                  </w:r>
                  <w:r>
                    <w:rPr>
                      <w:rFonts w:hint="eastAsia"/>
                      <w:color w:val="auto"/>
                      <w:sz w:val="21"/>
                      <w:szCs w:val="21"/>
                      <w:lang w:val="en-US" w:eastAsia="zh-CN"/>
                    </w:rPr>
                    <w:t>注塑过程中产生的有机废气</w:t>
                  </w:r>
                  <w:r>
                    <w:rPr>
                      <w:rFonts w:hint="eastAsia"/>
                      <w:color w:val="auto"/>
                      <w:sz w:val="21"/>
                      <w:szCs w:val="21"/>
                    </w:rPr>
                    <w:t>收集处理后</w:t>
                  </w:r>
                  <w:r>
                    <w:rPr>
                      <w:color w:val="auto"/>
                      <w:sz w:val="21"/>
                      <w:szCs w:val="21"/>
                    </w:rPr>
                    <w:t>离地15m</w:t>
                  </w:r>
                  <w:r>
                    <w:rPr>
                      <w:rFonts w:hint="eastAsia"/>
                      <w:color w:val="auto"/>
                      <w:sz w:val="21"/>
                      <w:szCs w:val="21"/>
                      <w:lang w:val="en-US" w:eastAsia="zh-CN"/>
                    </w:rPr>
                    <w:t>高的排气筒（DA001）排放</w:t>
                  </w:r>
                  <w:r>
                    <w:rPr>
                      <w:color w:val="auto"/>
                      <w:sz w:val="21"/>
                      <w:szCs w:val="21"/>
                    </w:rPr>
                    <w:t>。</w:t>
                  </w:r>
                </w:p>
                <w:p w14:paraId="312607C7">
                  <w:pPr>
                    <w:widowControl/>
                    <w:spacing w:line="240" w:lineRule="auto"/>
                    <w:ind w:firstLine="210" w:firstLineChars="100"/>
                    <w:jc w:val="both"/>
                    <w:rPr>
                      <w:rFonts w:hint="default" w:eastAsia="宋体"/>
                      <w:color w:val="auto"/>
                      <w:sz w:val="21"/>
                      <w:szCs w:val="21"/>
                      <w:lang w:val="en-US" w:eastAsia="zh-CN"/>
                    </w:rPr>
                  </w:pPr>
                  <w:r>
                    <w:rPr>
                      <w:rFonts w:hint="eastAsia"/>
                      <w:color w:val="auto"/>
                      <w:sz w:val="21"/>
                      <w:szCs w:val="21"/>
                      <w:lang w:val="en-US" w:eastAsia="zh-CN"/>
                    </w:rPr>
                    <w:t>③</w:t>
                  </w:r>
                  <w:r>
                    <w:rPr>
                      <w:rFonts w:hint="eastAsia" w:ascii="Times New Roman" w:hAnsi="Times New Roman" w:cs="Times New Roman"/>
                      <w:color w:val="auto"/>
                      <w:spacing w:val="1"/>
                      <w:sz w:val="21"/>
                      <w:szCs w:val="21"/>
                      <w:highlight w:val="none"/>
                      <w:lang w:val="en-US" w:eastAsia="zh-CN"/>
                    </w:rPr>
                    <w:t>喷漆房封闭设置、负压抽风，在喷漆处设置水帘水洗柜除漆雾装置</w:t>
                  </w:r>
                  <w:r>
                    <w:rPr>
                      <w:rFonts w:hint="eastAsia" w:cs="Times New Roman"/>
                      <w:color w:val="auto"/>
                      <w:spacing w:val="1"/>
                      <w:sz w:val="21"/>
                      <w:szCs w:val="21"/>
                      <w:highlight w:val="none"/>
                      <w:lang w:val="en-US" w:eastAsia="zh-CN"/>
                    </w:rPr>
                    <w:t>10套</w:t>
                  </w:r>
                  <w:r>
                    <w:rPr>
                      <w:rFonts w:hint="eastAsia" w:ascii="Times New Roman" w:hAnsi="Times New Roman" w:cs="Times New Roman"/>
                      <w:color w:val="auto"/>
                      <w:spacing w:val="1"/>
                      <w:sz w:val="21"/>
                      <w:szCs w:val="21"/>
                      <w:highlight w:val="none"/>
                      <w:lang w:val="en-US" w:eastAsia="zh-CN"/>
                    </w:rPr>
                    <w:t>，废气收集效率95%，废气经水帘柜+过滤棉+二级活性炭装置处理后经15m高排气筒</w:t>
                  </w:r>
                  <w:r>
                    <w:rPr>
                      <w:rFonts w:hint="eastAsia"/>
                      <w:color w:val="auto"/>
                      <w:sz w:val="21"/>
                      <w:szCs w:val="21"/>
                      <w:lang w:val="en-US" w:eastAsia="zh-CN"/>
                    </w:rPr>
                    <w:t>（DA002~DA007）</w:t>
                  </w:r>
                  <w:r>
                    <w:rPr>
                      <w:rFonts w:hint="eastAsia" w:ascii="Times New Roman" w:hAnsi="Times New Roman" w:cs="Times New Roman"/>
                      <w:color w:val="auto"/>
                      <w:spacing w:val="1"/>
                      <w:sz w:val="21"/>
                      <w:szCs w:val="21"/>
                      <w:highlight w:val="none"/>
                      <w:lang w:val="en-US" w:eastAsia="zh-CN"/>
                    </w:rPr>
                    <w:t>排放</w:t>
                  </w:r>
                </w:p>
              </w:tc>
              <w:tc>
                <w:tcPr>
                  <w:tcW w:w="1059" w:type="dxa"/>
                  <w:vMerge w:val="continue"/>
                  <w:noWrap w:val="0"/>
                  <w:vAlign w:val="center"/>
                </w:tcPr>
                <w:p w14:paraId="4D1253A5">
                  <w:pPr>
                    <w:spacing w:line="240" w:lineRule="auto"/>
                    <w:jc w:val="center"/>
                    <w:rPr>
                      <w:rFonts w:hint="default" w:eastAsia="宋体"/>
                      <w:color w:val="auto"/>
                      <w:sz w:val="21"/>
                      <w:szCs w:val="21"/>
                      <w:lang w:val="en-US" w:eastAsia="zh-CN"/>
                    </w:rPr>
                  </w:pPr>
                </w:p>
              </w:tc>
              <w:tc>
                <w:tcPr>
                  <w:tcW w:w="1144" w:type="dxa"/>
                  <w:noWrap w:val="0"/>
                  <w:vAlign w:val="center"/>
                </w:tcPr>
                <w:p w14:paraId="2F86D6FE">
                  <w:pPr>
                    <w:spacing w:line="240" w:lineRule="auto"/>
                    <w:jc w:val="center"/>
                    <w:rPr>
                      <w:rFonts w:hint="eastAsia" w:eastAsia="宋体"/>
                      <w:color w:val="auto"/>
                      <w:sz w:val="21"/>
                      <w:szCs w:val="21"/>
                      <w:lang w:eastAsia="zh-CN"/>
                    </w:rPr>
                  </w:pPr>
                  <w:r>
                    <w:rPr>
                      <w:rFonts w:hint="eastAsia"/>
                      <w:color w:val="auto"/>
                      <w:sz w:val="21"/>
                      <w:szCs w:val="21"/>
                      <w:lang w:val="en-US" w:eastAsia="zh-CN"/>
                    </w:rPr>
                    <w:t>/</w:t>
                  </w:r>
                </w:p>
              </w:tc>
            </w:tr>
            <w:tr w14:paraId="3E7BEE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6" w:hRule="atLeast"/>
                <w:jc w:val="center"/>
              </w:trPr>
              <w:tc>
                <w:tcPr>
                  <w:tcW w:w="712" w:type="dxa"/>
                  <w:vMerge w:val="continue"/>
                  <w:noWrap w:val="0"/>
                  <w:vAlign w:val="center"/>
                </w:tcPr>
                <w:p w14:paraId="156F4E27">
                  <w:pPr>
                    <w:spacing w:line="240" w:lineRule="auto"/>
                    <w:jc w:val="center"/>
                    <w:rPr>
                      <w:b/>
                      <w:color w:val="auto"/>
                      <w:sz w:val="21"/>
                      <w:szCs w:val="21"/>
                      <w:lang w:val="en-GB"/>
                    </w:rPr>
                  </w:pPr>
                </w:p>
              </w:tc>
              <w:tc>
                <w:tcPr>
                  <w:tcW w:w="888" w:type="dxa"/>
                  <w:tcBorders>
                    <w:right w:val="single" w:color="auto" w:sz="4" w:space="0"/>
                  </w:tcBorders>
                  <w:noWrap w:val="0"/>
                  <w:vAlign w:val="center"/>
                </w:tcPr>
                <w:p w14:paraId="18BD37EE">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废水</w:t>
                  </w:r>
                </w:p>
              </w:tc>
              <w:tc>
                <w:tcPr>
                  <w:tcW w:w="4236" w:type="dxa"/>
                  <w:tcBorders>
                    <w:left w:val="single" w:color="auto" w:sz="4" w:space="0"/>
                  </w:tcBorders>
                  <w:noWrap w:val="0"/>
                  <w:vAlign w:val="center"/>
                </w:tcPr>
                <w:p w14:paraId="53B06DE2">
                  <w:pPr>
                    <w:spacing w:line="240" w:lineRule="auto"/>
                    <w:jc w:val="both"/>
                    <w:rPr>
                      <w:rFonts w:hint="eastAsia" w:ascii="Times New Roman" w:hAnsi="Times New Roman" w:eastAsia="宋体" w:cs="Times New Roman"/>
                      <w:color w:val="auto"/>
                      <w:sz w:val="21"/>
                      <w:szCs w:val="21"/>
                    </w:rPr>
                  </w:pPr>
                  <w:r>
                    <w:rPr>
                      <w:rFonts w:hint="eastAsia"/>
                      <w:color w:val="auto"/>
                      <w:sz w:val="21"/>
                      <w:szCs w:val="21"/>
                      <w:lang w:eastAsia="zh-CN"/>
                    </w:rPr>
                    <w:t>生活污水处理</w:t>
                  </w:r>
                  <w:r>
                    <w:rPr>
                      <w:rFonts w:hint="eastAsia"/>
                      <w:color w:val="auto"/>
                      <w:sz w:val="21"/>
                      <w:szCs w:val="21"/>
                    </w:rPr>
                    <w:t>系统：</w:t>
                  </w:r>
                  <w:r>
                    <w:rPr>
                      <w:color w:val="auto"/>
                      <w:sz w:val="21"/>
                      <w:szCs w:val="21"/>
                    </w:rPr>
                    <w:t>生活废</w:t>
                  </w:r>
                  <w:r>
                    <w:rPr>
                      <w:rFonts w:hint="eastAsia"/>
                      <w:color w:val="auto"/>
                      <w:sz w:val="21"/>
                      <w:szCs w:val="21"/>
                      <w:lang w:val="en-US" w:eastAsia="zh-CN"/>
                    </w:rPr>
                    <w:t>水依托万象一品门业既有预处理池</w:t>
                  </w:r>
                  <w:r>
                    <w:rPr>
                      <w:color w:val="auto"/>
                      <w:sz w:val="21"/>
                      <w:szCs w:val="21"/>
                    </w:rPr>
                    <w:t>处理后排入市</w:t>
                  </w:r>
                  <w:r>
                    <w:rPr>
                      <w:rFonts w:hint="eastAsia" w:ascii="Times New Roman" w:hAnsi="Times New Roman" w:eastAsia="宋体" w:cs="Times New Roman"/>
                      <w:color w:val="auto"/>
                      <w:sz w:val="21"/>
                      <w:szCs w:val="21"/>
                    </w:rPr>
                    <w:t>政污水管网送蓬溪县经济开发区污水处理厂处理。</w:t>
                  </w:r>
                </w:p>
                <w:p w14:paraId="601B5BDA">
                  <w:pPr>
                    <w:keepNext w:val="0"/>
                    <w:keepLines w:val="0"/>
                    <w:widowControl/>
                    <w:suppressLineNumbers w:val="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生产废水：</w:t>
                  </w:r>
                  <w:r>
                    <w:rPr>
                      <w:rFonts w:hint="eastAsia" w:cs="Times New Roman"/>
                      <w:color w:val="auto"/>
                      <w:sz w:val="21"/>
                      <w:szCs w:val="21"/>
                      <w:lang w:val="en-US" w:eastAsia="zh-CN"/>
                    </w:rPr>
                    <w:t>喷涂车间</w:t>
                  </w:r>
                  <w:r>
                    <w:rPr>
                      <w:rFonts w:hint="eastAsia" w:ascii="Times New Roman" w:hAnsi="Times New Roman" w:eastAsia="宋体" w:cs="Times New Roman"/>
                      <w:color w:val="auto"/>
                      <w:sz w:val="21"/>
                      <w:szCs w:val="21"/>
                      <w:lang w:val="en-US" w:eastAsia="zh-CN"/>
                    </w:rPr>
                    <w:t>设置循环冷却水</w:t>
                  </w:r>
                  <w:r>
                    <w:rPr>
                      <w:rFonts w:hint="eastAsia" w:cs="Times New Roman"/>
                      <w:color w:val="auto"/>
                      <w:sz w:val="21"/>
                      <w:szCs w:val="21"/>
                      <w:lang w:val="en-US" w:eastAsia="zh-CN"/>
                    </w:rPr>
                    <w:t>系统</w:t>
                  </w:r>
                  <w:r>
                    <w:rPr>
                      <w:rFonts w:hint="eastAsia" w:ascii="Times New Roman" w:hAnsi="Times New Roman" w:eastAsia="宋体" w:cs="Times New Roman"/>
                      <w:color w:val="auto"/>
                      <w:sz w:val="21"/>
                      <w:szCs w:val="21"/>
                      <w:lang w:val="en-US" w:eastAsia="zh-CN"/>
                    </w:rPr>
                    <w:t>，容积</w:t>
                  </w:r>
                  <w:r>
                    <w:rPr>
                      <w:rFonts w:hint="default" w:ascii="Times New Roman" w:hAnsi="Times New Roman" w:eastAsia="宋体" w:cs="Times New Roman"/>
                      <w:color w:val="auto"/>
                      <w:sz w:val="21"/>
                      <w:szCs w:val="21"/>
                      <w:lang w:val="en-US" w:eastAsia="zh-CN"/>
                    </w:rPr>
                    <w:t>约</w:t>
                  </w:r>
                  <w:r>
                    <w:rPr>
                      <w:rFonts w:hint="default"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m³，冷却水循环使用</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个月后更新排放1次</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水帘喷房</w:t>
                  </w:r>
                  <w:r>
                    <w:rPr>
                      <w:rFonts w:hint="default" w:ascii="Times New Roman" w:hAnsi="Times New Roman" w:eastAsia="宋体" w:cs="Times New Roman"/>
                      <w:color w:val="auto"/>
                      <w:kern w:val="0"/>
                      <w:sz w:val="21"/>
                      <w:szCs w:val="21"/>
                      <w:lang w:val="en-US" w:eastAsia="zh-CN" w:bidi="ar"/>
                    </w:rPr>
                    <w:t>设有水帘式漆雾处理系统，</w:t>
                  </w:r>
                  <w:r>
                    <w:rPr>
                      <w:rFonts w:hint="eastAsia" w:ascii="Times New Roman" w:hAnsi="Times New Roman" w:eastAsia="宋体" w:cs="Times New Roman"/>
                      <w:color w:val="auto"/>
                      <w:kern w:val="0"/>
                      <w:sz w:val="21"/>
                      <w:szCs w:val="21"/>
                      <w:lang w:val="en-US" w:eastAsia="zh-CN" w:bidi="ar"/>
                    </w:rPr>
                    <w:t>喷漆废水，在过滤池（</w:t>
                  </w:r>
                  <w:r>
                    <w:rPr>
                      <w:rFonts w:hint="eastAsia" w:cs="Times New Roman"/>
                      <w:color w:val="auto"/>
                      <w:sz w:val="21"/>
                      <w:szCs w:val="21"/>
                      <w:lang w:val="en-US" w:eastAsia="zh-CN"/>
                    </w:rPr>
                    <w:t>循环水量1.5</w:t>
                  </w:r>
                  <w:r>
                    <w:rPr>
                      <w:rFonts w:hint="default" w:ascii="Times New Roman" w:hAnsi="Times New Roman" w:eastAsia="宋体" w:cs="Times New Roman"/>
                      <w:color w:val="auto"/>
                      <w:sz w:val="21"/>
                      <w:szCs w:val="21"/>
                      <w:lang w:val="en-US" w:eastAsia="zh-CN"/>
                    </w:rPr>
                    <w:t>m³</w:t>
                  </w:r>
                  <w:r>
                    <w:rPr>
                      <w:rFonts w:hint="eastAsia" w:ascii="Times New Roman" w:hAnsi="Times New Roman" w:eastAsia="宋体" w:cs="Times New Roman"/>
                      <w:color w:val="auto"/>
                      <w:kern w:val="0"/>
                      <w:sz w:val="21"/>
                      <w:szCs w:val="21"/>
                      <w:lang w:val="en-US" w:eastAsia="zh-CN" w:bidi="ar"/>
                    </w:rPr>
                    <w:t>）内加入絮凝剂，沉淀后废水循环使用，不外排</w:t>
                  </w:r>
                  <w:r>
                    <w:rPr>
                      <w:rFonts w:hint="eastAsia" w:cs="Times New Roman"/>
                      <w:color w:val="auto"/>
                      <w:kern w:val="0"/>
                      <w:sz w:val="21"/>
                      <w:szCs w:val="21"/>
                      <w:lang w:val="en-US" w:eastAsia="zh-CN" w:bidi="ar"/>
                    </w:rPr>
                    <w:t>。</w:t>
                  </w:r>
                </w:p>
              </w:tc>
              <w:tc>
                <w:tcPr>
                  <w:tcW w:w="1059" w:type="dxa"/>
                  <w:vMerge w:val="continue"/>
                  <w:noWrap w:val="0"/>
                  <w:vAlign w:val="center"/>
                </w:tcPr>
                <w:p w14:paraId="6D18073A">
                  <w:pPr>
                    <w:spacing w:line="240" w:lineRule="auto"/>
                    <w:jc w:val="center"/>
                    <w:rPr>
                      <w:color w:val="auto"/>
                      <w:sz w:val="21"/>
                      <w:szCs w:val="21"/>
                      <w:lang w:val="en-GB"/>
                    </w:rPr>
                  </w:pPr>
                </w:p>
              </w:tc>
              <w:tc>
                <w:tcPr>
                  <w:tcW w:w="1144" w:type="dxa"/>
                  <w:noWrap w:val="0"/>
                  <w:vAlign w:val="center"/>
                </w:tcPr>
                <w:p w14:paraId="6917BE84">
                  <w:pPr>
                    <w:spacing w:line="240" w:lineRule="auto"/>
                    <w:jc w:val="center"/>
                    <w:rPr>
                      <w:rFonts w:hint="eastAsia" w:eastAsia="宋体"/>
                      <w:color w:val="auto"/>
                      <w:sz w:val="21"/>
                      <w:szCs w:val="21"/>
                      <w:lang w:val="en-GB" w:eastAsia="zh-CN"/>
                    </w:rPr>
                  </w:pPr>
                  <w:r>
                    <w:rPr>
                      <w:rFonts w:hint="eastAsia"/>
                      <w:color w:val="auto"/>
                      <w:sz w:val="21"/>
                      <w:szCs w:val="21"/>
                      <w:lang w:val="en-US" w:eastAsia="zh-CN"/>
                    </w:rPr>
                    <w:t>/</w:t>
                  </w:r>
                </w:p>
              </w:tc>
            </w:tr>
            <w:tr w14:paraId="48E653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712" w:type="dxa"/>
                  <w:vMerge w:val="continue"/>
                  <w:noWrap w:val="0"/>
                  <w:vAlign w:val="center"/>
                </w:tcPr>
                <w:p w14:paraId="331DF6B8">
                  <w:pPr>
                    <w:spacing w:line="240" w:lineRule="auto"/>
                    <w:jc w:val="center"/>
                    <w:rPr>
                      <w:color w:val="FF0000"/>
                      <w:sz w:val="21"/>
                      <w:szCs w:val="21"/>
                      <w:lang w:val="en-GB"/>
                    </w:rPr>
                  </w:pPr>
                </w:p>
              </w:tc>
              <w:tc>
                <w:tcPr>
                  <w:tcW w:w="888" w:type="dxa"/>
                  <w:tcBorders>
                    <w:right w:val="single" w:color="auto" w:sz="4" w:space="0"/>
                  </w:tcBorders>
                  <w:noWrap w:val="0"/>
                  <w:vAlign w:val="center"/>
                </w:tcPr>
                <w:p w14:paraId="0654FA60">
                  <w:pPr>
                    <w:spacing w:line="240" w:lineRule="auto"/>
                    <w:jc w:val="center"/>
                    <w:rPr>
                      <w:color w:val="FF0000"/>
                      <w:sz w:val="21"/>
                      <w:szCs w:val="21"/>
                    </w:rPr>
                  </w:pPr>
                  <w:r>
                    <w:rPr>
                      <w:color w:val="auto"/>
                      <w:sz w:val="21"/>
                      <w:szCs w:val="21"/>
                    </w:rPr>
                    <w:t>噪声</w:t>
                  </w:r>
                </w:p>
              </w:tc>
              <w:tc>
                <w:tcPr>
                  <w:tcW w:w="4236" w:type="dxa"/>
                  <w:tcBorders>
                    <w:left w:val="single" w:color="auto" w:sz="4" w:space="0"/>
                  </w:tcBorders>
                  <w:noWrap w:val="0"/>
                  <w:vAlign w:val="center"/>
                </w:tcPr>
                <w:p w14:paraId="623844B8">
                  <w:pPr>
                    <w:spacing w:line="240" w:lineRule="auto"/>
                    <w:jc w:val="center"/>
                    <w:rPr>
                      <w:color w:val="auto"/>
                      <w:sz w:val="21"/>
                      <w:szCs w:val="21"/>
                    </w:rPr>
                  </w:pPr>
                  <w:r>
                    <w:rPr>
                      <w:color w:val="auto"/>
                      <w:sz w:val="21"/>
                      <w:szCs w:val="21"/>
                    </w:rPr>
                    <w:t>设置减震设施，合理总平面布局，利用建筑结构降低噪声对外环境的影响。</w:t>
                  </w:r>
                </w:p>
              </w:tc>
              <w:tc>
                <w:tcPr>
                  <w:tcW w:w="1059" w:type="dxa"/>
                  <w:vMerge w:val="continue"/>
                  <w:noWrap w:val="0"/>
                  <w:vAlign w:val="center"/>
                </w:tcPr>
                <w:p w14:paraId="0DA0077A">
                  <w:pPr>
                    <w:spacing w:line="240" w:lineRule="auto"/>
                    <w:jc w:val="center"/>
                    <w:rPr>
                      <w:color w:val="FF0000"/>
                      <w:sz w:val="21"/>
                      <w:szCs w:val="21"/>
                    </w:rPr>
                  </w:pPr>
                </w:p>
              </w:tc>
              <w:tc>
                <w:tcPr>
                  <w:tcW w:w="1144" w:type="dxa"/>
                  <w:noWrap w:val="0"/>
                  <w:vAlign w:val="center"/>
                </w:tcPr>
                <w:p w14:paraId="3A5182E5">
                  <w:pPr>
                    <w:spacing w:line="240" w:lineRule="auto"/>
                    <w:jc w:val="center"/>
                    <w:rPr>
                      <w:rFonts w:hint="eastAsia" w:eastAsia="宋体"/>
                      <w:color w:val="FF0000"/>
                      <w:sz w:val="21"/>
                      <w:szCs w:val="21"/>
                      <w:lang w:eastAsia="zh-CN"/>
                    </w:rPr>
                  </w:pPr>
                  <w:r>
                    <w:rPr>
                      <w:rFonts w:hint="eastAsia"/>
                      <w:color w:val="FF0000"/>
                      <w:sz w:val="21"/>
                      <w:szCs w:val="21"/>
                      <w:lang w:val="en-US" w:eastAsia="zh-CN"/>
                    </w:rPr>
                    <w:t>/</w:t>
                  </w:r>
                </w:p>
              </w:tc>
            </w:tr>
            <w:tr w14:paraId="0DAFCC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712" w:type="dxa"/>
                  <w:vMerge w:val="continue"/>
                  <w:noWrap w:val="0"/>
                  <w:vAlign w:val="center"/>
                </w:tcPr>
                <w:p w14:paraId="5435D6F7">
                  <w:pPr>
                    <w:spacing w:line="240" w:lineRule="auto"/>
                    <w:jc w:val="center"/>
                    <w:rPr>
                      <w:color w:val="FF0000"/>
                      <w:sz w:val="21"/>
                      <w:szCs w:val="21"/>
                      <w:lang w:val="en-GB"/>
                    </w:rPr>
                  </w:pPr>
                </w:p>
              </w:tc>
              <w:tc>
                <w:tcPr>
                  <w:tcW w:w="888" w:type="dxa"/>
                  <w:tcBorders>
                    <w:right w:val="single" w:color="auto" w:sz="4" w:space="0"/>
                  </w:tcBorders>
                  <w:noWrap w:val="0"/>
                  <w:vAlign w:val="center"/>
                </w:tcPr>
                <w:p w14:paraId="24C3076F">
                  <w:pPr>
                    <w:spacing w:line="240" w:lineRule="auto"/>
                    <w:jc w:val="center"/>
                    <w:rPr>
                      <w:bCs/>
                      <w:color w:val="auto"/>
                      <w:sz w:val="21"/>
                      <w:szCs w:val="21"/>
                    </w:rPr>
                  </w:pPr>
                  <w:r>
                    <w:rPr>
                      <w:bCs/>
                      <w:color w:val="auto"/>
                      <w:sz w:val="21"/>
                      <w:szCs w:val="21"/>
                    </w:rPr>
                    <w:t>危废暂存间</w:t>
                  </w:r>
                </w:p>
              </w:tc>
              <w:tc>
                <w:tcPr>
                  <w:tcW w:w="4236" w:type="dxa"/>
                  <w:tcBorders>
                    <w:left w:val="single" w:color="auto" w:sz="4" w:space="0"/>
                  </w:tcBorders>
                  <w:noWrap w:val="0"/>
                  <w:vAlign w:val="center"/>
                </w:tcPr>
                <w:p w14:paraId="4E06E038">
                  <w:pPr>
                    <w:spacing w:line="240" w:lineRule="auto"/>
                    <w:jc w:val="center"/>
                    <w:rPr>
                      <w:bCs/>
                      <w:color w:val="auto"/>
                      <w:sz w:val="21"/>
                      <w:szCs w:val="21"/>
                    </w:rPr>
                  </w:pPr>
                  <w:r>
                    <w:rPr>
                      <w:rFonts w:hint="eastAsia"/>
                      <w:bCs/>
                      <w:color w:val="auto"/>
                      <w:sz w:val="21"/>
                      <w:szCs w:val="21"/>
                      <w:lang w:val="en-US" w:eastAsia="zh-CN"/>
                    </w:rPr>
                    <w:t>1间，</w:t>
                  </w:r>
                  <w:r>
                    <w:rPr>
                      <w:bCs/>
                      <w:color w:val="auto"/>
                      <w:sz w:val="21"/>
                      <w:szCs w:val="21"/>
                    </w:rPr>
                    <w:t>面积约</w:t>
                  </w:r>
                  <w:r>
                    <w:rPr>
                      <w:rFonts w:hint="eastAsia"/>
                      <w:bCs/>
                      <w:color w:val="auto"/>
                      <w:sz w:val="21"/>
                      <w:szCs w:val="21"/>
                      <w:lang w:val="en-US" w:eastAsia="zh-CN"/>
                    </w:rPr>
                    <w:t>23</w:t>
                  </w:r>
                  <w:r>
                    <w:rPr>
                      <w:bCs/>
                      <w:color w:val="auto"/>
                      <w:sz w:val="21"/>
                      <w:szCs w:val="21"/>
                    </w:rPr>
                    <w:t>平方米，位于</w:t>
                  </w:r>
                  <w:r>
                    <w:rPr>
                      <w:rFonts w:hint="eastAsia"/>
                      <w:bCs/>
                      <w:color w:val="auto"/>
                      <w:sz w:val="21"/>
                      <w:szCs w:val="21"/>
                      <w:lang w:val="en-US" w:eastAsia="zh-CN"/>
                    </w:rPr>
                    <w:t>喷塑车间西南侧</w:t>
                  </w:r>
                  <w:r>
                    <w:rPr>
                      <w:bCs/>
                      <w:color w:val="auto"/>
                      <w:sz w:val="21"/>
                      <w:szCs w:val="21"/>
                    </w:rPr>
                    <w:t>。</w:t>
                  </w:r>
                </w:p>
              </w:tc>
              <w:tc>
                <w:tcPr>
                  <w:tcW w:w="1059" w:type="dxa"/>
                  <w:vMerge w:val="continue"/>
                  <w:noWrap w:val="0"/>
                  <w:vAlign w:val="center"/>
                </w:tcPr>
                <w:p w14:paraId="0A6F9AE3">
                  <w:pPr>
                    <w:spacing w:line="240" w:lineRule="auto"/>
                    <w:jc w:val="center"/>
                    <w:rPr>
                      <w:color w:val="FF0000"/>
                      <w:sz w:val="21"/>
                      <w:szCs w:val="21"/>
                    </w:rPr>
                  </w:pPr>
                </w:p>
              </w:tc>
              <w:tc>
                <w:tcPr>
                  <w:tcW w:w="1144" w:type="dxa"/>
                  <w:noWrap w:val="0"/>
                  <w:vAlign w:val="center"/>
                </w:tcPr>
                <w:p w14:paraId="6C6333BE">
                  <w:pPr>
                    <w:spacing w:line="240" w:lineRule="auto"/>
                    <w:jc w:val="center"/>
                    <w:rPr>
                      <w:rFonts w:hint="eastAsia" w:eastAsia="宋体"/>
                      <w:bCs/>
                      <w:color w:val="FF0000"/>
                      <w:sz w:val="21"/>
                      <w:szCs w:val="21"/>
                      <w:lang w:eastAsia="zh-CN"/>
                    </w:rPr>
                  </w:pPr>
                  <w:r>
                    <w:rPr>
                      <w:rFonts w:hint="eastAsia"/>
                      <w:color w:val="FF0000"/>
                      <w:sz w:val="21"/>
                      <w:szCs w:val="21"/>
                      <w:lang w:val="en-US" w:eastAsia="zh-CN"/>
                    </w:rPr>
                    <w:t>/</w:t>
                  </w:r>
                </w:p>
              </w:tc>
            </w:tr>
            <w:tr w14:paraId="4A4808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3" w:hRule="atLeast"/>
                <w:jc w:val="center"/>
              </w:trPr>
              <w:tc>
                <w:tcPr>
                  <w:tcW w:w="712" w:type="dxa"/>
                  <w:vMerge w:val="continue"/>
                  <w:noWrap w:val="0"/>
                  <w:vAlign w:val="center"/>
                </w:tcPr>
                <w:p w14:paraId="01D0BC5B">
                  <w:pPr>
                    <w:spacing w:line="240" w:lineRule="auto"/>
                    <w:jc w:val="center"/>
                    <w:rPr>
                      <w:color w:val="FF0000"/>
                      <w:sz w:val="21"/>
                      <w:szCs w:val="21"/>
                      <w:lang w:val="en-GB"/>
                    </w:rPr>
                  </w:pPr>
                </w:p>
              </w:tc>
              <w:tc>
                <w:tcPr>
                  <w:tcW w:w="888" w:type="dxa"/>
                  <w:tcBorders>
                    <w:right w:val="single" w:color="auto" w:sz="4" w:space="0"/>
                  </w:tcBorders>
                  <w:noWrap w:val="0"/>
                  <w:vAlign w:val="center"/>
                </w:tcPr>
                <w:p w14:paraId="7E2DA892">
                  <w:pPr>
                    <w:spacing w:line="240" w:lineRule="auto"/>
                    <w:jc w:val="center"/>
                    <w:rPr>
                      <w:rFonts w:hint="eastAsia" w:eastAsia="宋体"/>
                      <w:bCs/>
                      <w:color w:val="auto"/>
                      <w:sz w:val="21"/>
                      <w:szCs w:val="21"/>
                      <w:lang w:val="en-US" w:eastAsia="zh-CN"/>
                    </w:rPr>
                  </w:pPr>
                  <w:r>
                    <w:rPr>
                      <w:bCs/>
                      <w:color w:val="auto"/>
                      <w:sz w:val="21"/>
                      <w:szCs w:val="21"/>
                    </w:rPr>
                    <w:t>一般固废</w:t>
                  </w:r>
                  <w:r>
                    <w:rPr>
                      <w:rFonts w:hint="eastAsia"/>
                      <w:bCs/>
                      <w:color w:val="auto"/>
                      <w:sz w:val="21"/>
                      <w:szCs w:val="21"/>
                      <w:lang w:val="en-US" w:eastAsia="zh-CN"/>
                    </w:rPr>
                    <w:t>间</w:t>
                  </w:r>
                </w:p>
              </w:tc>
              <w:tc>
                <w:tcPr>
                  <w:tcW w:w="4236" w:type="dxa"/>
                  <w:tcBorders>
                    <w:left w:val="single" w:color="auto" w:sz="4" w:space="0"/>
                  </w:tcBorders>
                  <w:noWrap w:val="0"/>
                  <w:vAlign w:val="center"/>
                </w:tcPr>
                <w:p w14:paraId="3ACF5A03">
                  <w:pPr>
                    <w:spacing w:line="240" w:lineRule="auto"/>
                    <w:jc w:val="center"/>
                    <w:rPr>
                      <w:bCs/>
                      <w:color w:val="auto"/>
                      <w:sz w:val="21"/>
                      <w:szCs w:val="21"/>
                    </w:rPr>
                  </w:pPr>
                  <w:r>
                    <w:rPr>
                      <w:rFonts w:hint="eastAsia"/>
                      <w:bCs/>
                      <w:color w:val="auto"/>
                      <w:sz w:val="21"/>
                      <w:szCs w:val="21"/>
                      <w:lang w:val="en-US" w:eastAsia="zh-CN"/>
                    </w:rPr>
                    <w:t>1间，</w:t>
                  </w:r>
                  <w:r>
                    <w:rPr>
                      <w:rFonts w:hint="eastAsia"/>
                      <w:bCs/>
                      <w:color w:val="auto"/>
                      <w:sz w:val="21"/>
                      <w:szCs w:val="21"/>
                    </w:rPr>
                    <w:t>位于</w:t>
                  </w:r>
                  <w:r>
                    <w:rPr>
                      <w:rFonts w:hint="eastAsia"/>
                      <w:bCs/>
                      <w:color w:val="auto"/>
                      <w:sz w:val="21"/>
                      <w:szCs w:val="21"/>
                      <w:lang w:val="en-US" w:eastAsia="zh-CN"/>
                    </w:rPr>
                    <w:t>抛光车间北侧</w:t>
                  </w:r>
                  <w:r>
                    <w:rPr>
                      <w:bCs/>
                      <w:color w:val="auto"/>
                      <w:sz w:val="21"/>
                      <w:szCs w:val="21"/>
                    </w:rPr>
                    <w:t>，面积约</w:t>
                  </w:r>
                  <w:r>
                    <w:rPr>
                      <w:rFonts w:hint="eastAsia"/>
                      <w:bCs/>
                      <w:color w:val="auto"/>
                      <w:sz w:val="21"/>
                      <w:szCs w:val="21"/>
                      <w:lang w:val="en-US" w:eastAsia="zh-CN"/>
                    </w:rPr>
                    <w:t>35</w:t>
                  </w:r>
                  <w:r>
                    <w:rPr>
                      <w:bCs/>
                      <w:color w:val="auto"/>
                      <w:sz w:val="21"/>
                      <w:szCs w:val="21"/>
                    </w:rPr>
                    <w:t>平方米。</w:t>
                  </w:r>
                </w:p>
              </w:tc>
              <w:tc>
                <w:tcPr>
                  <w:tcW w:w="1059" w:type="dxa"/>
                  <w:vMerge w:val="continue"/>
                  <w:noWrap w:val="0"/>
                  <w:vAlign w:val="center"/>
                </w:tcPr>
                <w:p w14:paraId="291E1303">
                  <w:pPr>
                    <w:spacing w:line="240" w:lineRule="auto"/>
                    <w:jc w:val="center"/>
                    <w:rPr>
                      <w:color w:val="FF0000"/>
                      <w:sz w:val="21"/>
                      <w:szCs w:val="21"/>
                    </w:rPr>
                  </w:pPr>
                </w:p>
              </w:tc>
              <w:tc>
                <w:tcPr>
                  <w:tcW w:w="1144" w:type="dxa"/>
                  <w:noWrap w:val="0"/>
                  <w:vAlign w:val="center"/>
                </w:tcPr>
                <w:p w14:paraId="733DA932">
                  <w:pPr>
                    <w:spacing w:line="240" w:lineRule="auto"/>
                    <w:jc w:val="center"/>
                    <w:rPr>
                      <w:color w:val="FF0000"/>
                      <w:sz w:val="21"/>
                      <w:szCs w:val="21"/>
                    </w:rPr>
                  </w:pPr>
                  <w:r>
                    <w:rPr>
                      <w:rFonts w:hint="eastAsia"/>
                      <w:color w:val="FF0000"/>
                      <w:sz w:val="21"/>
                      <w:szCs w:val="21"/>
                    </w:rPr>
                    <w:t>/</w:t>
                  </w:r>
                </w:p>
              </w:tc>
            </w:tr>
          </w:tbl>
          <w:p w14:paraId="5324C8BA">
            <w:pPr>
              <w:pStyle w:val="69"/>
              <w:spacing w:line="360" w:lineRule="auto"/>
              <w:ind w:firstLine="480"/>
              <w:rPr>
                <w:rFonts w:hint="default" w:ascii="Times New Roman" w:hAnsi="Times New Roman" w:cs="Times New Roman"/>
                <w:sz w:val="21"/>
                <w:szCs w:val="21"/>
              </w:rPr>
            </w:pPr>
          </w:p>
          <w:p w14:paraId="065A6FE6">
            <w:pPr>
              <w:pStyle w:val="69"/>
              <w:spacing w:line="360" w:lineRule="auto"/>
              <w:ind w:firstLine="482"/>
              <w:rPr>
                <w:rFonts w:hint="default" w:ascii="Times New Roman" w:hAnsi="Times New Roman" w:cs="Times New Roman"/>
                <w:b/>
                <w:bCs/>
                <w:sz w:val="21"/>
                <w:szCs w:val="21"/>
              </w:rPr>
            </w:pPr>
            <w:r>
              <w:rPr>
                <w:rFonts w:hint="eastAsia" w:ascii="Times New Roman" w:hAnsi="Times New Roman" w:cs="Times New Roman"/>
                <w:b/>
                <w:bCs/>
                <w:sz w:val="21"/>
                <w:szCs w:val="21"/>
                <w:lang w:val="en-US" w:eastAsia="zh-CN"/>
              </w:rPr>
              <w:t>四</w:t>
            </w:r>
            <w:r>
              <w:rPr>
                <w:rFonts w:hint="default" w:ascii="Times New Roman" w:hAnsi="Times New Roman" w:cs="Times New Roman"/>
                <w:b/>
                <w:bCs/>
                <w:sz w:val="21"/>
                <w:szCs w:val="21"/>
              </w:rPr>
              <w:t>、主要设备清单</w:t>
            </w:r>
          </w:p>
          <w:p w14:paraId="7C888043">
            <w:pPr>
              <w:pStyle w:val="69"/>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本项目主要从</w:t>
            </w:r>
            <w:r>
              <w:rPr>
                <w:rFonts w:hint="default" w:ascii="Times New Roman" w:hAnsi="Times New Roman" w:eastAsia="宋体" w:cs="Times New Roman"/>
                <w:color w:val="000000" w:themeColor="text1"/>
                <w:sz w:val="21"/>
                <w:szCs w:val="21"/>
                <w14:textFill>
                  <w14:solidFill>
                    <w14:schemeClr w14:val="tx1"/>
                  </w14:solidFill>
                </w14:textFill>
              </w:rPr>
              <w:t>汽车零部件及配件制造</w:t>
            </w:r>
            <w:r>
              <w:rPr>
                <w:rFonts w:hint="default" w:ascii="Times New Roman" w:hAnsi="Times New Roman" w:cs="Times New Roman"/>
                <w:sz w:val="21"/>
                <w:szCs w:val="21"/>
              </w:rPr>
              <w:t>，生产过程中主要生产设备如下：</w:t>
            </w:r>
          </w:p>
          <w:p w14:paraId="3DEC33B8">
            <w:pPr>
              <w:pStyle w:val="63"/>
              <w:spacing w:line="240" w:lineRule="auto"/>
              <w:rPr>
                <w:rFonts w:hint="default" w:ascii="Times New Roman" w:hAnsi="Times New Roman"/>
                <w:sz w:val="21"/>
                <w:szCs w:val="21"/>
                <w:lang w:val="zh-CN"/>
              </w:rPr>
            </w:pPr>
            <w:r>
              <w:rPr>
                <w:rFonts w:hint="default" w:ascii="Times New Roman" w:hAnsi="Times New Roman"/>
                <w:sz w:val="21"/>
                <w:szCs w:val="21"/>
                <w:lang w:val="zh-CN"/>
              </w:rPr>
              <w:t>表</w:t>
            </w:r>
            <w:r>
              <w:rPr>
                <w:rFonts w:hint="default" w:ascii="Times New Roman" w:hAnsi="Times New Roman"/>
                <w:sz w:val="21"/>
                <w:szCs w:val="21"/>
              </w:rPr>
              <w:t xml:space="preserve">2-2  </w:t>
            </w:r>
            <w:r>
              <w:rPr>
                <w:rFonts w:hint="default" w:ascii="Times New Roman" w:hAnsi="Times New Roman"/>
                <w:sz w:val="21"/>
                <w:szCs w:val="21"/>
                <w:lang w:val="zh-CN"/>
              </w:rPr>
              <w:t>主要生产设备明细表</w:t>
            </w:r>
          </w:p>
          <w:tbl>
            <w:tblPr>
              <w:tblStyle w:val="27"/>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11"/>
              <w:gridCol w:w="2259"/>
              <w:gridCol w:w="2246"/>
              <w:gridCol w:w="807"/>
              <w:gridCol w:w="1399"/>
              <w:gridCol w:w="961"/>
            </w:tblGrid>
            <w:tr w14:paraId="54BE89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55C8092C">
                  <w:pPr>
                    <w:bidi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347" w:type="pct"/>
                  <w:noWrap w:val="0"/>
                  <w:vAlign w:val="center"/>
                </w:tcPr>
                <w:p w14:paraId="6B49CF10">
                  <w:pPr>
                    <w:bidi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设备名称</w:t>
                  </w:r>
                </w:p>
              </w:tc>
              <w:tc>
                <w:tcPr>
                  <w:tcW w:w="1339" w:type="pct"/>
                  <w:noWrap w:val="0"/>
                  <w:vAlign w:val="center"/>
                </w:tcPr>
                <w:p w14:paraId="2B20B35A">
                  <w:pPr>
                    <w:bidi w:val="0"/>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工序</w:t>
                  </w:r>
                </w:p>
              </w:tc>
              <w:tc>
                <w:tcPr>
                  <w:tcW w:w="481" w:type="pct"/>
                  <w:noWrap w:val="0"/>
                  <w:vAlign w:val="center"/>
                </w:tcPr>
                <w:p w14:paraId="1B4ABED2">
                  <w:pPr>
                    <w:bidi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数量</w:t>
                  </w:r>
                </w:p>
              </w:tc>
              <w:tc>
                <w:tcPr>
                  <w:tcW w:w="834" w:type="pct"/>
                  <w:noWrap w:val="0"/>
                  <w:vAlign w:val="center"/>
                </w:tcPr>
                <w:p w14:paraId="367FB922">
                  <w:pPr>
                    <w:bidi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单位</w:t>
                  </w:r>
                </w:p>
              </w:tc>
              <w:tc>
                <w:tcPr>
                  <w:tcW w:w="573" w:type="pct"/>
                  <w:noWrap w:val="0"/>
                  <w:vAlign w:val="center"/>
                </w:tcPr>
                <w:p w14:paraId="7885B04D">
                  <w:pPr>
                    <w:bidi w:val="0"/>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备注</w:t>
                  </w:r>
                </w:p>
              </w:tc>
            </w:tr>
            <w:tr w14:paraId="1A7B86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68BEE196">
                  <w:pPr>
                    <w:bidi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47" w:type="pct"/>
                  <w:noWrap w:val="0"/>
                  <w:vAlign w:val="center"/>
                </w:tcPr>
                <w:p w14:paraId="4C29344C">
                  <w:pPr>
                    <w:bidi w:val="0"/>
                    <w:spacing w:line="240" w:lineRule="auto"/>
                    <w:jc w:val="center"/>
                    <w:rPr>
                      <w:rFonts w:hint="default" w:ascii="Times New Roman" w:hAnsi="Times New Roman" w:cs="Times New Roman"/>
                      <w:sz w:val="21"/>
                      <w:szCs w:val="21"/>
                      <w:lang w:val="en-US"/>
                    </w:rPr>
                  </w:pPr>
                  <w:r>
                    <w:rPr>
                      <w:rFonts w:hint="eastAsia" w:cs="Times New Roman"/>
                      <w:sz w:val="21"/>
                      <w:szCs w:val="21"/>
                      <w:lang w:val="en-US" w:eastAsia="zh-CN"/>
                    </w:rPr>
                    <w:t>二级活性炭吸附装置</w:t>
                  </w:r>
                </w:p>
              </w:tc>
              <w:tc>
                <w:tcPr>
                  <w:tcW w:w="1339" w:type="pct"/>
                  <w:noWrap w:val="0"/>
                  <w:vAlign w:val="center"/>
                </w:tcPr>
                <w:p w14:paraId="5FA34CAF">
                  <w:pPr>
                    <w:bidi w:val="0"/>
                    <w:spacing w:line="240" w:lineRule="auto"/>
                    <w:jc w:val="center"/>
                    <w:rPr>
                      <w:rFonts w:hint="default" w:cs="Times New Roman"/>
                      <w:sz w:val="21"/>
                      <w:szCs w:val="21"/>
                      <w:lang w:val="en-US" w:eastAsia="zh-CN"/>
                    </w:rPr>
                  </w:pPr>
                  <w:r>
                    <w:rPr>
                      <w:rFonts w:hint="eastAsia" w:cs="Times New Roman"/>
                      <w:sz w:val="21"/>
                      <w:szCs w:val="21"/>
                      <w:lang w:val="en-US" w:eastAsia="zh-CN"/>
                    </w:rPr>
                    <w:t>有机废气处置</w:t>
                  </w:r>
                </w:p>
              </w:tc>
              <w:tc>
                <w:tcPr>
                  <w:tcW w:w="481" w:type="pct"/>
                  <w:noWrap w:val="0"/>
                  <w:vAlign w:val="center"/>
                </w:tcPr>
                <w:p w14:paraId="62ACC59F">
                  <w:pPr>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套</w:t>
                  </w:r>
                </w:p>
              </w:tc>
              <w:tc>
                <w:tcPr>
                  <w:tcW w:w="834" w:type="pct"/>
                  <w:noWrap w:val="0"/>
                  <w:vAlign w:val="center"/>
                </w:tcPr>
                <w:p w14:paraId="3C48B8F2">
                  <w:pPr>
                    <w:bidi w:val="0"/>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7</w:t>
                  </w:r>
                </w:p>
              </w:tc>
              <w:tc>
                <w:tcPr>
                  <w:tcW w:w="573" w:type="pct"/>
                  <w:noWrap w:val="0"/>
                  <w:vAlign w:val="center"/>
                </w:tcPr>
                <w:p w14:paraId="4A06DD71">
                  <w:pPr>
                    <w:bidi w:val="0"/>
                    <w:spacing w:line="240" w:lineRule="auto"/>
                    <w:jc w:val="center"/>
                    <w:rPr>
                      <w:rFonts w:hint="default" w:ascii="Times New Roman" w:hAnsi="Times New Roman" w:cs="Times New Roman"/>
                      <w:sz w:val="21"/>
                      <w:szCs w:val="21"/>
                    </w:rPr>
                  </w:pPr>
                </w:p>
              </w:tc>
            </w:tr>
            <w:tr w14:paraId="2438A1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3A4AEBC4">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2</w:t>
                  </w:r>
                </w:p>
              </w:tc>
              <w:tc>
                <w:tcPr>
                  <w:tcW w:w="1347" w:type="pct"/>
                  <w:noWrap w:val="0"/>
                  <w:vAlign w:val="center"/>
                </w:tcPr>
                <w:p w14:paraId="1FA79486">
                  <w:pPr>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水帘水洗柜</w:t>
                  </w:r>
                </w:p>
              </w:tc>
              <w:tc>
                <w:tcPr>
                  <w:tcW w:w="1339" w:type="pct"/>
                  <w:noWrap w:val="0"/>
                  <w:vAlign w:val="center"/>
                </w:tcPr>
                <w:p w14:paraId="273F8D90">
                  <w:pPr>
                    <w:bidi w:val="0"/>
                    <w:spacing w:line="240" w:lineRule="auto"/>
                    <w:jc w:val="center"/>
                    <w:rPr>
                      <w:rFonts w:hint="default" w:cs="Times New Roman"/>
                      <w:sz w:val="21"/>
                      <w:szCs w:val="21"/>
                      <w:lang w:val="en-US" w:eastAsia="zh-CN"/>
                    </w:rPr>
                  </w:pPr>
                  <w:r>
                    <w:rPr>
                      <w:rFonts w:hint="eastAsia" w:cs="Times New Roman"/>
                      <w:sz w:val="21"/>
                      <w:szCs w:val="21"/>
                      <w:lang w:val="en-US" w:eastAsia="zh-CN"/>
                    </w:rPr>
                    <w:t>漆雾处置</w:t>
                  </w:r>
                </w:p>
              </w:tc>
              <w:tc>
                <w:tcPr>
                  <w:tcW w:w="481" w:type="pct"/>
                  <w:noWrap w:val="0"/>
                  <w:vAlign w:val="center"/>
                </w:tcPr>
                <w:p w14:paraId="61CCA9C4">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834" w:type="pct"/>
                  <w:noWrap w:val="0"/>
                  <w:vAlign w:val="center"/>
                </w:tcPr>
                <w:p w14:paraId="1354A9EA">
                  <w:pPr>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16</w:t>
                  </w:r>
                </w:p>
              </w:tc>
              <w:tc>
                <w:tcPr>
                  <w:tcW w:w="573" w:type="pct"/>
                  <w:noWrap w:val="0"/>
                  <w:vAlign w:val="center"/>
                </w:tcPr>
                <w:p w14:paraId="140893B9">
                  <w:pPr>
                    <w:bidi w:val="0"/>
                    <w:spacing w:line="240" w:lineRule="auto"/>
                    <w:jc w:val="center"/>
                    <w:rPr>
                      <w:rFonts w:hint="default" w:ascii="Times New Roman" w:hAnsi="Times New Roman" w:cs="Times New Roman"/>
                      <w:sz w:val="21"/>
                      <w:szCs w:val="21"/>
                    </w:rPr>
                  </w:pPr>
                </w:p>
              </w:tc>
            </w:tr>
            <w:tr w14:paraId="2D7556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4967362F">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3</w:t>
                  </w:r>
                </w:p>
              </w:tc>
              <w:tc>
                <w:tcPr>
                  <w:tcW w:w="1347" w:type="pct"/>
                  <w:noWrap w:val="0"/>
                  <w:vAlign w:val="center"/>
                </w:tcPr>
                <w:p w14:paraId="2FE93870">
                  <w:pPr>
                    <w:bidi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供风柜</w:t>
                  </w:r>
                </w:p>
              </w:tc>
              <w:tc>
                <w:tcPr>
                  <w:tcW w:w="1339" w:type="pct"/>
                  <w:noWrap w:val="0"/>
                  <w:vAlign w:val="center"/>
                </w:tcPr>
                <w:p w14:paraId="1095BD8D">
                  <w:pPr>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喷涂</w:t>
                  </w:r>
                </w:p>
              </w:tc>
              <w:tc>
                <w:tcPr>
                  <w:tcW w:w="481" w:type="pct"/>
                  <w:noWrap w:val="0"/>
                  <w:vAlign w:val="center"/>
                </w:tcPr>
                <w:p w14:paraId="2385DFC1">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834" w:type="pct"/>
                  <w:noWrap w:val="0"/>
                  <w:vAlign w:val="center"/>
                </w:tcPr>
                <w:p w14:paraId="1BA32623">
                  <w:pPr>
                    <w:bidi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3</w:t>
                  </w:r>
                </w:p>
              </w:tc>
              <w:tc>
                <w:tcPr>
                  <w:tcW w:w="573" w:type="pct"/>
                  <w:noWrap w:val="0"/>
                  <w:vAlign w:val="center"/>
                </w:tcPr>
                <w:p w14:paraId="558E06ED">
                  <w:pPr>
                    <w:bidi w:val="0"/>
                    <w:spacing w:line="240" w:lineRule="auto"/>
                    <w:jc w:val="center"/>
                    <w:rPr>
                      <w:rFonts w:hint="default" w:ascii="Times New Roman" w:hAnsi="Times New Roman" w:cs="Times New Roman"/>
                      <w:sz w:val="21"/>
                      <w:szCs w:val="21"/>
                    </w:rPr>
                  </w:pPr>
                </w:p>
              </w:tc>
            </w:tr>
            <w:tr w14:paraId="29CA82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4CAC5BEC">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4</w:t>
                  </w:r>
                </w:p>
              </w:tc>
              <w:tc>
                <w:tcPr>
                  <w:tcW w:w="1347" w:type="pct"/>
                  <w:noWrap w:val="0"/>
                  <w:vAlign w:val="center"/>
                </w:tcPr>
                <w:p w14:paraId="15C99591">
                  <w:pPr>
                    <w:bidi w:val="0"/>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地</w:t>
                  </w:r>
                  <w:r>
                    <w:rPr>
                      <w:rFonts w:hint="eastAsia" w:cs="Times New Roman"/>
                      <w:sz w:val="21"/>
                      <w:szCs w:val="21"/>
                      <w:lang w:val="en-US" w:eastAsia="zh-CN"/>
                    </w:rPr>
                    <w:t>轨</w:t>
                  </w:r>
                  <w:r>
                    <w:rPr>
                      <w:rFonts w:hint="eastAsia" w:ascii="Times New Roman" w:hAnsi="Times New Roman" w:cs="Times New Roman"/>
                      <w:sz w:val="21"/>
                      <w:szCs w:val="21"/>
                      <w:lang w:val="en-US" w:eastAsia="zh-CN"/>
                    </w:rPr>
                    <w:t>式烤炉</w:t>
                  </w:r>
                </w:p>
              </w:tc>
              <w:tc>
                <w:tcPr>
                  <w:tcW w:w="1339" w:type="pct"/>
                  <w:noWrap w:val="0"/>
                  <w:vAlign w:val="center"/>
                </w:tcPr>
                <w:p w14:paraId="5904D742">
                  <w:pPr>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烘干</w:t>
                  </w:r>
                </w:p>
              </w:tc>
              <w:tc>
                <w:tcPr>
                  <w:tcW w:w="481" w:type="pct"/>
                  <w:noWrap w:val="0"/>
                  <w:vAlign w:val="center"/>
                </w:tcPr>
                <w:p w14:paraId="00246676">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834" w:type="pct"/>
                  <w:noWrap w:val="0"/>
                  <w:vAlign w:val="center"/>
                </w:tcPr>
                <w:p w14:paraId="1BE4E61E">
                  <w:pPr>
                    <w:bidi w:val="0"/>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4</w:t>
                  </w:r>
                </w:p>
              </w:tc>
              <w:tc>
                <w:tcPr>
                  <w:tcW w:w="573" w:type="pct"/>
                  <w:noWrap w:val="0"/>
                  <w:vAlign w:val="center"/>
                </w:tcPr>
                <w:p w14:paraId="4964A24E">
                  <w:pPr>
                    <w:bidi w:val="0"/>
                    <w:spacing w:line="240" w:lineRule="auto"/>
                    <w:jc w:val="center"/>
                    <w:rPr>
                      <w:rFonts w:hint="default" w:ascii="Times New Roman" w:hAnsi="Times New Roman" w:cs="Times New Roman"/>
                      <w:sz w:val="21"/>
                      <w:szCs w:val="21"/>
                    </w:rPr>
                  </w:pPr>
                </w:p>
              </w:tc>
            </w:tr>
            <w:tr w14:paraId="1DAF34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1DAB76BB">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5</w:t>
                  </w:r>
                </w:p>
              </w:tc>
              <w:tc>
                <w:tcPr>
                  <w:tcW w:w="1347" w:type="pct"/>
                  <w:noWrap w:val="0"/>
                  <w:vAlign w:val="center"/>
                </w:tcPr>
                <w:p w14:paraId="388907A7">
                  <w:pPr>
                    <w:bidi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空压机</w:t>
                  </w:r>
                </w:p>
              </w:tc>
              <w:tc>
                <w:tcPr>
                  <w:tcW w:w="1339" w:type="pct"/>
                  <w:noWrap w:val="0"/>
                  <w:vAlign w:val="center"/>
                </w:tcPr>
                <w:p w14:paraId="353BD299">
                  <w:pPr>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注塑、喷涂</w:t>
                  </w:r>
                </w:p>
              </w:tc>
              <w:tc>
                <w:tcPr>
                  <w:tcW w:w="481" w:type="pct"/>
                  <w:noWrap w:val="0"/>
                  <w:vAlign w:val="center"/>
                </w:tcPr>
                <w:p w14:paraId="506EF61E">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834" w:type="pct"/>
                  <w:noWrap w:val="0"/>
                  <w:vAlign w:val="center"/>
                </w:tcPr>
                <w:p w14:paraId="0D56B217">
                  <w:pPr>
                    <w:bidi w:val="0"/>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2</w:t>
                  </w:r>
                </w:p>
              </w:tc>
              <w:tc>
                <w:tcPr>
                  <w:tcW w:w="573" w:type="pct"/>
                  <w:noWrap w:val="0"/>
                  <w:vAlign w:val="center"/>
                </w:tcPr>
                <w:p w14:paraId="550F8DD8">
                  <w:pPr>
                    <w:bidi w:val="0"/>
                    <w:spacing w:line="240" w:lineRule="auto"/>
                    <w:jc w:val="center"/>
                    <w:rPr>
                      <w:rFonts w:hint="default" w:ascii="Times New Roman" w:hAnsi="Times New Roman" w:cs="Times New Roman"/>
                      <w:sz w:val="21"/>
                      <w:szCs w:val="21"/>
                    </w:rPr>
                  </w:pPr>
                </w:p>
              </w:tc>
            </w:tr>
            <w:tr w14:paraId="631016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2B18CC9B">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6</w:t>
                  </w:r>
                </w:p>
              </w:tc>
              <w:tc>
                <w:tcPr>
                  <w:tcW w:w="1347" w:type="pct"/>
                  <w:noWrap w:val="0"/>
                  <w:vAlign w:val="center"/>
                </w:tcPr>
                <w:p w14:paraId="3082976E">
                  <w:pPr>
                    <w:bidi w:val="0"/>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火焰机器人</w:t>
                  </w:r>
                </w:p>
              </w:tc>
              <w:tc>
                <w:tcPr>
                  <w:tcW w:w="1339" w:type="pct"/>
                  <w:noWrap w:val="0"/>
                  <w:vAlign w:val="center"/>
                </w:tcPr>
                <w:p w14:paraId="7017CB1B">
                  <w:pPr>
                    <w:bidi w:val="0"/>
                    <w:spacing w:line="240" w:lineRule="auto"/>
                    <w:jc w:val="center"/>
                    <w:rPr>
                      <w:rFonts w:hint="default" w:cs="Times New Roman"/>
                      <w:sz w:val="21"/>
                      <w:szCs w:val="21"/>
                      <w:lang w:val="en-US" w:eastAsia="zh-CN"/>
                    </w:rPr>
                  </w:pPr>
                  <w:r>
                    <w:rPr>
                      <w:rFonts w:hint="eastAsia" w:cs="Times New Roman"/>
                      <w:sz w:val="21"/>
                      <w:szCs w:val="21"/>
                      <w:lang w:val="en-US" w:eastAsia="zh-CN"/>
                    </w:rPr>
                    <w:t>除尘</w:t>
                  </w:r>
                </w:p>
              </w:tc>
              <w:tc>
                <w:tcPr>
                  <w:tcW w:w="481" w:type="pct"/>
                  <w:noWrap w:val="0"/>
                  <w:vAlign w:val="center"/>
                </w:tcPr>
                <w:p w14:paraId="1B8B282F">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834" w:type="pct"/>
                  <w:noWrap w:val="0"/>
                  <w:vAlign w:val="center"/>
                </w:tcPr>
                <w:p w14:paraId="0A5F09C4">
                  <w:pPr>
                    <w:bidi w:val="0"/>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2</w:t>
                  </w:r>
                </w:p>
              </w:tc>
              <w:tc>
                <w:tcPr>
                  <w:tcW w:w="573" w:type="pct"/>
                  <w:noWrap w:val="0"/>
                  <w:vAlign w:val="center"/>
                </w:tcPr>
                <w:p w14:paraId="6C3E0BC3">
                  <w:pPr>
                    <w:bidi w:val="0"/>
                    <w:spacing w:line="240" w:lineRule="auto"/>
                    <w:jc w:val="center"/>
                    <w:rPr>
                      <w:rFonts w:hint="default" w:ascii="Times New Roman" w:hAnsi="Times New Roman" w:cs="Times New Roman"/>
                      <w:sz w:val="21"/>
                      <w:szCs w:val="21"/>
                    </w:rPr>
                  </w:pPr>
                </w:p>
              </w:tc>
            </w:tr>
            <w:tr w14:paraId="661DB2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7327B77C">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7</w:t>
                  </w:r>
                </w:p>
              </w:tc>
              <w:tc>
                <w:tcPr>
                  <w:tcW w:w="1347" w:type="pct"/>
                  <w:noWrap w:val="0"/>
                  <w:vAlign w:val="center"/>
                </w:tcPr>
                <w:p w14:paraId="31377C84">
                  <w:pPr>
                    <w:bidi w:val="0"/>
                    <w:spacing w:line="240" w:lineRule="auto"/>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注塑机</w:t>
                  </w:r>
                </w:p>
              </w:tc>
              <w:tc>
                <w:tcPr>
                  <w:tcW w:w="1339" w:type="pct"/>
                  <w:noWrap w:val="0"/>
                  <w:vAlign w:val="center"/>
                </w:tcPr>
                <w:p w14:paraId="5393D6E8">
                  <w:pPr>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注塑</w:t>
                  </w:r>
                </w:p>
              </w:tc>
              <w:tc>
                <w:tcPr>
                  <w:tcW w:w="481" w:type="pct"/>
                  <w:noWrap w:val="0"/>
                  <w:vAlign w:val="center"/>
                </w:tcPr>
                <w:p w14:paraId="0049FB90">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834" w:type="pct"/>
                  <w:noWrap w:val="0"/>
                  <w:vAlign w:val="center"/>
                </w:tcPr>
                <w:p w14:paraId="6D8AF647">
                  <w:pPr>
                    <w:bidi w:val="0"/>
                    <w:spacing w:line="240" w:lineRule="auto"/>
                    <w:jc w:val="center"/>
                    <w:rPr>
                      <w:rFonts w:hint="default" w:ascii="Times New Roman" w:hAnsi="Times New Roman" w:cs="Times New Roman"/>
                      <w:sz w:val="21"/>
                      <w:szCs w:val="21"/>
                      <w:lang w:val="en-US"/>
                    </w:rPr>
                  </w:pPr>
                  <w:r>
                    <w:rPr>
                      <w:rFonts w:hint="eastAsia" w:cs="Times New Roman"/>
                      <w:sz w:val="21"/>
                      <w:szCs w:val="21"/>
                      <w:lang w:val="en-US" w:eastAsia="zh-CN"/>
                    </w:rPr>
                    <w:t>10</w:t>
                  </w:r>
                </w:p>
              </w:tc>
              <w:tc>
                <w:tcPr>
                  <w:tcW w:w="573" w:type="pct"/>
                  <w:noWrap w:val="0"/>
                  <w:vAlign w:val="center"/>
                </w:tcPr>
                <w:p w14:paraId="32379BB1">
                  <w:pPr>
                    <w:bidi w:val="0"/>
                    <w:spacing w:line="240" w:lineRule="auto"/>
                    <w:jc w:val="center"/>
                    <w:rPr>
                      <w:rFonts w:hint="default" w:ascii="Times New Roman" w:hAnsi="Times New Roman" w:cs="Times New Roman"/>
                      <w:sz w:val="21"/>
                      <w:szCs w:val="21"/>
                    </w:rPr>
                  </w:pPr>
                </w:p>
              </w:tc>
            </w:tr>
            <w:tr w14:paraId="3973C0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5EE069F0">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w:t>
                  </w:r>
                </w:p>
              </w:tc>
              <w:tc>
                <w:tcPr>
                  <w:tcW w:w="1347" w:type="pct"/>
                  <w:noWrap w:val="0"/>
                  <w:vAlign w:val="center"/>
                </w:tcPr>
                <w:p w14:paraId="37B00D9B">
                  <w:pPr>
                    <w:bidi w:val="0"/>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喷漆机器人</w:t>
                  </w:r>
                </w:p>
              </w:tc>
              <w:tc>
                <w:tcPr>
                  <w:tcW w:w="1339" w:type="pct"/>
                  <w:noWrap w:val="0"/>
                  <w:vAlign w:val="center"/>
                </w:tcPr>
                <w:p w14:paraId="44981438">
                  <w:pPr>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喷涂</w:t>
                  </w:r>
                </w:p>
              </w:tc>
              <w:tc>
                <w:tcPr>
                  <w:tcW w:w="481" w:type="pct"/>
                  <w:noWrap w:val="0"/>
                  <w:vAlign w:val="center"/>
                </w:tcPr>
                <w:p w14:paraId="685CBCB2">
                  <w:pPr>
                    <w:bidi w:val="0"/>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台</w:t>
                  </w:r>
                </w:p>
              </w:tc>
              <w:tc>
                <w:tcPr>
                  <w:tcW w:w="834" w:type="pct"/>
                  <w:noWrap w:val="0"/>
                  <w:vAlign w:val="center"/>
                </w:tcPr>
                <w:p w14:paraId="66036A1D">
                  <w:pPr>
                    <w:bidi w:val="0"/>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8</w:t>
                  </w:r>
                </w:p>
              </w:tc>
              <w:tc>
                <w:tcPr>
                  <w:tcW w:w="573" w:type="pct"/>
                  <w:noWrap w:val="0"/>
                  <w:vAlign w:val="center"/>
                </w:tcPr>
                <w:p w14:paraId="1BD9985E">
                  <w:pPr>
                    <w:bidi w:val="0"/>
                    <w:spacing w:line="240" w:lineRule="auto"/>
                    <w:jc w:val="center"/>
                    <w:rPr>
                      <w:rFonts w:hint="default" w:ascii="Times New Roman" w:hAnsi="Times New Roman" w:cs="Times New Roman"/>
                      <w:sz w:val="21"/>
                      <w:szCs w:val="21"/>
                    </w:rPr>
                  </w:pPr>
                </w:p>
              </w:tc>
            </w:tr>
            <w:tr w14:paraId="77C1BC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55A6945F">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9</w:t>
                  </w:r>
                </w:p>
              </w:tc>
              <w:tc>
                <w:tcPr>
                  <w:tcW w:w="1347" w:type="pct"/>
                  <w:noWrap w:val="0"/>
                  <w:vAlign w:val="center"/>
                </w:tcPr>
                <w:p w14:paraId="1E1646E1">
                  <w:pPr>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破碎机</w:t>
                  </w:r>
                </w:p>
              </w:tc>
              <w:tc>
                <w:tcPr>
                  <w:tcW w:w="1339" w:type="pct"/>
                  <w:noWrap w:val="0"/>
                  <w:vAlign w:val="center"/>
                </w:tcPr>
                <w:p w14:paraId="1E4EC963">
                  <w:pPr>
                    <w:bidi w:val="0"/>
                    <w:spacing w:line="240" w:lineRule="auto"/>
                    <w:jc w:val="center"/>
                    <w:rPr>
                      <w:rFonts w:hint="default" w:cs="Times New Roman"/>
                      <w:sz w:val="21"/>
                      <w:szCs w:val="21"/>
                      <w:lang w:val="en-US" w:eastAsia="zh-CN"/>
                    </w:rPr>
                  </w:pPr>
                  <w:r>
                    <w:rPr>
                      <w:rFonts w:hint="eastAsia" w:cs="Times New Roman"/>
                      <w:sz w:val="21"/>
                      <w:szCs w:val="21"/>
                      <w:lang w:val="en-US" w:eastAsia="zh-CN"/>
                    </w:rPr>
                    <w:t>破碎</w:t>
                  </w:r>
                </w:p>
              </w:tc>
              <w:tc>
                <w:tcPr>
                  <w:tcW w:w="481" w:type="pct"/>
                  <w:noWrap w:val="0"/>
                  <w:vAlign w:val="center"/>
                </w:tcPr>
                <w:p w14:paraId="5A862D98">
                  <w:pPr>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台</w:t>
                  </w:r>
                </w:p>
              </w:tc>
              <w:tc>
                <w:tcPr>
                  <w:tcW w:w="834" w:type="pct"/>
                  <w:noWrap w:val="0"/>
                  <w:vAlign w:val="center"/>
                </w:tcPr>
                <w:p w14:paraId="4FAF8778">
                  <w:pPr>
                    <w:bidi w:val="0"/>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2</w:t>
                  </w:r>
                </w:p>
              </w:tc>
              <w:tc>
                <w:tcPr>
                  <w:tcW w:w="573" w:type="pct"/>
                  <w:noWrap w:val="0"/>
                  <w:vAlign w:val="center"/>
                </w:tcPr>
                <w:p w14:paraId="2D6E16A0">
                  <w:pPr>
                    <w:bidi w:val="0"/>
                    <w:spacing w:line="240" w:lineRule="auto"/>
                    <w:jc w:val="center"/>
                    <w:rPr>
                      <w:rFonts w:hint="default" w:ascii="Times New Roman" w:hAnsi="Times New Roman" w:cs="Times New Roman"/>
                      <w:sz w:val="21"/>
                      <w:szCs w:val="21"/>
                    </w:rPr>
                  </w:pPr>
                </w:p>
              </w:tc>
            </w:tr>
            <w:tr w14:paraId="7F48DE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42113659">
                  <w:pPr>
                    <w:bidi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10</w:t>
                  </w:r>
                </w:p>
              </w:tc>
              <w:tc>
                <w:tcPr>
                  <w:tcW w:w="1347" w:type="pct"/>
                  <w:noWrap w:val="0"/>
                  <w:vAlign w:val="center"/>
                </w:tcPr>
                <w:p w14:paraId="151F28E3">
                  <w:pPr>
                    <w:bidi w:val="0"/>
                    <w:spacing w:line="240" w:lineRule="auto"/>
                    <w:jc w:val="center"/>
                    <w:rPr>
                      <w:rFonts w:hint="eastAsia" w:cs="Times New Roman"/>
                      <w:sz w:val="21"/>
                      <w:szCs w:val="21"/>
                      <w:lang w:val="en-US" w:eastAsia="zh-CN"/>
                    </w:rPr>
                  </w:pPr>
                  <w:r>
                    <w:rPr>
                      <w:rFonts w:hint="eastAsia" w:cs="Times New Roman"/>
                      <w:sz w:val="21"/>
                      <w:szCs w:val="21"/>
                      <w:lang w:val="en-US" w:eastAsia="zh-CN"/>
                    </w:rPr>
                    <w:t>往复机喷漆柜</w:t>
                  </w:r>
                </w:p>
              </w:tc>
              <w:tc>
                <w:tcPr>
                  <w:tcW w:w="1339" w:type="pct"/>
                  <w:noWrap w:val="0"/>
                  <w:vAlign w:val="center"/>
                </w:tcPr>
                <w:p w14:paraId="1F897046">
                  <w:pPr>
                    <w:bidi w:val="0"/>
                    <w:spacing w:line="240" w:lineRule="auto"/>
                    <w:jc w:val="center"/>
                    <w:rPr>
                      <w:rFonts w:hint="default" w:cs="Times New Roman"/>
                      <w:sz w:val="21"/>
                      <w:szCs w:val="21"/>
                      <w:lang w:val="en-US" w:eastAsia="zh-CN"/>
                    </w:rPr>
                  </w:pPr>
                  <w:r>
                    <w:rPr>
                      <w:rFonts w:hint="eastAsia" w:cs="Times New Roman"/>
                      <w:sz w:val="21"/>
                      <w:szCs w:val="21"/>
                      <w:lang w:val="en-US" w:eastAsia="zh-CN"/>
                    </w:rPr>
                    <w:t>喷涂</w:t>
                  </w:r>
                </w:p>
              </w:tc>
              <w:tc>
                <w:tcPr>
                  <w:tcW w:w="481" w:type="pct"/>
                  <w:noWrap w:val="0"/>
                  <w:vAlign w:val="center"/>
                </w:tcPr>
                <w:p w14:paraId="4E8CD14F">
                  <w:pPr>
                    <w:bidi w:val="0"/>
                    <w:spacing w:line="240" w:lineRule="auto"/>
                    <w:jc w:val="center"/>
                    <w:rPr>
                      <w:rFonts w:hint="default" w:cs="Times New Roman"/>
                      <w:sz w:val="21"/>
                      <w:szCs w:val="21"/>
                      <w:lang w:val="en-US" w:eastAsia="zh-CN"/>
                    </w:rPr>
                  </w:pPr>
                  <w:r>
                    <w:rPr>
                      <w:rFonts w:hint="eastAsia" w:cs="Times New Roman"/>
                      <w:sz w:val="21"/>
                      <w:szCs w:val="21"/>
                      <w:lang w:val="en-US" w:eastAsia="zh-CN"/>
                    </w:rPr>
                    <w:t>台</w:t>
                  </w:r>
                </w:p>
              </w:tc>
              <w:tc>
                <w:tcPr>
                  <w:tcW w:w="834" w:type="pct"/>
                  <w:noWrap w:val="0"/>
                  <w:vAlign w:val="center"/>
                </w:tcPr>
                <w:p w14:paraId="0670FAFA">
                  <w:pPr>
                    <w:bidi w:val="0"/>
                    <w:spacing w:line="240" w:lineRule="auto"/>
                    <w:jc w:val="center"/>
                    <w:rPr>
                      <w:rFonts w:hint="default" w:cs="Times New Roman"/>
                      <w:sz w:val="21"/>
                      <w:szCs w:val="21"/>
                      <w:lang w:val="en-US" w:eastAsia="zh-CN"/>
                    </w:rPr>
                  </w:pPr>
                  <w:r>
                    <w:rPr>
                      <w:rFonts w:hint="eastAsia" w:cs="Times New Roman"/>
                      <w:sz w:val="21"/>
                      <w:szCs w:val="21"/>
                      <w:lang w:val="en-US" w:eastAsia="zh-CN"/>
                    </w:rPr>
                    <w:t>12</w:t>
                  </w:r>
                </w:p>
              </w:tc>
              <w:tc>
                <w:tcPr>
                  <w:tcW w:w="573" w:type="pct"/>
                  <w:noWrap w:val="0"/>
                  <w:vAlign w:val="center"/>
                </w:tcPr>
                <w:p w14:paraId="42EFD47E">
                  <w:pPr>
                    <w:bidi w:val="0"/>
                    <w:spacing w:line="240" w:lineRule="auto"/>
                    <w:jc w:val="center"/>
                    <w:rPr>
                      <w:rFonts w:hint="default" w:ascii="Times New Roman" w:hAnsi="Times New Roman" w:cs="Times New Roman"/>
                      <w:sz w:val="21"/>
                      <w:szCs w:val="21"/>
                    </w:rPr>
                  </w:pPr>
                </w:p>
              </w:tc>
            </w:tr>
            <w:tr w14:paraId="6C7A1A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4" w:type="pct"/>
                  <w:noWrap w:val="0"/>
                  <w:vAlign w:val="center"/>
                </w:tcPr>
                <w:p w14:paraId="1635D8D5">
                  <w:pPr>
                    <w:bidi w:val="0"/>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11</w:t>
                  </w:r>
                </w:p>
              </w:tc>
              <w:tc>
                <w:tcPr>
                  <w:tcW w:w="1347" w:type="pct"/>
                  <w:noWrap w:val="0"/>
                  <w:vAlign w:val="center"/>
                </w:tcPr>
                <w:p w14:paraId="41FADC57">
                  <w:pPr>
                    <w:bidi w:val="0"/>
                    <w:spacing w:line="240" w:lineRule="auto"/>
                    <w:jc w:val="center"/>
                    <w:rPr>
                      <w:rFonts w:hint="default" w:ascii="Times New Roman" w:hAnsi="Times New Roman" w:cs="Times New Roman"/>
                      <w:sz w:val="21"/>
                      <w:szCs w:val="21"/>
                      <w:lang w:val="en-US" w:eastAsia="zh-CN"/>
                    </w:rPr>
                  </w:pPr>
                  <w:r>
                    <w:t>手工喷漆柜</w:t>
                  </w:r>
                </w:p>
              </w:tc>
              <w:tc>
                <w:tcPr>
                  <w:tcW w:w="1339" w:type="pct"/>
                  <w:noWrap w:val="0"/>
                  <w:vAlign w:val="center"/>
                </w:tcPr>
                <w:p w14:paraId="5886F602">
                  <w:pPr>
                    <w:bidi w:val="0"/>
                    <w:spacing w:line="240" w:lineRule="auto"/>
                    <w:jc w:val="center"/>
                  </w:pPr>
                  <w:r>
                    <w:rPr>
                      <w:rFonts w:hint="eastAsia" w:cs="Times New Roman"/>
                      <w:sz w:val="21"/>
                      <w:szCs w:val="21"/>
                      <w:lang w:val="en-US" w:eastAsia="zh-CN"/>
                    </w:rPr>
                    <w:t>喷涂</w:t>
                  </w:r>
                </w:p>
              </w:tc>
              <w:tc>
                <w:tcPr>
                  <w:tcW w:w="481" w:type="pct"/>
                  <w:noWrap w:val="0"/>
                  <w:vAlign w:val="center"/>
                </w:tcPr>
                <w:p w14:paraId="6F635B53">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834" w:type="pct"/>
                  <w:noWrap w:val="0"/>
                  <w:vAlign w:val="center"/>
                </w:tcPr>
                <w:p w14:paraId="2E36013C">
                  <w:p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573" w:type="pct"/>
                  <w:noWrap w:val="0"/>
                  <w:vAlign w:val="center"/>
                </w:tcPr>
                <w:p w14:paraId="17A89654">
                  <w:pPr>
                    <w:bidi w:val="0"/>
                    <w:spacing w:line="240" w:lineRule="auto"/>
                    <w:jc w:val="center"/>
                    <w:rPr>
                      <w:rFonts w:hint="default" w:ascii="Times New Roman" w:hAnsi="Times New Roman" w:cs="Times New Roman"/>
                      <w:sz w:val="21"/>
                      <w:szCs w:val="21"/>
                    </w:rPr>
                  </w:pPr>
                </w:p>
              </w:tc>
            </w:tr>
          </w:tbl>
          <w:p w14:paraId="48948190">
            <w:pPr>
              <w:ind w:firstLine="482"/>
              <w:jc w:val="left"/>
              <w:rPr>
                <w:b/>
                <w:bCs/>
                <w:kern w:val="0"/>
              </w:rPr>
            </w:pPr>
          </w:p>
          <w:p w14:paraId="0F6F9771">
            <w:pPr>
              <w:bidi w:val="0"/>
              <w:spacing w:line="360" w:lineRule="auto"/>
              <w:ind w:firstLine="422" w:firstLineChars="200"/>
              <w:rPr>
                <w:rFonts w:hint="default"/>
                <w:b/>
                <w:bCs/>
              </w:rPr>
            </w:pPr>
            <w:r>
              <w:rPr>
                <w:rFonts w:hint="eastAsia"/>
                <w:b/>
                <w:bCs/>
                <w:lang w:val="en-US" w:eastAsia="zh-CN"/>
              </w:rPr>
              <w:t>五</w:t>
            </w:r>
            <w:r>
              <w:rPr>
                <w:rFonts w:hint="default"/>
                <w:b/>
                <w:bCs/>
              </w:rPr>
              <w:t>、项目主要原辅材料</w:t>
            </w:r>
          </w:p>
          <w:p w14:paraId="09ECC025">
            <w:pPr>
              <w:bidi w:val="0"/>
              <w:spacing w:line="360" w:lineRule="auto"/>
              <w:ind w:firstLine="422" w:firstLineChars="200"/>
              <w:rPr>
                <w:rFonts w:hint="default"/>
                <w:lang w:val="zh-CN"/>
              </w:rPr>
            </w:pPr>
            <w:r>
              <w:rPr>
                <w:rFonts w:hint="eastAsia"/>
                <w:b/>
                <w:bCs/>
                <w:lang w:val="en-US" w:eastAsia="zh-CN"/>
              </w:rPr>
              <w:t>1、原辅材料清单</w:t>
            </w:r>
          </w:p>
          <w:p w14:paraId="7A1AEACF">
            <w:pPr>
              <w:bidi w:val="0"/>
              <w:spacing w:line="240" w:lineRule="auto"/>
              <w:jc w:val="center"/>
              <w:rPr>
                <w:b/>
                <w:bCs/>
                <w:color w:val="000000" w:themeColor="text1"/>
                <w:lang w:val="zh-CN"/>
                <w14:textFill>
                  <w14:solidFill>
                    <w14:schemeClr w14:val="tx1"/>
                  </w14:solidFill>
                </w14:textFill>
              </w:rPr>
            </w:pPr>
            <w:r>
              <w:rPr>
                <w:rFonts w:hint="default"/>
                <w:b/>
                <w:bCs/>
                <w:color w:val="000000" w:themeColor="text1"/>
                <w:lang w:val="zh-CN"/>
                <w14:textFill>
                  <w14:solidFill>
                    <w14:schemeClr w14:val="tx1"/>
                  </w14:solidFill>
                </w14:textFill>
              </w:rPr>
              <w:t>表</w:t>
            </w:r>
            <w:r>
              <w:rPr>
                <w:rFonts w:hint="default"/>
                <w:b/>
                <w:bCs/>
                <w:color w:val="000000" w:themeColor="text1"/>
                <w14:textFill>
                  <w14:solidFill>
                    <w14:schemeClr w14:val="tx1"/>
                  </w14:solidFill>
                </w14:textFill>
              </w:rPr>
              <w:t>2-3</w:t>
            </w:r>
            <w:r>
              <w:rPr>
                <w:rFonts w:hint="default"/>
                <w:b/>
                <w:bCs/>
                <w:color w:val="000000" w:themeColor="text1"/>
                <w:lang w:val="zh-CN"/>
                <w14:textFill>
                  <w14:solidFill>
                    <w14:schemeClr w14:val="tx1"/>
                  </w14:solidFill>
                </w14:textFill>
              </w:rPr>
              <w:t>主要原材料</w:t>
            </w:r>
            <w:r>
              <w:rPr>
                <w:b/>
                <w:bCs/>
                <w:color w:val="000000" w:themeColor="text1"/>
                <w:lang w:val="zh-CN"/>
                <w14:textFill>
                  <w14:solidFill>
                    <w14:schemeClr w14:val="tx1"/>
                  </w14:solidFill>
                </w14:textFill>
              </w:rPr>
              <w:t>清单</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29"/>
              <w:gridCol w:w="2036"/>
              <w:gridCol w:w="1345"/>
              <w:gridCol w:w="804"/>
              <w:gridCol w:w="1079"/>
              <w:gridCol w:w="792"/>
              <w:gridCol w:w="730"/>
              <w:gridCol w:w="1073"/>
            </w:tblGrid>
            <w:tr w14:paraId="297EB6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15" w:type="pct"/>
                  <w:vMerge w:val="restart"/>
                  <w:noWrap w:val="0"/>
                  <w:vAlign w:val="center"/>
                </w:tcPr>
                <w:p w14:paraId="76DB06CB">
                  <w:pPr>
                    <w:widowControl/>
                    <w:jc w:val="center"/>
                    <w:textAlignment w:val="center"/>
                    <w:rPr>
                      <w:sz w:val="22"/>
                      <w:szCs w:val="22"/>
                    </w:rPr>
                  </w:pPr>
                  <w:r>
                    <w:rPr>
                      <w:kern w:val="0"/>
                      <w:sz w:val="22"/>
                      <w:szCs w:val="22"/>
                      <w:lang w:bidi="ar"/>
                    </w:rPr>
                    <w:t>类别</w:t>
                  </w:r>
                </w:p>
              </w:tc>
              <w:tc>
                <w:tcPr>
                  <w:tcW w:w="1213" w:type="pct"/>
                  <w:vMerge w:val="restart"/>
                  <w:noWrap w:val="0"/>
                  <w:vAlign w:val="center"/>
                </w:tcPr>
                <w:p w14:paraId="54C5CA4B">
                  <w:pPr>
                    <w:widowControl/>
                    <w:jc w:val="center"/>
                    <w:textAlignment w:val="center"/>
                    <w:rPr>
                      <w:sz w:val="22"/>
                      <w:szCs w:val="22"/>
                    </w:rPr>
                  </w:pPr>
                  <w:r>
                    <w:rPr>
                      <w:kern w:val="0"/>
                      <w:sz w:val="22"/>
                      <w:szCs w:val="22"/>
                      <w:lang w:bidi="ar"/>
                    </w:rPr>
                    <w:t>名称</w:t>
                  </w:r>
                </w:p>
              </w:tc>
              <w:tc>
                <w:tcPr>
                  <w:tcW w:w="801" w:type="pct"/>
                  <w:vMerge w:val="restart"/>
                  <w:noWrap w:val="0"/>
                  <w:vAlign w:val="center"/>
                </w:tcPr>
                <w:p w14:paraId="43E54DF6">
                  <w:pPr>
                    <w:widowControl/>
                    <w:jc w:val="center"/>
                    <w:textAlignment w:val="center"/>
                    <w:rPr>
                      <w:rFonts w:hint="eastAsia" w:eastAsia="宋体"/>
                      <w:sz w:val="22"/>
                      <w:szCs w:val="22"/>
                      <w:lang w:eastAsia="zh-CN"/>
                    </w:rPr>
                  </w:pPr>
                  <w:r>
                    <w:rPr>
                      <w:kern w:val="0"/>
                      <w:sz w:val="22"/>
                      <w:szCs w:val="22"/>
                      <w:lang w:bidi="ar"/>
                    </w:rPr>
                    <w:t>年消耗量</w:t>
                  </w:r>
                  <w:r>
                    <w:rPr>
                      <w:rFonts w:hint="eastAsia"/>
                      <w:kern w:val="0"/>
                      <w:sz w:val="22"/>
                      <w:szCs w:val="22"/>
                      <w:lang w:eastAsia="zh-CN" w:bidi="ar"/>
                    </w:rPr>
                    <w:t>（</w:t>
                  </w:r>
                  <w:r>
                    <w:rPr>
                      <w:rFonts w:hint="eastAsia"/>
                      <w:kern w:val="0"/>
                      <w:sz w:val="22"/>
                      <w:szCs w:val="22"/>
                      <w:lang w:val="en-US" w:eastAsia="zh-CN" w:bidi="ar"/>
                    </w:rPr>
                    <w:t>t/a</w:t>
                  </w:r>
                  <w:r>
                    <w:rPr>
                      <w:rFonts w:hint="eastAsia"/>
                      <w:kern w:val="0"/>
                      <w:sz w:val="22"/>
                      <w:szCs w:val="22"/>
                      <w:lang w:eastAsia="zh-CN" w:bidi="ar"/>
                    </w:rPr>
                    <w:t>）</w:t>
                  </w:r>
                </w:p>
              </w:tc>
              <w:tc>
                <w:tcPr>
                  <w:tcW w:w="479" w:type="pct"/>
                  <w:vMerge w:val="restart"/>
                  <w:noWrap w:val="0"/>
                  <w:vAlign w:val="center"/>
                </w:tcPr>
                <w:p w14:paraId="510FFD4B">
                  <w:pPr>
                    <w:widowControl/>
                    <w:jc w:val="center"/>
                    <w:textAlignment w:val="center"/>
                    <w:rPr>
                      <w:kern w:val="0"/>
                      <w:sz w:val="22"/>
                      <w:szCs w:val="22"/>
                      <w:lang w:bidi="ar"/>
                    </w:rPr>
                  </w:pPr>
                  <w:r>
                    <w:rPr>
                      <w:kern w:val="0"/>
                      <w:sz w:val="22"/>
                      <w:szCs w:val="22"/>
                      <w:lang w:bidi="ar"/>
                    </w:rPr>
                    <w:t>包装</w:t>
                  </w:r>
                </w:p>
                <w:p w14:paraId="2E2EBC5D">
                  <w:pPr>
                    <w:widowControl/>
                    <w:jc w:val="center"/>
                    <w:textAlignment w:val="center"/>
                    <w:rPr>
                      <w:sz w:val="22"/>
                      <w:szCs w:val="22"/>
                    </w:rPr>
                  </w:pPr>
                  <w:r>
                    <w:rPr>
                      <w:kern w:val="0"/>
                      <w:sz w:val="22"/>
                      <w:szCs w:val="22"/>
                      <w:lang w:bidi="ar"/>
                    </w:rPr>
                    <w:t>形式</w:t>
                  </w:r>
                </w:p>
              </w:tc>
              <w:tc>
                <w:tcPr>
                  <w:tcW w:w="643" w:type="pct"/>
                  <w:vMerge w:val="restart"/>
                  <w:noWrap w:val="0"/>
                  <w:vAlign w:val="center"/>
                </w:tcPr>
                <w:p w14:paraId="5F78550C">
                  <w:pPr>
                    <w:widowControl/>
                    <w:jc w:val="center"/>
                    <w:textAlignment w:val="center"/>
                    <w:rPr>
                      <w:sz w:val="22"/>
                      <w:szCs w:val="22"/>
                    </w:rPr>
                  </w:pPr>
                  <w:r>
                    <w:rPr>
                      <w:kern w:val="0"/>
                      <w:sz w:val="22"/>
                      <w:szCs w:val="22"/>
                      <w:lang w:bidi="ar"/>
                    </w:rPr>
                    <w:t>规格</w:t>
                  </w:r>
                </w:p>
              </w:tc>
              <w:tc>
                <w:tcPr>
                  <w:tcW w:w="472" w:type="pct"/>
                  <w:vMerge w:val="restart"/>
                  <w:noWrap w:val="0"/>
                  <w:vAlign w:val="center"/>
                </w:tcPr>
                <w:p w14:paraId="2CF7E391">
                  <w:pPr>
                    <w:widowControl/>
                    <w:jc w:val="center"/>
                    <w:textAlignment w:val="center"/>
                    <w:rPr>
                      <w:sz w:val="22"/>
                      <w:szCs w:val="22"/>
                    </w:rPr>
                  </w:pPr>
                  <w:r>
                    <w:rPr>
                      <w:kern w:val="0"/>
                      <w:sz w:val="22"/>
                      <w:szCs w:val="22"/>
                      <w:lang w:bidi="ar"/>
                    </w:rPr>
                    <w:t>形态</w:t>
                  </w:r>
                </w:p>
              </w:tc>
              <w:tc>
                <w:tcPr>
                  <w:tcW w:w="435" w:type="pct"/>
                  <w:vMerge w:val="restart"/>
                  <w:noWrap w:val="0"/>
                  <w:vAlign w:val="center"/>
                </w:tcPr>
                <w:p w14:paraId="6DEB5CB5">
                  <w:pPr>
                    <w:widowControl/>
                    <w:jc w:val="center"/>
                    <w:textAlignment w:val="center"/>
                    <w:rPr>
                      <w:sz w:val="22"/>
                      <w:szCs w:val="22"/>
                    </w:rPr>
                  </w:pPr>
                  <w:r>
                    <w:rPr>
                      <w:kern w:val="0"/>
                      <w:sz w:val="22"/>
                      <w:szCs w:val="22"/>
                      <w:lang w:bidi="ar"/>
                    </w:rPr>
                    <w:t>存放位置</w:t>
                  </w:r>
                </w:p>
              </w:tc>
              <w:tc>
                <w:tcPr>
                  <w:tcW w:w="639" w:type="pct"/>
                  <w:vMerge w:val="restart"/>
                  <w:noWrap w:val="0"/>
                  <w:vAlign w:val="center"/>
                </w:tcPr>
                <w:p w14:paraId="189AC85D">
                  <w:pPr>
                    <w:widowControl/>
                    <w:jc w:val="center"/>
                    <w:textAlignment w:val="center"/>
                    <w:rPr>
                      <w:rFonts w:hint="eastAsia" w:eastAsia="宋体"/>
                      <w:sz w:val="22"/>
                      <w:szCs w:val="22"/>
                      <w:lang w:eastAsia="zh-CN"/>
                    </w:rPr>
                  </w:pPr>
                  <w:r>
                    <w:rPr>
                      <w:rFonts w:hint="eastAsia"/>
                      <w:kern w:val="0"/>
                      <w:sz w:val="22"/>
                      <w:szCs w:val="22"/>
                      <w:lang w:val="en-US" w:eastAsia="zh-CN" w:bidi="ar"/>
                    </w:rPr>
                    <w:t>备注</w:t>
                  </w:r>
                </w:p>
              </w:tc>
            </w:tr>
            <w:tr w14:paraId="4CC08E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15" w:type="pct"/>
                  <w:vMerge w:val="continue"/>
                  <w:noWrap w:val="0"/>
                  <w:vAlign w:val="center"/>
                </w:tcPr>
                <w:p w14:paraId="42C47C38">
                  <w:pPr>
                    <w:jc w:val="center"/>
                    <w:rPr>
                      <w:b/>
                      <w:bCs/>
                      <w:sz w:val="22"/>
                      <w:szCs w:val="22"/>
                    </w:rPr>
                  </w:pPr>
                </w:p>
              </w:tc>
              <w:tc>
                <w:tcPr>
                  <w:tcW w:w="1213" w:type="pct"/>
                  <w:vMerge w:val="continue"/>
                  <w:noWrap w:val="0"/>
                  <w:vAlign w:val="center"/>
                </w:tcPr>
                <w:p w14:paraId="4C95AB23">
                  <w:pPr>
                    <w:jc w:val="center"/>
                    <w:rPr>
                      <w:b/>
                      <w:bCs/>
                      <w:sz w:val="22"/>
                      <w:szCs w:val="22"/>
                    </w:rPr>
                  </w:pPr>
                </w:p>
              </w:tc>
              <w:tc>
                <w:tcPr>
                  <w:tcW w:w="801" w:type="pct"/>
                  <w:vMerge w:val="continue"/>
                  <w:noWrap w:val="0"/>
                  <w:vAlign w:val="center"/>
                </w:tcPr>
                <w:p w14:paraId="56732A01">
                  <w:pPr>
                    <w:jc w:val="center"/>
                    <w:rPr>
                      <w:b/>
                      <w:bCs/>
                      <w:sz w:val="22"/>
                      <w:szCs w:val="22"/>
                    </w:rPr>
                  </w:pPr>
                </w:p>
              </w:tc>
              <w:tc>
                <w:tcPr>
                  <w:tcW w:w="479" w:type="pct"/>
                  <w:vMerge w:val="continue"/>
                  <w:noWrap w:val="0"/>
                  <w:vAlign w:val="center"/>
                </w:tcPr>
                <w:p w14:paraId="26F2ACC5">
                  <w:pPr>
                    <w:jc w:val="center"/>
                    <w:rPr>
                      <w:sz w:val="22"/>
                      <w:szCs w:val="22"/>
                    </w:rPr>
                  </w:pPr>
                </w:p>
              </w:tc>
              <w:tc>
                <w:tcPr>
                  <w:tcW w:w="643" w:type="pct"/>
                  <w:vMerge w:val="continue"/>
                  <w:noWrap w:val="0"/>
                  <w:vAlign w:val="center"/>
                </w:tcPr>
                <w:p w14:paraId="085A39AC">
                  <w:pPr>
                    <w:jc w:val="center"/>
                    <w:rPr>
                      <w:sz w:val="22"/>
                      <w:szCs w:val="22"/>
                    </w:rPr>
                  </w:pPr>
                </w:p>
              </w:tc>
              <w:tc>
                <w:tcPr>
                  <w:tcW w:w="472" w:type="pct"/>
                  <w:vMerge w:val="continue"/>
                  <w:noWrap w:val="0"/>
                  <w:vAlign w:val="center"/>
                </w:tcPr>
                <w:p w14:paraId="34B7F516">
                  <w:pPr>
                    <w:jc w:val="center"/>
                    <w:rPr>
                      <w:sz w:val="22"/>
                      <w:szCs w:val="22"/>
                    </w:rPr>
                  </w:pPr>
                </w:p>
              </w:tc>
              <w:tc>
                <w:tcPr>
                  <w:tcW w:w="435" w:type="pct"/>
                  <w:vMerge w:val="continue"/>
                  <w:noWrap w:val="0"/>
                  <w:vAlign w:val="center"/>
                </w:tcPr>
                <w:p w14:paraId="4CB4E29E">
                  <w:pPr>
                    <w:jc w:val="center"/>
                    <w:rPr>
                      <w:sz w:val="22"/>
                      <w:szCs w:val="22"/>
                    </w:rPr>
                  </w:pPr>
                </w:p>
              </w:tc>
              <w:tc>
                <w:tcPr>
                  <w:tcW w:w="639" w:type="pct"/>
                  <w:vMerge w:val="continue"/>
                  <w:noWrap w:val="0"/>
                  <w:vAlign w:val="center"/>
                </w:tcPr>
                <w:p w14:paraId="372395E3">
                  <w:pPr>
                    <w:jc w:val="center"/>
                    <w:rPr>
                      <w:b/>
                      <w:bCs/>
                      <w:sz w:val="22"/>
                      <w:szCs w:val="22"/>
                    </w:rPr>
                  </w:pPr>
                </w:p>
              </w:tc>
            </w:tr>
            <w:tr w14:paraId="5C0A73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15" w:type="pct"/>
                  <w:vMerge w:val="restart"/>
                  <w:noWrap w:val="0"/>
                  <w:vAlign w:val="center"/>
                </w:tcPr>
                <w:p w14:paraId="5B9F0898">
                  <w:pPr>
                    <w:widowControl/>
                    <w:jc w:val="center"/>
                    <w:textAlignment w:val="center"/>
                    <w:rPr>
                      <w:sz w:val="22"/>
                      <w:szCs w:val="22"/>
                    </w:rPr>
                  </w:pPr>
                  <w:r>
                    <w:rPr>
                      <w:kern w:val="0"/>
                      <w:sz w:val="22"/>
                      <w:szCs w:val="22"/>
                      <w:lang w:bidi="ar"/>
                    </w:rPr>
                    <w:t>原</w:t>
                  </w:r>
                  <w:r>
                    <w:rPr>
                      <w:rFonts w:hint="eastAsia"/>
                      <w:kern w:val="0"/>
                      <w:sz w:val="22"/>
                      <w:szCs w:val="22"/>
                      <w:lang w:bidi="ar"/>
                    </w:rPr>
                    <w:t>辅</w:t>
                  </w:r>
                  <w:r>
                    <w:rPr>
                      <w:kern w:val="0"/>
                      <w:sz w:val="22"/>
                      <w:szCs w:val="22"/>
                      <w:lang w:bidi="ar"/>
                    </w:rPr>
                    <w:t>材料</w:t>
                  </w:r>
                </w:p>
              </w:tc>
              <w:tc>
                <w:tcPr>
                  <w:tcW w:w="1213" w:type="pct"/>
                  <w:noWrap w:val="0"/>
                  <w:vAlign w:val="center"/>
                </w:tcPr>
                <w:p w14:paraId="1CDD16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sz w:val="21"/>
                      <w:szCs w:val="21"/>
                      <w:lang w:val="en-US" w:eastAsia="zh-CN"/>
                    </w:rPr>
                  </w:pPr>
                  <w:r>
                    <w:rPr>
                      <w:rFonts w:hint="eastAsia" w:cs="Times New Roman"/>
                      <w:color w:val="auto"/>
                      <w:szCs w:val="24"/>
                      <w:highlight w:val="none"/>
                      <w:lang w:val="en-US" w:eastAsia="zh-CN"/>
                    </w:rPr>
                    <w:t>底漆（色漆）</w:t>
                  </w:r>
                </w:p>
              </w:tc>
              <w:tc>
                <w:tcPr>
                  <w:tcW w:w="801" w:type="pct"/>
                  <w:noWrap w:val="0"/>
                  <w:vAlign w:val="center"/>
                </w:tcPr>
                <w:p w14:paraId="2B066B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000000" w:themeColor="text1"/>
                      <w:sz w:val="22"/>
                      <w:szCs w:val="22"/>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6</w:t>
                  </w:r>
                </w:p>
              </w:tc>
              <w:tc>
                <w:tcPr>
                  <w:tcW w:w="479" w:type="pct"/>
                  <w:noWrap w:val="0"/>
                  <w:vAlign w:val="center"/>
                </w:tcPr>
                <w:p w14:paraId="65BC23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sz w:val="22"/>
                      <w:szCs w:val="22"/>
                      <w:lang w:val="en-US" w:eastAsia="zh-CN"/>
                    </w:rPr>
                  </w:pPr>
                  <w:r>
                    <w:rPr>
                      <w:rFonts w:hint="eastAsia" w:cs="Times New Roman"/>
                      <w:i w:val="0"/>
                      <w:iCs w:val="0"/>
                      <w:color w:val="auto"/>
                      <w:kern w:val="0"/>
                      <w:sz w:val="21"/>
                      <w:szCs w:val="21"/>
                      <w:u w:val="none"/>
                      <w:lang w:val="en-US" w:eastAsia="zh-CN" w:bidi="ar"/>
                    </w:rPr>
                    <w:t>桶</w:t>
                  </w:r>
                  <w:r>
                    <w:rPr>
                      <w:rFonts w:hint="eastAsia" w:ascii="Times New Roman" w:hAnsi="Times New Roman" w:eastAsia="宋体" w:cs="Times New Roman"/>
                      <w:i w:val="0"/>
                      <w:iCs w:val="0"/>
                      <w:color w:val="auto"/>
                      <w:kern w:val="0"/>
                      <w:sz w:val="21"/>
                      <w:szCs w:val="21"/>
                      <w:u w:val="none"/>
                      <w:lang w:val="en-US" w:eastAsia="zh-CN" w:bidi="ar"/>
                    </w:rPr>
                    <w:t>装</w:t>
                  </w:r>
                </w:p>
              </w:tc>
              <w:tc>
                <w:tcPr>
                  <w:tcW w:w="643" w:type="pct"/>
                  <w:noWrap w:val="0"/>
                  <w:vAlign w:val="center"/>
                </w:tcPr>
                <w:p w14:paraId="7DB91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sz w:val="22"/>
                      <w:szCs w:val="22"/>
                      <w:lang w:val="en-US" w:eastAsia="zh-CN"/>
                    </w:rPr>
                  </w:pPr>
                  <w:r>
                    <w:rPr>
                      <w:rFonts w:hint="eastAsia" w:cs="Times New Roman"/>
                      <w:i w:val="0"/>
                      <w:iCs w:val="0"/>
                      <w:color w:val="auto"/>
                      <w:kern w:val="0"/>
                      <w:sz w:val="21"/>
                      <w:szCs w:val="21"/>
                      <w:u w:val="none"/>
                      <w:lang w:val="en-US" w:eastAsia="zh-CN" w:bidi="ar"/>
                    </w:rPr>
                    <w:t>18</w:t>
                  </w:r>
                  <w:r>
                    <w:rPr>
                      <w:rFonts w:hint="eastAsia" w:ascii="Times New Roman" w:hAnsi="Times New Roman" w:eastAsia="宋体" w:cs="Times New Roman"/>
                      <w:i w:val="0"/>
                      <w:iCs w:val="0"/>
                      <w:color w:val="auto"/>
                      <w:kern w:val="0"/>
                      <w:sz w:val="21"/>
                      <w:szCs w:val="21"/>
                      <w:u w:val="none"/>
                      <w:lang w:val="en-US" w:eastAsia="zh-CN" w:bidi="ar"/>
                    </w:rPr>
                    <w:t>kg/</w:t>
                  </w:r>
                  <w:r>
                    <w:rPr>
                      <w:rFonts w:hint="eastAsia" w:cs="Times New Roman"/>
                      <w:i w:val="0"/>
                      <w:iCs w:val="0"/>
                      <w:color w:val="auto"/>
                      <w:kern w:val="0"/>
                      <w:sz w:val="21"/>
                      <w:szCs w:val="21"/>
                      <w:u w:val="none"/>
                      <w:lang w:val="en-US" w:eastAsia="zh-CN" w:bidi="ar"/>
                    </w:rPr>
                    <w:t>桶</w:t>
                  </w:r>
                </w:p>
              </w:tc>
              <w:tc>
                <w:tcPr>
                  <w:tcW w:w="472" w:type="pct"/>
                  <w:noWrap w:val="0"/>
                  <w:vAlign w:val="center"/>
                </w:tcPr>
                <w:p w14:paraId="1535D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sz w:val="22"/>
                      <w:szCs w:val="22"/>
                      <w:lang w:val="en-US"/>
                    </w:rPr>
                  </w:pPr>
                  <w:r>
                    <w:rPr>
                      <w:rFonts w:hint="eastAsia" w:cs="Times New Roman"/>
                      <w:i w:val="0"/>
                      <w:iCs w:val="0"/>
                      <w:color w:val="auto"/>
                      <w:kern w:val="0"/>
                      <w:sz w:val="21"/>
                      <w:szCs w:val="21"/>
                      <w:u w:val="none"/>
                      <w:lang w:val="en-US" w:eastAsia="zh-CN" w:bidi="ar"/>
                    </w:rPr>
                    <w:t>液态</w:t>
                  </w:r>
                </w:p>
              </w:tc>
              <w:tc>
                <w:tcPr>
                  <w:tcW w:w="435" w:type="pct"/>
                  <w:noWrap w:val="0"/>
                  <w:vAlign w:val="center"/>
                </w:tcPr>
                <w:p w14:paraId="134B8D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sz w:val="22"/>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639" w:type="pct"/>
                  <w:noWrap w:val="0"/>
                  <w:vAlign w:val="center"/>
                </w:tcPr>
                <w:p w14:paraId="34DF0065">
                  <w:pPr>
                    <w:bidi w:val="0"/>
                    <w:jc w:val="center"/>
                    <w:rPr>
                      <w:rFonts w:hint="default"/>
                      <w:lang w:val="en-US" w:eastAsia="zh-CN"/>
                    </w:rPr>
                  </w:pPr>
                  <w:r>
                    <w:rPr>
                      <w:rFonts w:hint="eastAsia"/>
                      <w:lang w:val="en-US" w:eastAsia="zh-CN"/>
                    </w:rPr>
                    <w:t>外购</w:t>
                  </w:r>
                </w:p>
              </w:tc>
            </w:tr>
            <w:tr w14:paraId="34C39D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15" w:type="pct"/>
                  <w:vMerge w:val="continue"/>
                  <w:noWrap w:val="0"/>
                  <w:vAlign w:val="center"/>
                </w:tcPr>
                <w:p w14:paraId="7A6D6450">
                  <w:pPr>
                    <w:widowControl/>
                    <w:jc w:val="center"/>
                    <w:textAlignment w:val="center"/>
                    <w:rPr>
                      <w:kern w:val="0"/>
                      <w:sz w:val="22"/>
                      <w:szCs w:val="22"/>
                      <w:lang w:bidi="ar"/>
                    </w:rPr>
                  </w:pPr>
                </w:p>
              </w:tc>
              <w:tc>
                <w:tcPr>
                  <w:tcW w:w="1213" w:type="pct"/>
                  <w:noWrap w:val="0"/>
                  <w:vAlign w:val="center"/>
                </w:tcPr>
                <w:p w14:paraId="44A40A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sz w:val="21"/>
                      <w:szCs w:val="21"/>
                      <w:lang w:val="en-US" w:eastAsia="zh-CN"/>
                    </w:rPr>
                  </w:pPr>
                  <w:r>
                    <w:rPr>
                      <w:rFonts w:hint="eastAsia" w:cs="Times New Roman"/>
                      <w:i w:val="0"/>
                      <w:iCs w:val="0"/>
                      <w:color w:val="auto"/>
                      <w:sz w:val="21"/>
                      <w:szCs w:val="21"/>
                      <w:u w:val="none"/>
                      <w:lang w:val="en-US" w:eastAsia="zh-CN"/>
                    </w:rPr>
                    <w:t>面漆</w:t>
                  </w:r>
                </w:p>
              </w:tc>
              <w:tc>
                <w:tcPr>
                  <w:tcW w:w="801" w:type="pct"/>
                  <w:noWrap w:val="0"/>
                  <w:vAlign w:val="center"/>
                </w:tcPr>
                <w:p w14:paraId="574428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sz w:val="22"/>
                      <w:szCs w:val="22"/>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2.7</w:t>
                  </w:r>
                </w:p>
              </w:tc>
              <w:tc>
                <w:tcPr>
                  <w:tcW w:w="479" w:type="pct"/>
                  <w:noWrap w:val="0"/>
                  <w:vAlign w:val="center"/>
                </w:tcPr>
                <w:p w14:paraId="3538E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2"/>
                      <w:szCs w:val="22"/>
                      <w:lang w:val="en-US" w:eastAsia="zh-CN"/>
                    </w:rPr>
                  </w:pPr>
                  <w:r>
                    <w:rPr>
                      <w:rFonts w:hint="eastAsia" w:cs="Times New Roman"/>
                      <w:i w:val="0"/>
                      <w:iCs w:val="0"/>
                      <w:color w:val="auto"/>
                      <w:kern w:val="0"/>
                      <w:sz w:val="21"/>
                      <w:szCs w:val="21"/>
                      <w:u w:val="none"/>
                      <w:lang w:val="en-US" w:eastAsia="zh-CN" w:bidi="ar"/>
                    </w:rPr>
                    <w:t>桶</w:t>
                  </w:r>
                  <w:r>
                    <w:rPr>
                      <w:rFonts w:hint="eastAsia" w:ascii="Times New Roman" w:hAnsi="Times New Roman" w:eastAsia="宋体" w:cs="Times New Roman"/>
                      <w:i w:val="0"/>
                      <w:iCs w:val="0"/>
                      <w:color w:val="auto"/>
                      <w:kern w:val="0"/>
                      <w:sz w:val="21"/>
                      <w:szCs w:val="21"/>
                      <w:u w:val="none"/>
                      <w:lang w:val="en-US" w:eastAsia="zh-CN" w:bidi="ar"/>
                    </w:rPr>
                    <w:t>装</w:t>
                  </w:r>
                </w:p>
              </w:tc>
              <w:tc>
                <w:tcPr>
                  <w:tcW w:w="643" w:type="pct"/>
                  <w:noWrap w:val="0"/>
                  <w:vAlign w:val="center"/>
                </w:tcPr>
                <w:p w14:paraId="6DCEB2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2"/>
                      <w:szCs w:val="22"/>
                      <w:lang w:val="en-US" w:eastAsia="zh-CN"/>
                    </w:rPr>
                  </w:pPr>
                  <w:r>
                    <w:rPr>
                      <w:rFonts w:hint="eastAsia" w:cs="Times New Roman"/>
                      <w:i w:val="0"/>
                      <w:iCs w:val="0"/>
                      <w:color w:val="auto"/>
                      <w:kern w:val="0"/>
                      <w:sz w:val="21"/>
                      <w:szCs w:val="21"/>
                      <w:u w:val="none"/>
                      <w:lang w:val="en-US" w:eastAsia="zh-CN" w:bidi="ar"/>
                    </w:rPr>
                    <w:t>18</w:t>
                  </w:r>
                  <w:r>
                    <w:rPr>
                      <w:rFonts w:hint="eastAsia" w:ascii="Times New Roman" w:hAnsi="Times New Roman" w:eastAsia="宋体" w:cs="Times New Roman"/>
                      <w:i w:val="0"/>
                      <w:iCs w:val="0"/>
                      <w:color w:val="auto"/>
                      <w:kern w:val="0"/>
                      <w:sz w:val="21"/>
                      <w:szCs w:val="21"/>
                      <w:u w:val="none"/>
                      <w:lang w:val="en-US" w:eastAsia="zh-CN" w:bidi="ar"/>
                    </w:rPr>
                    <w:t>kg/</w:t>
                  </w:r>
                  <w:r>
                    <w:rPr>
                      <w:rFonts w:hint="eastAsia" w:cs="Times New Roman"/>
                      <w:i w:val="0"/>
                      <w:iCs w:val="0"/>
                      <w:color w:val="auto"/>
                      <w:kern w:val="0"/>
                      <w:sz w:val="21"/>
                      <w:szCs w:val="21"/>
                      <w:u w:val="none"/>
                      <w:lang w:val="en-US" w:eastAsia="zh-CN" w:bidi="ar"/>
                    </w:rPr>
                    <w:t>桶</w:t>
                  </w:r>
                </w:p>
              </w:tc>
              <w:tc>
                <w:tcPr>
                  <w:tcW w:w="472" w:type="pct"/>
                  <w:noWrap w:val="0"/>
                  <w:vAlign w:val="center"/>
                </w:tcPr>
                <w:p w14:paraId="663047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kern w:val="0"/>
                      <w:sz w:val="22"/>
                      <w:szCs w:val="22"/>
                      <w:lang w:val="en-US" w:eastAsia="zh-CN" w:bidi="ar"/>
                    </w:rPr>
                  </w:pPr>
                  <w:r>
                    <w:rPr>
                      <w:rFonts w:hint="eastAsia" w:cs="Times New Roman"/>
                      <w:i w:val="0"/>
                      <w:iCs w:val="0"/>
                      <w:color w:val="auto"/>
                      <w:kern w:val="0"/>
                      <w:sz w:val="21"/>
                      <w:szCs w:val="21"/>
                      <w:u w:val="none"/>
                      <w:lang w:val="en-US" w:eastAsia="zh-CN" w:bidi="ar"/>
                    </w:rPr>
                    <w:t>液态</w:t>
                  </w:r>
                </w:p>
              </w:tc>
              <w:tc>
                <w:tcPr>
                  <w:tcW w:w="435" w:type="pct"/>
                  <w:noWrap w:val="0"/>
                  <w:vAlign w:val="center"/>
                </w:tcPr>
                <w:p w14:paraId="596022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2"/>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639" w:type="pct"/>
                  <w:noWrap w:val="0"/>
                  <w:vAlign w:val="center"/>
                </w:tcPr>
                <w:p w14:paraId="61634F33">
                  <w:pPr>
                    <w:bidi w:val="0"/>
                    <w:jc w:val="center"/>
                    <w:rPr>
                      <w:rFonts w:hint="eastAsia"/>
                      <w:lang w:val="en-US" w:eastAsia="zh-CN"/>
                    </w:rPr>
                  </w:pPr>
                  <w:r>
                    <w:rPr>
                      <w:rFonts w:hint="eastAsia"/>
                      <w:lang w:val="en-US" w:eastAsia="zh-CN"/>
                    </w:rPr>
                    <w:t>外购</w:t>
                  </w:r>
                </w:p>
              </w:tc>
            </w:tr>
            <w:tr w14:paraId="57267C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315" w:type="pct"/>
                  <w:vMerge w:val="continue"/>
                  <w:noWrap w:val="0"/>
                  <w:vAlign w:val="center"/>
                </w:tcPr>
                <w:p w14:paraId="3193CB98">
                  <w:pPr>
                    <w:widowControl/>
                    <w:jc w:val="center"/>
                    <w:textAlignment w:val="center"/>
                    <w:rPr>
                      <w:kern w:val="0"/>
                      <w:sz w:val="22"/>
                      <w:szCs w:val="22"/>
                      <w:lang w:bidi="ar"/>
                    </w:rPr>
                  </w:pPr>
                </w:p>
              </w:tc>
              <w:tc>
                <w:tcPr>
                  <w:tcW w:w="1213" w:type="pct"/>
                  <w:noWrap w:val="0"/>
                  <w:vAlign w:val="center"/>
                </w:tcPr>
                <w:p w14:paraId="5A3D1885">
                  <w:pPr>
                    <w:pStyle w:val="64"/>
                    <w:tabs>
                      <w:tab w:val="left" w:pos="4500"/>
                    </w:tabs>
                    <w:spacing w:line="320" w:lineRule="exact"/>
                    <w:rPr>
                      <w:rFonts w:hint="eastAsia" w:ascii="Times New Roman" w:hAnsi="Times New Roman" w:eastAsia="宋体" w:cs="Times New Roman"/>
                      <w:sz w:val="21"/>
                      <w:szCs w:val="21"/>
                      <w:lang w:val="en-US" w:eastAsia="zh-CN"/>
                    </w:rPr>
                  </w:pPr>
                  <w:r>
                    <w:rPr>
                      <w:rFonts w:hint="eastAsia" w:cs="Times New Roman"/>
                      <w:i w:val="0"/>
                      <w:iCs w:val="0"/>
                      <w:color w:val="auto"/>
                      <w:sz w:val="21"/>
                      <w:szCs w:val="21"/>
                      <w:u w:val="none"/>
                      <w:lang w:val="en-US" w:eastAsia="zh-CN"/>
                    </w:rPr>
                    <w:t>清漆</w:t>
                  </w:r>
                </w:p>
              </w:tc>
              <w:tc>
                <w:tcPr>
                  <w:tcW w:w="801" w:type="pct"/>
                  <w:noWrap w:val="0"/>
                  <w:vAlign w:val="center"/>
                </w:tcPr>
                <w:p w14:paraId="147BC644">
                  <w:pPr>
                    <w:pStyle w:val="64"/>
                    <w:tabs>
                      <w:tab w:val="left" w:pos="4500"/>
                    </w:tabs>
                    <w:spacing w:line="320" w:lineRule="exact"/>
                    <w:rPr>
                      <w:rFonts w:hint="default" w:eastAsia="宋体"/>
                      <w:color w:val="000000" w:themeColor="text1"/>
                      <w:sz w:val="22"/>
                      <w:szCs w:val="22"/>
                      <w:lang w:val="en-US" w:eastAsia="zh-CN"/>
                      <w14:textFill>
                        <w14:solidFill>
                          <w14:schemeClr w14:val="tx1"/>
                        </w14:solidFill>
                      </w14:textFill>
                    </w:rPr>
                  </w:pPr>
                  <w:r>
                    <w:rPr>
                      <w:rFonts w:hint="eastAsia" w:cs="Times New Roman"/>
                      <w:color w:val="000000" w:themeColor="text1"/>
                      <w:sz w:val="22"/>
                      <w:szCs w:val="22"/>
                      <w:lang w:val="en-US" w:eastAsia="zh-CN"/>
                      <w14:textFill>
                        <w14:solidFill>
                          <w14:schemeClr w14:val="tx1"/>
                        </w14:solidFill>
                      </w14:textFill>
                    </w:rPr>
                    <w:t>1.5</w:t>
                  </w:r>
                </w:p>
              </w:tc>
              <w:tc>
                <w:tcPr>
                  <w:tcW w:w="479" w:type="pct"/>
                  <w:noWrap w:val="0"/>
                  <w:vAlign w:val="center"/>
                </w:tcPr>
                <w:p w14:paraId="422653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2"/>
                      <w:szCs w:val="22"/>
                    </w:rPr>
                  </w:pPr>
                  <w:r>
                    <w:rPr>
                      <w:rFonts w:hint="eastAsia" w:cs="Times New Roman"/>
                      <w:i w:val="0"/>
                      <w:iCs w:val="0"/>
                      <w:color w:val="auto"/>
                      <w:kern w:val="0"/>
                      <w:sz w:val="21"/>
                      <w:szCs w:val="21"/>
                      <w:u w:val="none"/>
                      <w:lang w:val="en-US" w:eastAsia="zh-CN" w:bidi="ar"/>
                    </w:rPr>
                    <w:t>桶</w:t>
                  </w:r>
                  <w:r>
                    <w:rPr>
                      <w:rFonts w:hint="eastAsia" w:ascii="Times New Roman" w:hAnsi="Times New Roman" w:eastAsia="宋体" w:cs="Times New Roman"/>
                      <w:i w:val="0"/>
                      <w:iCs w:val="0"/>
                      <w:color w:val="auto"/>
                      <w:kern w:val="0"/>
                      <w:sz w:val="21"/>
                      <w:szCs w:val="21"/>
                      <w:u w:val="none"/>
                      <w:lang w:val="en-US" w:eastAsia="zh-CN" w:bidi="ar"/>
                    </w:rPr>
                    <w:t>装</w:t>
                  </w:r>
                </w:p>
              </w:tc>
              <w:tc>
                <w:tcPr>
                  <w:tcW w:w="643" w:type="pct"/>
                  <w:noWrap w:val="0"/>
                  <w:vAlign w:val="center"/>
                </w:tcPr>
                <w:p w14:paraId="09A8D0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sz w:val="22"/>
                      <w:szCs w:val="22"/>
                      <w:lang w:val="en-US" w:eastAsia="zh-CN"/>
                    </w:rPr>
                  </w:pPr>
                  <w:r>
                    <w:rPr>
                      <w:rFonts w:hint="eastAsia" w:cs="Times New Roman"/>
                      <w:i w:val="0"/>
                      <w:iCs w:val="0"/>
                      <w:color w:val="auto"/>
                      <w:kern w:val="0"/>
                      <w:sz w:val="21"/>
                      <w:szCs w:val="21"/>
                      <w:u w:val="none"/>
                      <w:lang w:val="en-US" w:eastAsia="zh-CN" w:bidi="ar"/>
                    </w:rPr>
                    <w:t>18</w:t>
                  </w:r>
                  <w:r>
                    <w:rPr>
                      <w:rFonts w:hint="eastAsia" w:ascii="Times New Roman" w:hAnsi="Times New Roman" w:eastAsia="宋体" w:cs="Times New Roman"/>
                      <w:i w:val="0"/>
                      <w:iCs w:val="0"/>
                      <w:color w:val="auto"/>
                      <w:kern w:val="0"/>
                      <w:sz w:val="21"/>
                      <w:szCs w:val="21"/>
                      <w:u w:val="none"/>
                      <w:lang w:val="en-US" w:eastAsia="zh-CN" w:bidi="ar"/>
                    </w:rPr>
                    <w:t>kg/</w:t>
                  </w:r>
                  <w:r>
                    <w:rPr>
                      <w:rFonts w:hint="eastAsia" w:cs="Times New Roman"/>
                      <w:i w:val="0"/>
                      <w:iCs w:val="0"/>
                      <w:color w:val="auto"/>
                      <w:kern w:val="0"/>
                      <w:sz w:val="21"/>
                      <w:szCs w:val="21"/>
                      <w:u w:val="none"/>
                      <w:lang w:val="en-US" w:eastAsia="zh-CN" w:bidi="ar"/>
                    </w:rPr>
                    <w:t>桶</w:t>
                  </w:r>
                </w:p>
              </w:tc>
              <w:tc>
                <w:tcPr>
                  <w:tcW w:w="472" w:type="pct"/>
                  <w:noWrap w:val="0"/>
                  <w:vAlign w:val="center"/>
                </w:tcPr>
                <w:p w14:paraId="2573DC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kern w:val="0"/>
                      <w:sz w:val="22"/>
                      <w:szCs w:val="22"/>
                      <w:lang w:bidi="ar"/>
                    </w:rPr>
                  </w:pPr>
                  <w:r>
                    <w:rPr>
                      <w:rFonts w:hint="eastAsia" w:cs="Times New Roman"/>
                      <w:i w:val="0"/>
                      <w:iCs w:val="0"/>
                      <w:color w:val="auto"/>
                      <w:kern w:val="0"/>
                      <w:sz w:val="21"/>
                      <w:szCs w:val="21"/>
                      <w:u w:val="none"/>
                      <w:lang w:val="en-US" w:eastAsia="zh-CN" w:bidi="ar"/>
                    </w:rPr>
                    <w:t>液态</w:t>
                  </w:r>
                </w:p>
              </w:tc>
              <w:tc>
                <w:tcPr>
                  <w:tcW w:w="435" w:type="pct"/>
                  <w:noWrap w:val="0"/>
                  <w:vAlign w:val="center"/>
                </w:tcPr>
                <w:p w14:paraId="7CABC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2"/>
                      <w:szCs w:val="22"/>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639" w:type="pct"/>
                  <w:noWrap w:val="0"/>
                  <w:vAlign w:val="center"/>
                </w:tcPr>
                <w:p w14:paraId="625996D0">
                  <w:pPr>
                    <w:bidi w:val="0"/>
                    <w:jc w:val="center"/>
                    <w:rPr>
                      <w:rFonts w:hint="eastAsia"/>
                    </w:rPr>
                  </w:pPr>
                  <w:r>
                    <w:rPr>
                      <w:rFonts w:hint="eastAsia"/>
                      <w:lang w:val="en-US" w:eastAsia="zh-CN"/>
                    </w:rPr>
                    <w:t>外购</w:t>
                  </w:r>
                </w:p>
              </w:tc>
            </w:tr>
            <w:tr w14:paraId="479D24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15" w:type="pct"/>
                  <w:vMerge w:val="continue"/>
                  <w:noWrap w:val="0"/>
                  <w:vAlign w:val="center"/>
                </w:tcPr>
                <w:p w14:paraId="497E2BAC">
                  <w:pPr>
                    <w:widowControl/>
                    <w:jc w:val="center"/>
                    <w:textAlignment w:val="center"/>
                    <w:rPr>
                      <w:kern w:val="0"/>
                      <w:sz w:val="22"/>
                      <w:szCs w:val="22"/>
                      <w:lang w:bidi="ar"/>
                    </w:rPr>
                  </w:pPr>
                </w:p>
              </w:tc>
              <w:tc>
                <w:tcPr>
                  <w:tcW w:w="1213" w:type="pct"/>
                  <w:noWrap w:val="0"/>
                  <w:vAlign w:val="center"/>
                </w:tcPr>
                <w:p w14:paraId="46D789C2">
                  <w:pPr>
                    <w:bidi w:val="0"/>
                    <w:jc w:val="center"/>
                    <w:rPr>
                      <w:rFonts w:hint="eastAsia"/>
                      <w:lang w:val="en-US" w:eastAsia="zh-CN"/>
                    </w:rPr>
                  </w:pPr>
                  <w:r>
                    <w:rPr>
                      <w:rFonts w:hint="eastAsia"/>
                    </w:rPr>
                    <w:t>塑料颗粒A</w:t>
                  </w:r>
                  <w:r>
                    <w:t>BS</w:t>
                  </w:r>
                </w:p>
              </w:tc>
              <w:tc>
                <w:tcPr>
                  <w:tcW w:w="801" w:type="pct"/>
                  <w:noWrap w:val="0"/>
                  <w:vAlign w:val="center"/>
                </w:tcPr>
                <w:p w14:paraId="3C259619">
                  <w:pPr>
                    <w:bidi w:val="0"/>
                    <w:jc w:val="center"/>
                    <w:rPr>
                      <w:rFonts w:hint="default"/>
                      <w:lang w:val="en-US" w:eastAsia="zh-CN"/>
                    </w:rPr>
                  </w:pPr>
                  <w:r>
                    <w:rPr>
                      <w:rFonts w:hint="eastAsia"/>
                      <w:lang w:val="en-US" w:eastAsia="zh-CN"/>
                    </w:rPr>
                    <w:t>10</w:t>
                  </w:r>
                </w:p>
              </w:tc>
              <w:tc>
                <w:tcPr>
                  <w:tcW w:w="479" w:type="pct"/>
                  <w:noWrap w:val="0"/>
                  <w:vAlign w:val="center"/>
                </w:tcPr>
                <w:p w14:paraId="3A500CAF">
                  <w:pPr>
                    <w:bidi w:val="0"/>
                    <w:jc w:val="center"/>
                    <w:rPr>
                      <w:rFonts w:hint="eastAsia"/>
                      <w:lang w:val="en-US" w:eastAsia="zh-CN"/>
                    </w:rPr>
                  </w:pPr>
                  <w:r>
                    <w:rPr>
                      <w:rFonts w:hint="eastAsia"/>
                      <w:lang w:val="en-US" w:eastAsia="zh-CN"/>
                    </w:rPr>
                    <w:t>袋装</w:t>
                  </w:r>
                </w:p>
              </w:tc>
              <w:tc>
                <w:tcPr>
                  <w:tcW w:w="643" w:type="pct"/>
                  <w:noWrap w:val="0"/>
                  <w:vAlign w:val="center"/>
                </w:tcPr>
                <w:p w14:paraId="31D29C8E">
                  <w:pPr>
                    <w:bidi w:val="0"/>
                    <w:jc w:val="center"/>
                    <w:rPr>
                      <w:rFonts w:hint="eastAsia"/>
                      <w:lang w:val="en-US" w:eastAsia="zh-CN"/>
                    </w:rPr>
                  </w:pPr>
                  <w:r>
                    <w:rPr>
                      <w:rFonts w:hint="eastAsia"/>
                    </w:rPr>
                    <w:t>2</w:t>
                  </w:r>
                  <w:r>
                    <w:t>5kg/</w:t>
                  </w:r>
                  <w:r>
                    <w:rPr>
                      <w:rFonts w:hint="eastAsia"/>
                    </w:rPr>
                    <w:t>袋</w:t>
                  </w:r>
                </w:p>
              </w:tc>
              <w:tc>
                <w:tcPr>
                  <w:tcW w:w="472" w:type="pct"/>
                  <w:noWrap w:val="0"/>
                  <w:vAlign w:val="center"/>
                </w:tcPr>
                <w:p w14:paraId="0F33ACD9">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颗粒</w:t>
                  </w:r>
                </w:p>
              </w:tc>
              <w:tc>
                <w:tcPr>
                  <w:tcW w:w="435" w:type="pct"/>
                  <w:noWrap w:val="0"/>
                  <w:vAlign w:val="center"/>
                </w:tcPr>
                <w:p w14:paraId="3C29AF8A">
                  <w:pPr>
                    <w:widowControl/>
                    <w:jc w:val="center"/>
                    <w:textAlignment w:val="center"/>
                    <w:rPr>
                      <w:rFonts w:hint="eastAsia"/>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639" w:type="pct"/>
                  <w:noWrap w:val="0"/>
                  <w:vAlign w:val="center"/>
                </w:tcPr>
                <w:p w14:paraId="53FA172F">
                  <w:pPr>
                    <w:bidi w:val="0"/>
                    <w:jc w:val="center"/>
                    <w:rPr>
                      <w:rFonts w:hint="default"/>
                      <w:lang w:val="en-US" w:eastAsia="zh-CN"/>
                    </w:rPr>
                  </w:pPr>
                  <w:r>
                    <w:rPr>
                      <w:rFonts w:hint="eastAsia"/>
                      <w:lang w:val="en-US" w:eastAsia="zh-CN"/>
                    </w:rPr>
                    <w:t>外购</w:t>
                  </w:r>
                </w:p>
              </w:tc>
            </w:tr>
            <w:tr w14:paraId="023D84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15" w:type="pct"/>
                  <w:vMerge w:val="continue"/>
                  <w:noWrap w:val="0"/>
                  <w:vAlign w:val="center"/>
                </w:tcPr>
                <w:p w14:paraId="23C73A8C">
                  <w:pPr>
                    <w:widowControl/>
                    <w:jc w:val="center"/>
                    <w:textAlignment w:val="center"/>
                    <w:rPr>
                      <w:kern w:val="0"/>
                      <w:sz w:val="22"/>
                      <w:szCs w:val="22"/>
                      <w:lang w:bidi="ar"/>
                    </w:rPr>
                  </w:pPr>
                </w:p>
              </w:tc>
              <w:tc>
                <w:tcPr>
                  <w:tcW w:w="1213" w:type="pct"/>
                  <w:noWrap w:val="0"/>
                  <w:vAlign w:val="center"/>
                </w:tcPr>
                <w:p w14:paraId="5C820896">
                  <w:pPr>
                    <w:bidi w:val="0"/>
                    <w:jc w:val="center"/>
                    <w:rPr>
                      <w:rFonts w:hint="eastAsia"/>
                    </w:rPr>
                  </w:pPr>
                  <w:r>
                    <w:rPr>
                      <w:rFonts w:hint="eastAsia"/>
                    </w:rPr>
                    <w:t>塑料颗粒P</w:t>
                  </w:r>
                  <w:r>
                    <w:t>P</w:t>
                  </w:r>
                </w:p>
              </w:tc>
              <w:tc>
                <w:tcPr>
                  <w:tcW w:w="801" w:type="pct"/>
                  <w:noWrap w:val="0"/>
                  <w:vAlign w:val="center"/>
                </w:tcPr>
                <w:p w14:paraId="3B4148B7">
                  <w:pPr>
                    <w:bidi w:val="0"/>
                    <w:jc w:val="center"/>
                    <w:rPr>
                      <w:rFonts w:hint="default"/>
                      <w:lang w:val="en-US" w:eastAsia="zh-CN"/>
                    </w:rPr>
                  </w:pPr>
                  <w:r>
                    <w:rPr>
                      <w:rFonts w:hint="eastAsia"/>
                      <w:lang w:val="en-US" w:eastAsia="zh-CN"/>
                    </w:rPr>
                    <w:t>8</w:t>
                  </w:r>
                </w:p>
              </w:tc>
              <w:tc>
                <w:tcPr>
                  <w:tcW w:w="479" w:type="pct"/>
                  <w:noWrap w:val="0"/>
                  <w:vAlign w:val="center"/>
                </w:tcPr>
                <w:p w14:paraId="7B46C86D">
                  <w:pPr>
                    <w:bidi w:val="0"/>
                    <w:jc w:val="center"/>
                    <w:rPr>
                      <w:rFonts w:hint="eastAsia"/>
                      <w:lang w:val="en-US" w:eastAsia="zh-CN"/>
                    </w:rPr>
                  </w:pPr>
                  <w:r>
                    <w:rPr>
                      <w:rFonts w:hint="eastAsia"/>
                      <w:lang w:val="en-US" w:eastAsia="zh-CN"/>
                    </w:rPr>
                    <w:t>袋装</w:t>
                  </w:r>
                </w:p>
              </w:tc>
              <w:tc>
                <w:tcPr>
                  <w:tcW w:w="643" w:type="pct"/>
                  <w:noWrap w:val="0"/>
                  <w:vAlign w:val="center"/>
                </w:tcPr>
                <w:p w14:paraId="63745C2A">
                  <w:pPr>
                    <w:bidi w:val="0"/>
                    <w:jc w:val="center"/>
                    <w:rPr>
                      <w:rFonts w:hint="eastAsia"/>
                      <w:lang w:val="en-US" w:eastAsia="zh-CN"/>
                    </w:rPr>
                  </w:pPr>
                  <w:r>
                    <w:rPr>
                      <w:rFonts w:hint="eastAsia"/>
                    </w:rPr>
                    <w:t>2</w:t>
                  </w:r>
                  <w:r>
                    <w:t>5kg/</w:t>
                  </w:r>
                  <w:r>
                    <w:rPr>
                      <w:rFonts w:hint="eastAsia"/>
                    </w:rPr>
                    <w:t>袋</w:t>
                  </w:r>
                </w:p>
              </w:tc>
              <w:tc>
                <w:tcPr>
                  <w:tcW w:w="472" w:type="pct"/>
                  <w:noWrap w:val="0"/>
                  <w:vAlign w:val="center"/>
                </w:tcPr>
                <w:p w14:paraId="3C8FF1E9">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颗粒</w:t>
                  </w:r>
                </w:p>
              </w:tc>
              <w:tc>
                <w:tcPr>
                  <w:tcW w:w="435" w:type="pct"/>
                  <w:noWrap w:val="0"/>
                  <w:vAlign w:val="center"/>
                </w:tcPr>
                <w:p w14:paraId="08E8961F">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639" w:type="pct"/>
                  <w:noWrap w:val="0"/>
                  <w:vAlign w:val="center"/>
                </w:tcPr>
                <w:p w14:paraId="0A53F211">
                  <w:pPr>
                    <w:bidi w:val="0"/>
                    <w:jc w:val="center"/>
                    <w:rPr>
                      <w:rFonts w:hint="eastAsia"/>
                      <w:lang w:val="en-US" w:eastAsia="zh-CN"/>
                    </w:rPr>
                  </w:pPr>
                  <w:r>
                    <w:rPr>
                      <w:rFonts w:hint="eastAsia"/>
                      <w:lang w:val="en-US" w:eastAsia="zh-CN"/>
                    </w:rPr>
                    <w:t>外购</w:t>
                  </w:r>
                </w:p>
              </w:tc>
            </w:tr>
            <w:tr w14:paraId="7FECB0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15" w:type="pct"/>
                  <w:vMerge w:val="continue"/>
                  <w:noWrap w:val="0"/>
                  <w:vAlign w:val="center"/>
                </w:tcPr>
                <w:p w14:paraId="33E3ACD4">
                  <w:pPr>
                    <w:widowControl/>
                    <w:jc w:val="center"/>
                    <w:textAlignment w:val="center"/>
                    <w:rPr>
                      <w:kern w:val="0"/>
                      <w:sz w:val="22"/>
                      <w:szCs w:val="22"/>
                      <w:lang w:bidi="ar"/>
                    </w:rPr>
                  </w:pPr>
                </w:p>
              </w:tc>
              <w:tc>
                <w:tcPr>
                  <w:tcW w:w="1213" w:type="pct"/>
                  <w:noWrap w:val="0"/>
                  <w:vAlign w:val="center"/>
                </w:tcPr>
                <w:p w14:paraId="10A115E6">
                  <w:pPr>
                    <w:bidi w:val="0"/>
                    <w:jc w:val="center"/>
                    <w:rPr>
                      <w:rFonts w:hint="eastAsia"/>
                    </w:rPr>
                  </w:pPr>
                  <w:r>
                    <w:rPr>
                      <w:rFonts w:hint="eastAsia"/>
                    </w:rPr>
                    <w:t>塑料颗粒</w:t>
                  </w:r>
                  <w:r>
                    <w:t>PC</w:t>
                  </w:r>
                </w:p>
              </w:tc>
              <w:tc>
                <w:tcPr>
                  <w:tcW w:w="801" w:type="pct"/>
                  <w:noWrap w:val="0"/>
                  <w:vAlign w:val="center"/>
                </w:tcPr>
                <w:p w14:paraId="3FAD5595">
                  <w:pPr>
                    <w:bidi w:val="0"/>
                    <w:jc w:val="center"/>
                    <w:rPr>
                      <w:rFonts w:hint="default"/>
                      <w:lang w:val="en-US" w:eastAsia="zh-CN"/>
                    </w:rPr>
                  </w:pPr>
                  <w:r>
                    <w:rPr>
                      <w:rFonts w:hint="eastAsia"/>
                      <w:lang w:val="en-US" w:eastAsia="zh-CN"/>
                    </w:rPr>
                    <w:t>7</w:t>
                  </w:r>
                </w:p>
              </w:tc>
              <w:tc>
                <w:tcPr>
                  <w:tcW w:w="479" w:type="pct"/>
                  <w:noWrap w:val="0"/>
                  <w:vAlign w:val="center"/>
                </w:tcPr>
                <w:p w14:paraId="229F3AA5">
                  <w:pPr>
                    <w:bidi w:val="0"/>
                    <w:jc w:val="center"/>
                    <w:rPr>
                      <w:rFonts w:hint="eastAsia"/>
                      <w:lang w:val="en-US" w:eastAsia="zh-CN"/>
                    </w:rPr>
                  </w:pPr>
                  <w:r>
                    <w:rPr>
                      <w:rFonts w:hint="eastAsia"/>
                      <w:lang w:val="en-US" w:eastAsia="zh-CN"/>
                    </w:rPr>
                    <w:t>袋装</w:t>
                  </w:r>
                </w:p>
              </w:tc>
              <w:tc>
                <w:tcPr>
                  <w:tcW w:w="643" w:type="pct"/>
                  <w:noWrap w:val="0"/>
                  <w:vAlign w:val="center"/>
                </w:tcPr>
                <w:p w14:paraId="76A3C979">
                  <w:pPr>
                    <w:bidi w:val="0"/>
                    <w:jc w:val="center"/>
                    <w:rPr>
                      <w:rFonts w:hint="eastAsia"/>
                      <w:lang w:val="en-US" w:eastAsia="zh-CN"/>
                    </w:rPr>
                  </w:pPr>
                  <w:r>
                    <w:rPr>
                      <w:rFonts w:hint="eastAsia"/>
                    </w:rPr>
                    <w:t>2</w:t>
                  </w:r>
                  <w:r>
                    <w:t>5kg/</w:t>
                  </w:r>
                  <w:r>
                    <w:rPr>
                      <w:rFonts w:hint="eastAsia"/>
                    </w:rPr>
                    <w:t>袋</w:t>
                  </w:r>
                </w:p>
              </w:tc>
              <w:tc>
                <w:tcPr>
                  <w:tcW w:w="472" w:type="pct"/>
                  <w:noWrap w:val="0"/>
                  <w:vAlign w:val="center"/>
                </w:tcPr>
                <w:p w14:paraId="1E88B128">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颗粒</w:t>
                  </w:r>
                </w:p>
              </w:tc>
              <w:tc>
                <w:tcPr>
                  <w:tcW w:w="435" w:type="pct"/>
                  <w:noWrap w:val="0"/>
                  <w:vAlign w:val="center"/>
                </w:tcPr>
                <w:p w14:paraId="604085F5">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639" w:type="pct"/>
                  <w:noWrap w:val="0"/>
                  <w:vAlign w:val="center"/>
                </w:tcPr>
                <w:p w14:paraId="5A9971EE">
                  <w:pPr>
                    <w:bidi w:val="0"/>
                    <w:jc w:val="center"/>
                    <w:rPr>
                      <w:rFonts w:hint="eastAsia"/>
                      <w:lang w:val="en-US" w:eastAsia="zh-CN"/>
                    </w:rPr>
                  </w:pPr>
                  <w:r>
                    <w:rPr>
                      <w:rFonts w:hint="eastAsia"/>
                      <w:lang w:val="en-US" w:eastAsia="zh-CN"/>
                    </w:rPr>
                    <w:t>外购</w:t>
                  </w:r>
                </w:p>
              </w:tc>
            </w:tr>
            <w:tr w14:paraId="2AB498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15" w:type="pct"/>
                  <w:vMerge w:val="restart"/>
                  <w:noWrap w:val="0"/>
                  <w:vAlign w:val="center"/>
                </w:tcPr>
                <w:p w14:paraId="1744784A">
                  <w:pPr>
                    <w:widowControl/>
                    <w:jc w:val="center"/>
                    <w:textAlignment w:val="center"/>
                    <w:rPr>
                      <w:rFonts w:hint="eastAsia" w:eastAsia="宋体"/>
                      <w:kern w:val="0"/>
                      <w:sz w:val="22"/>
                      <w:szCs w:val="22"/>
                      <w:lang w:val="en-US" w:eastAsia="zh-CN" w:bidi="ar"/>
                    </w:rPr>
                  </w:pPr>
                  <w:r>
                    <w:rPr>
                      <w:rFonts w:hint="eastAsia"/>
                      <w:kern w:val="0"/>
                      <w:sz w:val="22"/>
                      <w:szCs w:val="22"/>
                      <w:lang w:val="en-US" w:eastAsia="zh-CN" w:bidi="ar"/>
                    </w:rPr>
                    <w:t>能源</w:t>
                  </w:r>
                </w:p>
              </w:tc>
              <w:tc>
                <w:tcPr>
                  <w:tcW w:w="1213" w:type="pct"/>
                  <w:noWrap w:val="0"/>
                  <w:vAlign w:val="center"/>
                </w:tcPr>
                <w:p w14:paraId="749DC5BA">
                  <w:pPr>
                    <w:bidi w:val="0"/>
                    <w:jc w:val="center"/>
                    <w:rPr>
                      <w:rFonts w:hint="default" w:eastAsia="宋体"/>
                      <w:lang w:val="en-US" w:eastAsia="zh-CN"/>
                    </w:rPr>
                  </w:pPr>
                  <w:r>
                    <w:rPr>
                      <w:rFonts w:hint="eastAsia"/>
                      <w:lang w:val="en-US" w:eastAsia="zh-CN"/>
                    </w:rPr>
                    <w:t>水</w:t>
                  </w:r>
                </w:p>
              </w:tc>
              <w:tc>
                <w:tcPr>
                  <w:tcW w:w="801" w:type="pct"/>
                  <w:noWrap w:val="0"/>
                  <w:vAlign w:val="center"/>
                </w:tcPr>
                <w:p w14:paraId="1FB812F2">
                  <w:pPr>
                    <w:bidi w:val="0"/>
                    <w:jc w:val="center"/>
                    <w:rPr>
                      <w:rFonts w:hint="eastAsia"/>
                      <w:lang w:val="en-US" w:eastAsia="zh-CN"/>
                    </w:rPr>
                  </w:pPr>
                  <w:r>
                    <w:rPr>
                      <w:rFonts w:hint="eastAsia"/>
                      <w:color w:val="auto"/>
                      <w:lang w:val="en-US" w:eastAsia="zh-CN"/>
                    </w:rPr>
                    <w:t>863.12</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/a</w:t>
                  </w:r>
                </w:p>
              </w:tc>
              <w:tc>
                <w:tcPr>
                  <w:tcW w:w="479" w:type="pct"/>
                  <w:noWrap w:val="0"/>
                  <w:vAlign w:val="center"/>
                </w:tcPr>
                <w:p w14:paraId="49EC2C17">
                  <w:pPr>
                    <w:bidi w:val="0"/>
                    <w:jc w:val="center"/>
                    <w:rPr>
                      <w:rFonts w:hint="default"/>
                      <w:lang w:val="en-US" w:eastAsia="zh-CN"/>
                    </w:rPr>
                  </w:pPr>
                  <w:r>
                    <w:rPr>
                      <w:rFonts w:hint="eastAsia"/>
                      <w:lang w:val="en-US" w:eastAsia="zh-CN"/>
                    </w:rPr>
                    <w:t>/</w:t>
                  </w:r>
                </w:p>
              </w:tc>
              <w:tc>
                <w:tcPr>
                  <w:tcW w:w="643" w:type="pct"/>
                  <w:noWrap w:val="0"/>
                  <w:vAlign w:val="center"/>
                </w:tcPr>
                <w:p w14:paraId="2EA90BBB">
                  <w:pPr>
                    <w:bidi w:val="0"/>
                    <w:jc w:val="center"/>
                    <w:rPr>
                      <w:rFonts w:hint="eastAsia" w:eastAsia="宋体"/>
                      <w:lang w:val="en-US" w:eastAsia="zh-CN"/>
                    </w:rPr>
                  </w:pPr>
                  <w:r>
                    <w:rPr>
                      <w:rFonts w:hint="eastAsia"/>
                      <w:lang w:val="en-US" w:eastAsia="zh-CN"/>
                    </w:rPr>
                    <w:t>/</w:t>
                  </w:r>
                </w:p>
              </w:tc>
              <w:tc>
                <w:tcPr>
                  <w:tcW w:w="472" w:type="pct"/>
                  <w:noWrap w:val="0"/>
                  <w:vAlign w:val="center"/>
                </w:tcPr>
                <w:p w14:paraId="0C63AECD">
                  <w:pPr>
                    <w:widowControl/>
                    <w:jc w:val="center"/>
                    <w:textAlignment w:val="center"/>
                    <w:rPr>
                      <w:rFonts w:hint="default"/>
                      <w:kern w:val="0"/>
                      <w:sz w:val="22"/>
                      <w:szCs w:val="22"/>
                      <w:lang w:val="en-US" w:eastAsia="zh-CN" w:bidi="ar"/>
                    </w:rPr>
                  </w:pPr>
                  <w:r>
                    <w:rPr>
                      <w:rFonts w:hint="eastAsia"/>
                      <w:kern w:val="0"/>
                      <w:sz w:val="22"/>
                      <w:szCs w:val="22"/>
                      <w:lang w:val="en-US" w:eastAsia="zh-CN" w:bidi="ar"/>
                    </w:rPr>
                    <w:t>/</w:t>
                  </w:r>
                </w:p>
              </w:tc>
              <w:tc>
                <w:tcPr>
                  <w:tcW w:w="435" w:type="pct"/>
                  <w:noWrap w:val="0"/>
                  <w:vAlign w:val="center"/>
                </w:tcPr>
                <w:p w14:paraId="0D9E15CA">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39" w:type="pct"/>
                  <w:noWrap w:val="0"/>
                  <w:vAlign w:val="center"/>
                </w:tcPr>
                <w:p w14:paraId="08A58AF0">
                  <w:pPr>
                    <w:bidi w:val="0"/>
                    <w:jc w:val="center"/>
                    <w:rPr>
                      <w:rFonts w:hint="default"/>
                      <w:lang w:val="en-US" w:eastAsia="zh-CN"/>
                    </w:rPr>
                  </w:pPr>
                  <w:r>
                    <w:rPr>
                      <w:rFonts w:hint="eastAsia"/>
                      <w:lang w:val="en-US" w:eastAsia="zh-CN"/>
                    </w:rPr>
                    <w:t>园区供水</w:t>
                  </w:r>
                </w:p>
              </w:tc>
            </w:tr>
            <w:tr w14:paraId="19F239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15" w:type="pct"/>
                  <w:vMerge w:val="continue"/>
                  <w:noWrap w:val="0"/>
                  <w:vAlign w:val="center"/>
                </w:tcPr>
                <w:p w14:paraId="26C86D1D">
                  <w:pPr>
                    <w:widowControl/>
                    <w:jc w:val="center"/>
                    <w:textAlignment w:val="center"/>
                    <w:rPr>
                      <w:kern w:val="0"/>
                      <w:sz w:val="22"/>
                      <w:szCs w:val="22"/>
                      <w:lang w:bidi="ar"/>
                    </w:rPr>
                  </w:pPr>
                </w:p>
              </w:tc>
              <w:tc>
                <w:tcPr>
                  <w:tcW w:w="1213" w:type="pct"/>
                  <w:noWrap w:val="0"/>
                  <w:vAlign w:val="center"/>
                </w:tcPr>
                <w:p w14:paraId="0F25A178">
                  <w:pPr>
                    <w:bidi w:val="0"/>
                    <w:jc w:val="center"/>
                    <w:rPr>
                      <w:rFonts w:hint="eastAsia" w:eastAsia="宋体"/>
                      <w:lang w:val="en-US" w:eastAsia="zh-CN"/>
                    </w:rPr>
                  </w:pPr>
                  <w:r>
                    <w:rPr>
                      <w:rFonts w:hint="eastAsia"/>
                      <w:lang w:val="en-US" w:eastAsia="zh-CN"/>
                    </w:rPr>
                    <w:t>电</w:t>
                  </w:r>
                </w:p>
              </w:tc>
              <w:tc>
                <w:tcPr>
                  <w:tcW w:w="801" w:type="pct"/>
                  <w:noWrap w:val="0"/>
                  <w:vAlign w:val="center"/>
                </w:tcPr>
                <w:p w14:paraId="6C808720">
                  <w:pPr>
                    <w:bidi w:val="0"/>
                    <w:jc w:val="center"/>
                    <w:rPr>
                      <w:rFonts w:hint="eastAsia"/>
                      <w:lang w:val="en-US" w:eastAsia="zh-CN"/>
                    </w:rPr>
                  </w:pPr>
                  <w:r>
                    <w:rPr>
                      <w:rFonts w:hint="eastAsia" w:ascii="Times New Roman" w:hAnsi="Times New Roman" w:eastAsia="宋体" w:cs="Times New Roman"/>
                      <w:color w:val="auto"/>
                      <w:sz w:val="21"/>
                      <w:szCs w:val="21"/>
                      <w:lang w:val="en-US" w:eastAsia="zh-CN"/>
                    </w:rPr>
                    <w:t>1552</w:t>
                  </w:r>
                  <w:r>
                    <w:rPr>
                      <w:rFonts w:hint="default" w:ascii="Times New Roman" w:hAnsi="Times New Roman" w:eastAsia="宋体" w:cs="Times New Roman"/>
                      <w:color w:val="auto"/>
                      <w:sz w:val="21"/>
                      <w:szCs w:val="21"/>
                      <w:lang w:eastAsia="zh-CN"/>
                    </w:rPr>
                    <w:t>kWh/a</w:t>
                  </w:r>
                </w:p>
              </w:tc>
              <w:tc>
                <w:tcPr>
                  <w:tcW w:w="479" w:type="pct"/>
                  <w:noWrap w:val="0"/>
                  <w:vAlign w:val="center"/>
                </w:tcPr>
                <w:p w14:paraId="3102E17D">
                  <w:pPr>
                    <w:bidi w:val="0"/>
                    <w:jc w:val="center"/>
                    <w:rPr>
                      <w:rFonts w:hint="default"/>
                      <w:lang w:val="en-US" w:eastAsia="zh-CN"/>
                    </w:rPr>
                  </w:pPr>
                  <w:r>
                    <w:rPr>
                      <w:rFonts w:hint="eastAsia"/>
                      <w:lang w:val="en-US" w:eastAsia="zh-CN"/>
                    </w:rPr>
                    <w:t>/</w:t>
                  </w:r>
                </w:p>
              </w:tc>
              <w:tc>
                <w:tcPr>
                  <w:tcW w:w="643" w:type="pct"/>
                  <w:noWrap w:val="0"/>
                  <w:vAlign w:val="center"/>
                </w:tcPr>
                <w:p w14:paraId="4A0FF79D">
                  <w:pPr>
                    <w:bidi w:val="0"/>
                    <w:jc w:val="center"/>
                    <w:rPr>
                      <w:rFonts w:hint="eastAsia" w:eastAsia="宋体"/>
                      <w:lang w:val="en-US" w:eastAsia="zh-CN"/>
                    </w:rPr>
                  </w:pPr>
                  <w:r>
                    <w:rPr>
                      <w:rFonts w:hint="eastAsia"/>
                      <w:lang w:val="en-US" w:eastAsia="zh-CN"/>
                    </w:rPr>
                    <w:t>/</w:t>
                  </w:r>
                </w:p>
              </w:tc>
              <w:tc>
                <w:tcPr>
                  <w:tcW w:w="472" w:type="pct"/>
                  <w:noWrap w:val="0"/>
                  <w:vAlign w:val="center"/>
                </w:tcPr>
                <w:p w14:paraId="0FEDBF87">
                  <w:pPr>
                    <w:widowControl/>
                    <w:jc w:val="center"/>
                    <w:textAlignment w:val="center"/>
                    <w:rPr>
                      <w:rFonts w:hint="default"/>
                      <w:kern w:val="0"/>
                      <w:sz w:val="22"/>
                      <w:szCs w:val="22"/>
                      <w:lang w:val="en-US" w:eastAsia="zh-CN" w:bidi="ar"/>
                    </w:rPr>
                  </w:pPr>
                  <w:r>
                    <w:rPr>
                      <w:rFonts w:hint="eastAsia"/>
                      <w:kern w:val="0"/>
                      <w:sz w:val="22"/>
                      <w:szCs w:val="22"/>
                      <w:lang w:val="en-US" w:eastAsia="zh-CN" w:bidi="ar"/>
                    </w:rPr>
                    <w:t>/</w:t>
                  </w:r>
                </w:p>
              </w:tc>
              <w:tc>
                <w:tcPr>
                  <w:tcW w:w="435" w:type="pct"/>
                  <w:noWrap w:val="0"/>
                  <w:vAlign w:val="center"/>
                </w:tcPr>
                <w:p w14:paraId="108A2A77">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39" w:type="pct"/>
                  <w:noWrap w:val="0"/>
                  <w:vAlign w:val="center"/>
                </w:tcPr>
                <w:p w14:paraId="34654C82">
                  <w:pPr>
                    <w:bidi w:val="0"/>
                    <w:jc w:val="center"/>
                    <w:rPr>
                      <w:rFonts w:hint="eastAsia"/>
                      <w:lang w:val="en-US" w:eastAsia="zh-CN"/>
                    </w:rPr>
                  </w:pPr>
                  <w:r>
                    <w:rPr>
                      <w:rFonts w:hint="eastAsia"/>
                      <w:lang w:val="en-US" w:eastAsia="zh-CN"/>
                    </w:rPr>
                    <w:t>园区电网</w:t>
                  </w:r>
                </w:p>
              </w:tc>
            </w:tr>
          </w:tbl>
          <w:p w14:paraId="5361B42C">
            <w:pPr>
              <w:pStyle w:val="69"/>
              <w:ind w:firstLine="482"/>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备注：本项目所使用的原料均为全新料，不使用回收塑料从事生产。</w:t>
            </w:r>
          </w:p>
          <w:p w14:paraId="0505223F">
            <w:pPr>
              <w:bidi w:val="0"/>
              <w:spacing w:line="360" w:lineRule="auto"/>
              <w:ind w:firstLine="422" w:firstLineChars="200"/>
              <w:rPr>
                <w:rFonts w:hint="eastAsia" w:ascii="Times New Roman" w:hAnsi="Times New Roman" w:eastAsia="宋体" w:cs="Times New Roman"/>
                <w:b/>
                <w:bCs/>
                <w:kern w:val="2"/>
                <w:szCs w:val="24"/>
                <w:lang w:val="en-US" w:eastAsia="zh-CN" w:bidi="ar-SA"/>
              </w:rPr>
            </w:pPr>
            <w:r>
              <w:rPr>
                <w:rFonts w:hint="eastAsia"/>
                <w:b/>
                <w:bCs/>
                <w:lang w:val="en-US" w:eastAsia="zh-CN"/>
              </w:rPr>
              <w:t>2、主要原辅材料性质：</w:t>
            </w:r>
          </w:p>
          <w:p w14:paraId="6D7723D8">
            <w:pPr>
              <w:wordWrap/>
              <w:autoSpaceDE w:val="0"/>
              <w:autoSpaceDN w:val="0"/>
              <w:adjustRightInd/>
              <w:snapToGrid/>
              <w:spacing w:line="360" w:lineRule="auto"/>
              <w:ind w:firstLine="420" w:firstLineChars="200"/>
              <w:outlineLvl w:val="9"/>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rPr>
              <w:t>本项目使用的涂料的化学品安全技术说明书及相关资料，本项目主要原辅材料理化性质及组分见下表</w:t>
            </w:r>
            <w:r>
              <w:rPr>
                <w:rFonts w:hint="eastAsia"/>
                <w:b w:val="0"/>
                <w:bCs/>
                <w:color w:val="auto"/>
                <w:sz w:val="21"/>
                <w:szCs w:val="21"/>
                <w:lang w:eastAsia="zh-CN"/>
              </w:rPr>
              <w:t>：</w:t>
            </w:r>
          </w:p>
          <w:p w14:paraId="1A992532">
            <w:pPr>
              <w:wordWrap/>
              <w:autoSpaceDE w:val="0"/>
              <w:autoSpaceDN w:val="0"/>
              <w:adjustRightInd/>
              <w:snapToGrid/>
              <w:spacing w:line="240" w:lineRule="auto"/>
              <w:ind w:firstLine="422" w:firstLineChars="200"/>
              <w:jc w:val="center"/>
              <w:outlineLvl w:val="9"/>
              <w:rPr>
                <w:rFonts w:ascii="Times New Roman" w:hAnsi="Times New Roman" w:eastAsia="宋体"/>
                <w:b/>
                <w:bCs/>
                <w:color w:val="auto"/>
                <w:sz w:val="21"/>
                <w:szCs w:val="21"/>
              </w:rPr>
            </w:pPr>
            <w:r>
              <w:rPr>
                <w:rFonts w:hint="eastAsia" w:ascii="Times New Roman" w:hAnsi="Times New Roman" w:eastAsia="宋体"/>
                <w:b/>
                <w:bCs/>
                <w:color w:val="auto"/>
                <w:sz w:val="21"/>
                <w:szCs w:val="21"/>
              </w:rPr>
              <w:t>表2-</w:t>
            </w:r>
            <w:r>
              <w:rPr>
                <w:rFonts w:hint="eastAsia" w:ascii="Times New Roman" w:hAnsi="Times New Roman" w:eastAsia="宋体"/>
                <w:b/>
                <w:bCs/>
                <w:color w:val="auto"/>
                <w:sz w:val="21"/>
                <w:szCs w:val="21"/>
                <w:lang w:val="en-US" w:eastAsia="zh-CN"/>
              </w:rPr>
              <w:t>4</w:t>
            </w:r>
            <w:r>
              <w:rPr>
                <w:rFonts w:hint="eastAsia" w:ascii="Times New Roman" w:hAnsi="Times New Roman" w:eastAsia="宋体"/>
                <w:b/>
                <w:bCs/>
                <w:color w:val="auto"/>
                <w:sz w:val="21"/>
                <w:szCs w:val="21"/>
              </w:rPr>
              <w:t>主要原辅材料组分及理化性质表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672"/>
              <w:gridCol w:w="3587"/>
              <w:gridCol w:w="3425"/>
            </w:tblGrid>
            <w:tr w14:paraId="2B807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08DDE3F">
                  <w:pPr>
                    <w:autoSpaceDE w:val="0"/>
                    <w:autoSpaceDN w:val="0"/>
                    <w:adjustRightInd w:val="0"/>
                    <w:snapToGrid w:val="0"/>
                    <w:jc w:val="center"/>
                    <w:rPr>
                      <w:bCs/>
                      <w:szCs w:val="21"/>
                    </w:rPr>
                  </w:pPr>
                  <w:r>
                    <w:rPr>
                      <w:bCs/>
                      <w:szCs w:val="21"/>
                    </w:rPr>
                    <w:t>序号</w:t>
                  </w:r>
                </w:p>
              </w:tc>
              <w:tc>
                <w:tcPr>
                  <w:tcW w:w="672" w:type="dxa"/>
                  <w:vAlign w:val="center"/>
                </w:tcPr>
                <w:p w14:paraId="4642DA85">
                  <w:pPr>
                    <w:autoSpaceDE w:val="0"/>
                    <w:autoSpaceDN w:val="0"/>
                    <w:adjustRightInd w:val="0"/>
                    <w:snapToGrid w:val="0"/>
                    <w:jc w:val="center"/>
                    <w:rPr>
                      <w:bCs/>
                      <w:szCs w:val="21"/>
                    </w:rPr>
                  </w:pPr>
                  <w:r>
                    <w:rPr>
                      <w:bCs/>
                      <w:szCs w:val="21"/>
                    </w:rPr>
                    <w:t>名称</w:t>
                  </w:r>
                </w:p>
              </w:tc>
              <w:tc>
                <w:tcPr>
                  <w:tcW w:w="3588" w:type="dxa"/>
                  <w:vAlign w:val="center"/>
                </w:tcPr>
                <w:p w14:paraId="0DCD9B3A">
                  <w:pPr>
                    <w:autoSpaceDE w:val="0"/>
                    <w:autoSpaceDN w:val="0"/>
                    <w:adjustRightInd w:val="0"/>
                    <w:snapToGrid w:val="0"/>
                    <w:jc w:val="center"/>
                    <w:rPr>
                      <w:bCs/>
                      <w:szCs w:val="21"/>
                    </w:rPr>
                  </w:pPr>
                  <w:r>
                    <w:rPr>
                      <w:bCs/>
                      <w:szCs w:val="21"/>
                    </w:rPr>
                    <w:t>组分</w:t>
                  </w:r>
                </w:p>
              </w:tc>
              <w:tc>
                <w:tcPr>
                  <w:tcW w:w="3426" w:type="dxa"/>
                  <w:vAlign w:val="center"/>
                </w:tcPr>
                <w:p w14:paraId="5E474D89">
                  <w:pPr>
                    <w:autoSpaceDE w:val="0"/>
                    <w:autoSpaceDN w:val="0"/>
                    <w:adjustRightInd w:val="0"/>
                    <w:snapToGrid w:val="0"/>
                    <w:jc w:val="center"/>
                    <w:rPr>
                      <w:bCs/>
                      <w:szCs w:val="21"/>
                    </w:rPr>
                  </w:pPr>
                  <w:r>
                    <w:rPr>
                      <w:bCs/>
                      <w:szCs w:val="21"/>
                    </w:rPr>
                    <w:t>理化性质</w:t>
                  </w:r>
                </w:p>
              </w:tc>
            </w:tr>
            <w:tr w14:paraId="7B6BC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1BC546B">
                  <w:pPr>
                    <w:autoSpaceDE w:val="0"/>
                    <w:autoSpaceDN w:val="0"/>
                    <w:adjustRightInd w:val="0"/>
                    <w:snapToGrid w:val="0"/>
                    <w:jc w:val="center"/>
                    <w:rPr>
                      <w:bCs/>
                      <w:szCs w:val="21"/>
                    </w:rPr>
                  </w:pPr>
                  <w:r>
                    <w:rPr>
                      <w:rFonts w:hint="eastAsia"/>
                      <w:bCs/>
                      <w:szCs w:val="21"/>
                    </w:rPr>
                    <w:t>1</w:t>
                  </w:r>
                </w:p>
              </w:tc>
              <w:tc>
                <w:tcPr>
                  <w:tcW w:w="672" w:type="dxa"/>
                  <w:vAlign w:val="center"/>
                </w:tcPr>
                <w:p w14:paraId="35C5FE1D">
                  <w:pPr>
                    <w:autoSpaceDE w:val="0"/>
                    <w:autoSpaceDN w:val="0"/>
                    <w:adjustRightInd w:val="0"/>
                    <w:snapToGrid w:val="0"/>
                    <w:jc w:val="center"/>
                    <w:rPr>
                      <w:bCs/>
                      <w:szCs w:val="21"/>
                    </w:rPr>
                  </w:pPr>
                  <w:r>
                    <w:rPr>
                      <w:rFonts w:hint="default" w:ascii="Times New Roman" w:hAnsi="Times New Roman" w:cs="Times New Roman"/>
                      <w:b w:val="0"/>
                      <w:bCs w:val="0"/>
                      <w:color w:val="auto"/>
                      <w:sz w:val="21"/>
                      <w:szCs w:val="21"/>
                      <w:highlight w:val="none"/>
                    </w:rPr>
                    <w:t>PP塑料</w:t>
                  </w:r>
                </w:p>
              </w:tc>
              <w:tc>
                <w:tcPr>
                  <w:tcW w:w="3588" w:type="dxa"/>
                  <w:vAlign w:val="center"/>
                </w:tcPr>
                <w:p w14:paraId="6445B4F1">
                  <w:pPr>
                    <w:autoSpaceDE w:val="0"/>
                    <w:autoSpaceDN w:val="0"/>
                    <w:adjustRightInd w:val="0"/>
                    <w:snapToGrid w:val="0"/>
                    <w:jc w:val="center"/>
                    <w:rPr>
                      <w:bCs/>
                      <w:szCs w:val="21"/>
                    </w:rPr>
                  </w:pPr>
                  <w:r>
                    <w:rPr>
                      <w:rFonts w:hint="eastAsia" w:ascii="宋体" w:hAnsi="宋体" w:eastAsia="宋体" w:cs="宋体"/>
                      <w:color w:val="000000"/>
                      <w:kern w:val="0"/>
                      <w:sz w:val="21"/>
                      <w:szCs w:val="21"/>
                      <w:lang w:val="en-US" w:eastAsia="zh-CN" w:bidi="ar"/>
                    </w:rPr>
                    <w:t>聚丙烯塑料</w:t>
                  </w:r>
                </w:p>
              </w:tc>
              <w:tc>
                <w:tcPr>
                  <w:tcW w:w="3426" w:type="dxa"/>
                  <w:vAlign w:val="center"/>
                </w:tcPr>
                <w:p w14:paraId="3A3CB178">
                  <w:pPr>
                    <w:autoSpaceDE w:val="0"/>
                    <w:autoSpaceDN w:val="0"/>
                    <w:adjustRightInd w:val="0"/>
                    <w:snapToGrid w:val="0"/>
                    <w:rPr>
                      <w:bCs/>
                      <w:szCs w:val="21"/>
                    </w:rPr>
                  </w:pPr>
                  <w:r>
                    <w:rPr>
                      <w:rFonts w:hint="eastAsia" w:ascii="宋体" w:hAnsi="宋体" w:eastAsia="宋体" w:cs="宋体"/>
                      <w:color w:val="000000"/>
                      <w:kern w:val="0"/>
                      <w:sz w:val="21"/>
                      <w:szCs w:val="21"/>
                      <w:lang w:val="en-US" w:eastAsia="zh-CN" w:bidi="ar"/>
                    </w:rPr>
                    <w:t>系白色蜡状材料，外观透明而轻。密度为</w:t>
                  </w:r>
                  <w:r>
                    <w:rPr>
                      <w:rFonts w:hint="default" w:ascii="Times New Roman" w:hAnsi="Times New Roman" w:eastAsia="宋体" w:cs="Times New Roman"/>
                      <w:color w:val="000000"/>
                      <w:kern w:val="0"/>
                      <w:sz w:val="21"/>
                      <w:szCs w:val="21"/>
                      <w:lang w:val="en-US" w:eastAsia="zh-CN" w:bidi="ar"/>
                    </w:rPr>
                    <w:t>0.89</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0.91g/cm</w:t>
                  </w:r>
                  <w:r>
                    <w:rPr>
                      <w:rFonts w:hint="default" w:ascii="Times New Roman" w:hAnsi="Times New Roman" w:eastAsia="宋体" w:cs="Times New Roman"/>
                      <w:color w:val="000000"/>
                      <w:kern w:val="0"/>
                      <w:sz w:val="21"/>
                      <w:szCs w:val="21"/>
                      <w:vertAlign w:val="superscript"/>
                      <w:lang w:val="en-US" w:eastAsia="zh-CN" w:bidi="ar"/>
                    </w:rPr>
                    <w:t>3</w:t>
                  </w:r>
                  <w:r>
                    <w:rPr>
                      <w:rFonts w:hint="eastAsia" w:ascii="宋体" w:hAnsi="宋体" w:eastAsia="宋体" w:cs="宋体"/>
                      <w:color w:val="000000"/>
                      <w:kern w:val="0"/>
                      <w:sz w:val="21"/>
                      <w:szCs w:val="21"/>
                      <w:lang w:val="en-US" w:eastAsia="zh-CN" w:bidi="ar"/>
                    </w:rPr>
                    <w:t>，易燃，熔点</w:t>
                  </w:r>
                  <w:r>
                    <w:rPr>
                      <w:rFonts w:hint="default" w:ascii="Times New Roman" w:hAnsi="Times New Roman" w:eastAsia="宋体" w:cs="Times New Roman"/>
                      <w:color w:val="000000"/>
                      <w:kern w:val="0"/>
                      <w:sz w:val="21"/>
                      <w:szCs w:val="21"/>
                      <w:lang w:val="en-US" w:eastAsia="zh-CN" w:bidi="ar"/>
                    </w:rPr>
                    <w:t>155~165</w:t>
                  </w:r>
                  <w:r>
                    <w:rPr>
                      <w:rFonts w:hint="eastAsia" w:ascii="宋体" w:hAnsi="宋体" w:eastAsia="宋体" w:cs="宋体"/>
                      <w:color w:val="000000"/>
                      <w:kern w:val="0"/>
                      <w:sz w:val="21"/>
                      <w:szCs w:val="21"/>
                      <w:lang w:val="en-US" w:eastAsia="zh-CN" w:bidi="ar"/>
                    </w:rPr>
                    <w:t>℃，分解温度在</w:t>
                  </w:r>
                  <w:r>
                    <w:rPr>
                      <w:rFonts w:hint="default" w:ascii="Times New Roman" w:hAnsi="Times New Roman" w:eastAsia="宋体" w:cs="Times New Roman"/>
                      <w:color w:val="000000"/>
                      <w:kern w:val="0"/>
                      <w:sz w:val="21"/>
                      <w:szCs w:val="21"/>
                      <w:lang w:val="en-US" w:eastAsia="zh-CN" w:bidi="ar"/>
                    </w:rPr>
                    <w:t>300</w:t>
                  </w:r>
                  <w:r>
                    <w:rPr>
                      <w:rFonts w:hint="eastAsia" w:ascii="宋体" w:hAnsi="宋体" w:eastAsia="宋体" w:cs="宋体"/>
                      <w:color w:val="000000"/>
                      <w:kern w:val="0"/>
                      <w:sz w:val="21"/>
                      <w:szCs w:val="21"/>
                      <w:lang w:val="en-US" w:eastAsia="zh-CN" w:bidi="ar"/>
                    </w:rPr>
                    <w:t>℃左右。在</w:t>
                  </w:r>
                  <w:r>
                    <w:rPr>
                      <w:rFonts w:hint="default" w:ascii="Times New Roman" w:hAnsi="Times New Roman" w:eastAsia="宋体" w:cs="Times New Roman"/>
                      <w:color w:val="000000"/>
                      <w:kern w:val="0"/>
                      <w:sz w:val="21"/>
                      <w:szCs w:val="21"/>
                      <w:lang w:val="en-US" w:eastAsia="zh-CN" w:bidi="ar"/>
                    </w:rPr>
                    <w:t>80</w:t>
                  </w:r>
                  <w:r>
                    <w:rPr>
                      <w:rFonts w:hint="eastAsia" w:ascii="宋体" w:hAnsi="宋体" w:eastAsia="宋体" w:cs="宋体"/>
                      <w:color w:val="000000"/>
                      <w:kern w:val="0"/>
                      <w:sz w:val="21"/>
                      <w:szCs w:val="21"/>
                      <w:lang w:val="en-US" w:eastAsia="zh-CN" w:bidi="ar"/>
                    </w:rPr>
                    <w:t>℃以下能耐酸、碱、盐液及多种有机溶剂的腐蚀，能在高温和氧化作用下分解。</w:t>
                  </w:r>
                </w:p>
              </w:tc>
            </w:tr>
            <w:tr w14:paraId="1E1B3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5F54982">
                  <w:pPr>
                    <w:autoSpaceDE w:val="0"/>
                    <w:autoSpaceDN w:val="0"/>
                    <w:adjustRightInd w:val="0"/>
                    <w:snapToGrid w:val="0"/>
                    <w:jc w:val="center"/>
                    <w:rPr>
                      <w:rFonts w:hint="eastAsia" w:eastAsia="宋体"/>
                      <w:bCs/>
                      <w:szCs w:val="21"/>
                      <w:lang w:val="en-US" w:eastAsia="zh-CN"/>
                    </w:rPr>
                  </w:pPr>
                  <w:r>
                    <w:rPr>
                      <w:rFonts w:hint="eastAsia"/>
                      <w:bCs/>
                      <w:szCs w:val="21"/>
                      <w:lang w:val="en-US" w:eastAsia="zh-CN"/>
                    </w:rPr>
                    <w:t>2</w:t>
                  </w:r>
                </w:p>
              </w:tc>
              <w:tc>
                <w:tcPr>
                  <w:tcW w:w="672" w:type="dxa"/>
                  <w:vAlign w:val="center"/>
                </w:tcPr>
                <w:p w14:paraId="38DBA277">
                  <w:pPr>
                    <w:autoSpaceDE w:val="0"/>
                    <w:autoSpaceDN w:val="0"/>
                    <w:adjustRightInd w:val="0"/>
                    <w:snapToGrid w:val="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P</w:t>
                  </w:r>
                  <w:r>
                    <w:rPr>
                      <w:rFonts w:hint="eastAsia" w:cs="Times New Roman"/>
                      <w:b w:val="0"/>
                      <w:bCs w:val="0"/>
                      <w:color w:val="auto"/>
                      <w:sz w:val="21"/>
                      <w:szCs w:val="21"/>
                      <w:highlight w:val="none"/>
                      <w:lang w:val="en-US" w:eastAsia="zh-CN"/>
                    </w:rPr>
                    <w:t>E</w:t>
                  </w:r>
                  <w:r>
                    <w:rPr>
                      <w:rFonts w:hint="default" w:ascii="Times New Roman" w:hAnsi="Times New Roman" w:cs="Times New Roman"/>
                      <w:b w:val="0"/>
                      <w:bCs w:val="0"/>
                      <w:color w:val="auto"/>
                      <w:sz w:val="21"/>
                      <w:szCs w:val="21"/>
                      <w:highlight w:val="none"/>
                    </w:rPr>
                    <w:t>塑料</w:t>
                  </w:r>
                </w:p>
              </w:tc>
              <w:tc>
                <w:tcPr>
                  <w:tcW w:w="3588" w:type="dxa"/>
                  <w:vAlign w:val="center"/>
                </w:tcPr>
                <w:p w14:paraId="1D4CFB5B">
                  <w:pPr>
                    <w:autoSpaceDE w:val="0"/>
                    <w:autoSpaceDN w:val="0"/>
                    <w:adjustRightInd w:val="0"/>
                    <w:snapToGrid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聚乙烯塑料</w:t>
                  </w:r>
                </w:p>
              </w:tc>
              <w:tc>
                <w:tcPr>
                  <w:tcW w:w="3426" w:type="dxa"/>
                  <w:vAlign w:val="center"/>
                </w:tcPr>
                <w:p w14:paraId="337D137A">
                  <w:pPr>
                    <w:keepNext w:val="0"/>
                    <w:keepLines w:val="0"/>
                    <w:pageBreakBefore w:val="0"/>
                    <w:widowControl w:val="0"/>
                    <w:kinsoku/>
                    <w:wordWrap w:val="0"/>
                    <w:overflowPunct/>
                    <w:topLinePunct w:val="0"/>
                    <w:autoSpaceDE w:val="0"/>
                    <w:autoSpaceDN w:val="0"/>
                    <w:bidi w:val="0"/>
                    <w:adjustRightInd w:val="0"/>
                    <w:snapToGrid w:val="0"/>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无味、无臭、无毒、表面无光泽、乳白色蜡状颗粒，密度为</w:t>
                  </w:r>
                  <w:r>
                    <w:rPr>
                      <w:rFonts w:hint="default" w:ascii="Times New Roman" w:hAnsi="Times New Roman" w:eastAsia="宋体" w:cs="Times New Roman"/>
                      <w:color w:val="000000"/>
                      <w:kern w:val="0"/>
                      <w:sz w:val="21"/>
                      <w:szCs w:val="21"/>
                      <w:lang w:val="en-US" w:eastAsia="zh-CN" w:bidi="ar"/>
                    </w:rPr>
                    <w:t>0.910~0.925g/cm</w:t>
                  </w:r>
                  <w:r>
                    <w:rPr>
                      <w:rFonts w:hint="default" w:ascii="Times New Roman" w:hAnsi="Times New Roman" w:eastAsia="宋体" w:cs="Times New Roman"/>
                      <w:color w:val="000000"/>
                      <w:kern w:val="0"/>
                      <w:sz w:val="21"/>
                      <w:szCs w:val="21"/>
                      <w:vertAlign w:val="superscript"/>
                      <w:lang w:val="en-US" w:eastAsia="zh-CN" w:bidi="ar"/>
                    </w:rPr>
                    <w:t>3</w:t>
                  </w:r>
                  <w:r>
                    <w:rPr>
                      <w:rFonts w:hint="eastAsia" w:ascii="宋体" w:hAnsi="宋体" w:eastAsia="宋体" w:cs="宋体"/>
                      <w:color w:val="000000"/>
                      <w:kern w:val="0"/>
                      <w:sz w:val="21"/>
                      <w:szCs w:val="21"/>
                      <w:lang w:val="en-US" w:eastAsia="zh-CN" w:bidi="ar"/>
                    </w:rPr>
                    <w:t>；熔点</w:t>
                  </w:r>
                  <w:r>
                    <w:rPr>
                      <w:rFonts w:hint="default" w:ascii="Times New Roman" w:hAnsi="Times New Roman" w:eastAsia="宋体" w:cs="Times New Roman"/>
                      <w:color w:val="000000"/>
                      <w:kern w:val="0"/>
                      <w:sz w:val="21"/>
                      <w:szCs w:val="21"/>
                      <w:lang w:val="en-US" w:eastAsia="zh-CN" w:bidi="ar"/>
                    </w:rPr>
                    <w:t>130</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105</w:t>
                  </w:r>
                  <w:r>
                    <w:rPr>
                      <w:rFonts w:hint="eastAsia" w:ascii="宋体" w:hAnsi="宋体" w:eastAsia="宋体" w:cs="宋体"/>
                      <w:color w:val="000000"/>
                      <w:kern w:val="0"/>
                      <w:sz w:val="21"/>
                      <w:szCs w:val="21"/>
                      <w:lang w:val="en-US" w:eastAsia="zh-CN" w:bidi="ar"/>
                    </w:rPr>
                    <w:t>℃。不溶于水，微溶于烃类、甲苯等。能耐大多数酸碱的侵蚀，吸水性小。</w:t>
                  </w:r>
                </w:p>
              </w:tc>
            </w:tr>
            <w:tr w14:paraId="4D4AC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798EBC7">
                  <w:pPr>
                    <w:autoSpaceDE w:val="0"/>
                    <w:autoSpaceDN w:val="0"/>
                    <w:adjustRightInd w:val="0"/>
                    <w:snapToGrid w:val="0"/>
                    <w:jc w:val="center"/>
                    <w:rPr>
                      <w:rFonts w:hint="eastAsia" w:eastAsia="宋体"/>
                      <w:bCs/>
                      <w:szCs w:val="21"/>
                      <w:lang w:eastAsia="zh-CN"/>
                    </w:rPr>
                  </w:pPr>
                  <w:r>
                    <w:rPr>
                      <w:rFonts w:hint="eastAsia"/>
                      <w:bCs/>
                      <w:szCs w:val="21"/>
                      <w:lang w:val="en-US" w:eastAsia="zh-CN"/>
                    </w:rPr>
                    <w:t>3</w:t>
                  </w:r>
                </w:p>
              </w:tc>
              <w:tc>
                <w:tcPr>
                  <w:tcW w:w="672" w:type="dxa"/>
                  <w:vAlign w:val="center"/>
                </w:tcPr>
                <w:p w14:paraId="4340B858">
                  <w:pPr>
                    <w:autoSpaceDE w:val="0"/>
                    <w:autoSpaceDN w:val="0"/>
                    <w:adjustRightInd w:val="0"/>
                    <w:snapToGrid w:val="0"/>
                    <w:jc w:val="center"/>
                    <w:rPr>
                      <w:rFonts w:hint="eastAsia" w:eastAsia="宋体"/>
                      <w:bCs/>
                      <w:szCs w:val="21"/>
                      <w:lang w:eastAsia="zh-CN"/>
                    </w:rPr>
                  </w:pPr>
                  <w:r>
                    <w:rPr>
                      <w:bCs/>
                      <w:szCs w:val="21"/>
                    </w:rPr>
                    <w:t>底漆</w:t>
                  </w:r>
                  <w:r>
                    <w:rPr>
                      <w:rFonts w:hint="eastAsia"/>
                      <w:bCs/>
                      <w:szCs w:val="21"/>
                      <w:lang w:eastAsia="zh-CN"/>
                    </w:rPr>
                    <w:t>（</w:t>
                  </w:r>
                  <w:r>
                    <w:rPr>
                      <w:rFonts w:hint="eastAsia"/>
                      <w:bCs/>
                      <w:szCs w:val="21"/>
                      <w:lang w:val="en-US" w:eastAsia="zh-CN"/>
                    </w:rPr>
                    <w:t>色漆</w:t>
                  </w:r>
                  <w:r>
                    <w:rPr>
                      <w:rFonts w:hint="eastAsia"/>
                      <w:bCs/>
                      <w:szCs w:val="21"/>
                      <w:lang w:eastAsia="zh-CN"/>
                    </w:rPr>
                    <w:t>）</w:t>
                  </w:r>
                </w:p>
              </w:tc>
              <w:tc>
                <w:tcPr>
                  <w:tcW w:w="3588" w:type="dxa"/>
                  <w:vAlign w:val="center"/>
                </w:tcPr>
                <w:p w14:paraId="0A760492">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eastAsia" w:ascii="Times New Roman" w:hAnsi="Times New Roman" w:eastAsia="宋体" w:cs="Times New Roman"/>
                      <w:bCs/>
                      <w:sz w:val="21"/>
                      <w:szCs w:val="21"/>
                      <w:lang w:eastAsia="zh-CN"/>
                    </w:rPr>
                  </w:pPr>
                  <w:r>
                    <w:rPr>
                      <w:rFonts w:hint="default" w:ascii="Times New Roman" w:hAnsi="Times New Roman" w:eastAsia="宋体" w:cs="Times New Roman"/>
                      <w:color w:val="000000"/>
                      <w:kern w:val="0"/>
                      <w:sz w:val="21"/>
                      <w:szCs w:val="21"/>
                      <w:lang w:val="en-US" w:eastAsia="zh-CN" w:bidi="ar"/>
                    </w:rPr>
                    <w:t>乙酸丁酯</w:t>
                  </w:r>
                  <w:r>
                    <w:rPr>
                      <w:rFonts w:hint="eastAsia" w:cs="Times New Roman"/>
                      <w:bCs/>
                      <w:sz w:val="21"/>
                      <w:szCs w:val="21"/>
                      <w:lang w:val="en-US" w:eastAsia="zh-CN"/>
                    </w:rPr>
                    <w:t>10</w:t>
                  </w:r>
                  <w:r>
                    <w:rPr>
                      <w:rFonts w:hint="default" w:ascii="Times New Roman" w:hAnsi="Times New Roman" w:eastAsia="宋体" w:cs="Times New Roman"/>
                      <w:bCs/>
                      <w:sz w:val="21"/>
                      <w:szCs w:val="21"/>
                    </w:rPr>
                    <w:t>%～</w:t>
                  </w:r>
                  <w:r>
                    <w:rPr>
                      <w:rFonts w:hint="eastAsia" w:cs="Times New Roman"/>
                      <w:bCs/>
                      <w:sz w:val="21"/>
                      <w:szCs w:val="21"/>
                      <w:lang w:val="en-US" w:eastAsia="zh-CN"/>
                    </w:rPr>
                    <w:t>2</w:t>
                  </w:r>
                  <w:r>
                    <w:rPr>
                      <w:rFonts w:hint="default" w:ascii="Times New Roman" w:hAnsi="Times New Roman" w:eastAsia="宋体" w:cs="Times New Roman"/>
                      <w:bCs/>
                      <w:sz w:val="21"/>
                      <w:szCs w:val="21"/>
                    </w:rPr>
                    <w:t>5%，1-甲氧基-2-丙醇</w:t>
                  </w:r>
                  <w:r>
                    <w:rPr>
                      <w:rFonts w:hint="eastAsia" w:cs="Times New Roman"/>
                      <w:bCs/>
                      <w:sz w:val="21"/>
                      <w:szCs w:val="21"/>
                      <w:lang w:val="en-US" w:eastAsia="zh-CN"/>
                    </w:rPr>
                    <w:t>10</w:t>
                  </w:r>
                  <w:r>
                    <w:rPr>
                      <w:rFonts w:hint="default" w:ascii="Times New Roman" w:hAnsi="Times New Roman" w:eastAsia="宋体" w:cs="Times New Roman"/>
                      <w:bCs/>
                      <w:sz w:val="21"/>
                      <w:szCs w:val="21"/>
                    </w:rPr>
                    <w:t>%～</w:t>
                  </w:r>
                  <w:r>
                    <w:rPr>
                      <w:rFonts w:hint="eastAsia" w:cs="Times New Roman"/>
                      <w:bCs/>
                      <w:sz w:val="21"/>
                      <w:szCs w:val="21"/>
                      <w:lang w:val="en-US" w:eastAsia="zh-CN"/>
                    </w:rPr>
                    <w:t>2</w:t>
                  </w:r>
                  <w:r>
                    <w:rPr>
                      <w:rFonts w:hint="default" w:ascii="Times New Roman" w:hAnsi="Times New Roman" w:eastAsia="宋体" w:cs="Times New Roman"/>
                      <w:bCs/>
                      <w:sz w:val="21"/>
                      <w:szCs w:val="21"/>
                    </w:rPr>
                    <w:t>5%，2-丁酮</w:t>
                  </w:r>
                  <w:r>
                    <w:rPr>
                      <w:rFonts w:hint="eastAsia" w:cs="Times New Roman"/>
                      <w:bCs/>
                      <w:sz w:val="21"/>
                      <w:szCs w:val="21"/>
                      <w:lang w:val="en-US" w:eastAsia="zh-CN"/>
                    </w:rPr>
                    <w:t>10</w:t>
                  </w:r>
                  <w:r>
                    <w:rPr>
                      <w:rFonts w:hint="default" w:ascii="Times New Roman" w:hAnsi="Times New Roman" w:eastAsia="宋体" w:cs="Times New Roman"/>
                      <w:bCs/>
                      <w:sz w:val="21"/>
                      <w:szCs w:val="21"/>
                    </w:rPr>
                    <w:t>%～</w:t>
                  </w:r>
                  <w:r>
                    <w:rPr>
                      <w:rFonts w:hint="eastAsia" w:cs="Times New Roman"/>
                      <w:bCs/>
                      <w:sz w:val="21"/>
                      <w:szCs w:val="21"/>
                      <w:lang w:val="en-US" w:eastAsia="zh-CN"/>
                    </w:rPr>
                    <w:t>2</w:t>
                  </w:r>
                  <w:r>
                    <w:rPr>
                      <w:rFonts w:hint="default" w:ascii="Times New Roman" w:hAnsi="Times New Roman" w:eastAsia="宋体" w:cs="Times New Roman"/>
                      <w:bCs/>
                      <w:sz w:val="21"/>
                      <w:szCs w:val="21"/>
                    </w:rPr>
                    <w:t>5%，</w:t>
                  </w:r>
                  <w:r>
                    <w:rPr>
                      <w:rFonts w:hint="default" w:ascii="Times New Roman" w:hAnsi="Times New Roman" w:eastAsia="宋体" w:cs="Times New Roman"/>
                      <w:color w:val="000000"/>
                      <w:kern w:val="0"/>
                      <w:sz w:val="21"/>
                      <w:szCs w:val="21"/>
                      <w:lang w:val="en-US" w:eastAsia="zh-CN" w:bidi="ar"/>
                    </w:rPr>
                    <w:t>乙酸乙酯</w:t>
                  </w:r>
                  <w:r>
                    <w:rPr>
                      <w:rFonts w:hint="eastAsia" w:cs="Times New Roman"/>
                      <w:color w:val="000000"/>
                      <w:kern w:val="0"/>
                      <w:sz w:val="21"/>
                      <w:szCs w:val="21"/>
                      <w:lang w:val="en-US" w:eastAsia="zh-CN" w:bidi="ar"/>
                    </w:rPr>
                    <w:t>≤</w:t>
                  </w:r>
                  <w:r>
                    <w:rPr>
                      <w:rFonts w:hint="default" w:ascii="Times New Roman" w:hAnsi="Times New Roman" w:eastAsia="宋体" w:cs="Times New Roman"/>
                      <w:sz w:val="21"/>
                      <w:szCs w:val="21"/>
                    </w:rPr>
                    <w:t>1</w:t>
                  </w:r>
                  <w:r>
                    <w:rPr>
                      <w:rFonts w:hint="eastAsia" w:cs="Times New Roman"/>
                      <w:sz w:val="21"/>
                      <w:szCs w:val="21"/>
                      <w:lang w:val="en-US" w:eastAsia="zh-CN"/>
                    </w:rPr>
                    <w:t>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，4-羟基-4-甲基-2-戊酮</w:t>
                  </w:r>
                  <w:r>
                    <w:rPr>
                      <w:rFonts w:hint="eastAsia" w:cs="Times New Roman"/>
                      <w:color w:val="000000"/>
                      <w:kern w:val="0"/>
                      <w:sz w:val="21"/>
                      <w:szCs w:val="21"/>
                      <w:lang w:val="en-US" w:eastAsia="zh-CN" w:bidi="ar"/>
                    </w:rPr>
                    <w:t>≤</w:t>
                  </w:r>
                  <w:r>
                    <w:rPr>
                      <w:rFonts w:hint="default" w:ascii="Times New Roman" w:hAnsi="Times New Roman" w:eastAsia="宋体" w:cs="Times New Roman"/>
                      <w:sz w:val="21"/>
                      <w:szCs w:val="21"/>
                    </w:rPr>
                    <w:t>1</w:t>
                  </w:r>
                  <w:r>
                    <w:rPr>
                      <w:rFonts w:hint="eastAsia" w:cs="Times New Roman"/>
                      <w:sz w:val="21"/>
                      <w:szCs w:val="21"/>
                      <w:lang w:val="en-US" w:eastAsia="zh-CN"/>
                    </w:rPr>
                    <w:t>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，2-丁氧基乙醇</w:t>
                  </w:r>
                  <w:r>
                    <w:rPr>
                      <w:rFonts w:hint="eastAsia" w:cs="Times New Roman"/>
                      <w:color w:val="000000"/>
                      <w:kern w:val="0"/>
                      <w:sz w:val="21"/>
                      <w:szCs w:val="21"/>
                      <w:lang w:val="en-US" w:eastAsia="zh-CN" w:bidi="ar"/>
                    </w:rPr>
                    <w:t>≤</w:t>
                  </w:r>
                  <w:r>
                    <w:rPr>
                      <w:rFonts w:hint="eastAsia"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color w:val="000000"/>
                      <w:kern w:val="0"/>
                      <w:sz w:val="21"/>
                      <w:szCs w:val="21"/>
                      <w:lang w:val="en-US" w:eastAsia="zh-CN" w:bidi="ar"/>
                    </w:rPr>
                    <w:t>二甲苯</w:t>
                  </w:r>
                  <w:r>
                    <w:rPr>
                      <w:rFonts w:hint="eastAsia" w:cs="Times New Roman"/>
                      <w:color w:val="000000"/>
                      <w:kern w:val="0"/>
                      <w:sz w:val="21"/>
                      <w:szCs w:val="21"/>
                      <w:lang w:val="en-US" w:eastAsia="zh-CN" w:bidi="ar"/>
                    </w:rPr>
                    <w:t>≤</w:t>
                  </w:r>
                  <w:r>
                    <w:rPr>
                      <w:rFonts w:hint="eastAsia" w:cs="Times New Roman"/>
                      <w:sz w:val="21"/>
                      <w:szCs w:val="21"/>
                      <w:lang w:val="en-US" w:eastAsia="zh-CN"/>
                    </w:rPr>
                    <w:t>2</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w:t>
                  </w:r>
                  <w:r>
                    <w:rPr>
                      <w:rFonts w:hint="eastAsia" w:cs="Times New Roman"/>
                      <w:sz w:val="21"/>
                      <w:szCs w:val="21"/>
                      <w:lang w:val="en-US" w:eastAsia="zh-CN"/>
                    </w:rPr>
                    <w:t>乙苯</w:t>
                  </w:r>
                  <w:r>
                    <w:rPr>
                      <w:rFonts w:hint="eastAsia" w:cs="Times New Roman"/>
                      <w:color w:val="000000"/>
                      <w:kern w:val="0"/>
                      <w:sz w:val="21"/>
                      <w:szCs w:val="21"/>
                      <w:lang w:val="en-US" w:eastAsia="zh-CN" w:bidi="ar"/>
                    </w:rPr>
                    <w:t>≤</w:t>
                  </w:r>
                  <w:r>
                    <w:rPr>
                      <w:rFonts w:hint="eastAsia" w:cs="Times New Roman"/>
                      <w:sz w:val="21"/>
                      <w:szCs w:val="21"/>
                      <w:lang w:val="en-US" w:eastAsia="zh-CN"/>
                    </w:rPr>
                    <w:t>0.3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，甲基丙烯酸丁酯</w:t>
                  </w:r>
                  <w:r>
                    <w:rPr>
                      <w:rFonts w:hint="eastAsia" w:cs="Times New Roman"/>
                      <w:color w:val="000000"/>
                      <w:kern w:val="0"/>
                      <w:sz w:val="21"/>
                      <w:szCs w:val="21"/>
                      <w:lang w:val="en-US" w:eastAsia="zh-CN" w:bidi="ar"/>
                    </w:rPr>
                    <w:t>≤</w:t>
                  </w:r>
                  <w:r>
                    <w:rPr>
                      <w:rFonts w:hint="eastAsia" w:cs="Times New Roman"/>
                      <w:sz w:val="21"/>
                      <w:szCs w:val="21"/>
                      <w:lang w:val="en-US" w:eastAsia="zh-CN"/>
                    </w:rPr>
                    <w:t>0.3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，甲基丙烯酸甲酯</w:t>
                  </w:r>
                  <w:r>
                    <w:rPr>
                      <w:rFonts w:hint="eastAsia" w:cs="Times New Roman"/>
                      <w:color w:val="000000"/>
                      <w:kern w:val="0"/>
                      <w:sz w:val="21"/>
                      <w:szCs w:val="21"/>
                      <w:lang w:val="en-US" w:eastAsia="zh-CN" w:bidi="ar"/>
                    </w:rPr>
                    <w:t>≤</w:t>
                  </w:r>
                  <w:r>
                    <w:rPr>
                      <w:rFonts w:hint="eastAsia" w:cs="Times New Roman"/>
                      <w:sz w:val="21"/>
                      <w:szCs w:val="21"/>
                      <w:lang w:val="en-US" w:eastAsia="zh-CN"/>
                    </w:rPr>
                    <w:t>0.3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，2-甲基-2-丙烯酸（2-羟基乙基）酯</w:t>
                  </w:r>
                  <w:r>
                    <w:rPr>
                      <w:rFonts w:hint="eastAsia" w:cs="Times New Roman"/>
                      <w:color w:val="000000"/>
                      <w:kern w:val="0"/>
                      <w:sz w:val="21"/>
                      <w:szCs w:val="21"/>
                      <w:lang w:val="en-US" w:eastAsia="zh-CN" w:bidi="ar"/>
                    </w:rPr>
                    <w:t>≤</w:t>
                  </w:r>
                  <w:r>
                    <w:rPr>
                      <w:rFonts w:hint="eastAsia" w:cs="Times New Roman"/>
                      <w:sz w:val="21"/>
                      <w:szCs w:val="21"/>
                      <w:lang w:val="en-US" w:eastAsia="zh-CN"/>
                    </w:rPr>
                    <w:t>0.3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，α-[3-[3-(2H-苯并三唑-2-基)-5-异丁基-4-羟基苯基]-1-酰丙基]-ω-羟</w:t>
                  </w:r>
                  <w:r>
                    <w:rPr>
                      <w:rFonts w:hint="eastAsia" w:cs="Times New Roman"/>
                      <w:color w:val="000000"/>
                      <w:kern w:val="0"/>
                      <w:sz w:val="21"/>
                      <w:szCs w:val="21"/>
                      <w:lang w:val="en-US" w:eastAsia="zh-CN" w:bidi="ar"/>
                    </w:rPr>
                    <w:t>≤</w:t>
                  </w:r>
                  <w:r>
                    <w:rPr>
                      <w:rFonts w:hint="eastAsia" w:cs="Times New Roman"/>
                      <w:sz w:val="21"/>
                      <w:szCs w:val="21"/>
                      <w:lang w:val="en-US" w:eastAsia="zh-CN"/>
                    </w:rPr>
                    <w:t>0.3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，α-[3-[3-(2H-苯并三唑-2-基)-5-(1,1-二甲基乙基)-4-羟苯基]-1-氧代丙基]-ω-[3-[3-(2H-苯并三唑-2-基)-5-(1,1-二甲基乙基)-4-羟苯基]-1-氧代丙氧基]-聚(氧基-1,2-乙二基)基-聚(氧基-1,2-乙二基)</w:t>
                  </w:r>
                  <w:r>
                    <w:rPr>
                      <w:rFonts w:hint="eastAsia" w:cs="Times New Roman"/>
                      <w:color w:val="000000"/>
                      <w:kern w:val="0"/>
                      <w:sz w:val="21"/>
                      <w:szCs w:val="21"/>
                      <w:lang w:val="en-US" w:eastAsia="zh-CN" w:bidi="ar"/>
                    </w:rPr>
                    <w:t>≤</w:t>
                  </w:r>
                  <w:r>
                    <w:rPr>
                      <w:rFonts w:hint="eastAsia" w:cs="Times New Roman"/>
                      <w:sz w:val="21"/>
                      <w:szCs w:val="21"/>
                      <w:lang w:val="en-US" w:eastAsia="zh-CN"/>
                    </w:rPr>
                    <w:t>0.3</w:t>
                  </w:r>
                  <w:r>
                    <w:rPr>
                      <w:rFonts w:hint="default" w:ascii="Times New Roman" w:hAnsi="Times New Roman" w:eastAsia="宋体" w:cs="Times New Roman"/>
                      <w:sz w:val="21"/>
                      <w:szCs w:val="21"/>
                    </w:rPr>
                    <w:t>%</w:t>
                  </w:r>
                  <w:r>
                    <w:rPr>
                      <w:rFonts w:hint="eastAsia" w:cs="Times New Roman"/>
                      <w:bCs/>
                      <w:sz w:val="21"/>
                      <w:szCs w:val="21"/>
                      <w:lang w:eastAsia="zh-CN"/>
                    </w:rPr>
                    <w:t>。</w:t>
                  </w:r>
                </w:p>
              </w:tc>
              <w:tc>
                <w:tcPr>
                  <w:tcW w:w="3426" w:type="dxa"/>
                  <w:vAlign w:val="center"/>
                </w:tcPr>
                <w:p w14:paraId="2085DC09">
                  <w:pPr>
                    <w:autoSpaceDE w:val="0"/>
                    <w:autoSpaceDN w:val="0"/>
                    <w:adjustRightInd w:val="0"/>
                    <w:snapToGrid w:val="0"/>
                    <w:rPr>
                      <w:bCs/>
                      <w:szCs w:val="21"/>
                    </w:rPr>
                  </w:pPr>
                  <w:r>
                    <w:rPr>
                      <w:bCs/>
                      <w:szCs w:val="21"/>
                    </w:rPr>
                    <w:t>液体，</w:t>
                  </w:r>
                  <w:r>
                    <w:rPr>
                      <w:rFonts w:hint="eastAsia"/>
                      <w:bCs/>
                      <w:szCs w:val="21"/>
                    </w:rPr>
                    <w:t>沸点</w:t>
                  </w:r>
                  <w:r>
                    <w:rPr>
                      <w:rFonts w:hint="eastAsia"/>
                      <w:bCs/>
                      <w:szCs w:val="21"/>
                      <w:lang w:val="en-US" w:eastAsia="zh-CN"/>
                    </w:rPr>
                    <w:t>77</w:t>
                  </w:r>
                  <w:r>
                    <w:rPr>
                      <w:bCs/>
                      <w:szCs w:val="21"/>
                    </w:rPr>
                    <w:t>℃</w:t>
                  </w:r>
                  <w:r>
                    <w:rPr>
                      <w:rFonts w:hint="eastAsia"/>
                      <w:bCs/>
                      <w:szCs w:val="21"/>
                      <w:lang w:val="en-US" w:eastAsia="zh-CN"/>
                    </w:rPr>
                    <w:t>~172</w:t>
                  </w:r>
                  <w:r>
                    <w:rPr>
                      <w:bCs/>
                      <w:szCs w:val="21"/>
                    </w:rPr>
                    <w:t>℃</w:t>
                  </w:r>
                  <w:r>
                    <w:rPr>
                      <w:rFonts w:hint="eastAsia"/>
                      <w:bCs/>
                      <w:szCs w:val="21"/>
                    </w:rPr>
                    <w:t>，闪点</w:t>
                  </w:r>
                  <w:r>
                    <w:rPr>
                      <w:rFonts w:hint="eastAsia"/>
                      <w:bCs/>
                      <w:szCs w:val="21"/>
                      <w:lang w:val="en-US" w:eastAsia="zh-CN"/>
                    </w:rPr>
                    <w:t>-6</w:t>
                  </w:r>
                  <w:r>
                    <w:rPr>
                      <w:bCs/>
                      <w:szCs w:val="21"/>
                    </w:rPr>
                    <w:t>℃</w:t>
                  </w:r>
                  <w:r>
                    <w:rPr>
                      <w:rFonts w:hint="eastAsia"/>
                      <w:bCs/>
                      <w:szCs w:val="21"/>
                    </w:rPr>
                    <w:t>（闭杯），爆炸上限</w:t>
                  </w:r>
                  <w:r>
                    <w:rPr>
                      <w:rFonts w:hint="eastAsia"/>
                      <w:bCs/>
                      <w:szCs w:val="21"/>
                      <w:lang w:val="en-US" w:eastAsia="zh-CN"/>
                    </w:rPr>
                    <w:t>13.74</w:t>
                  </w:r>
                  <w:r>
                    <w:rPr>
                      <w:rFonts w:hint="eastAsia"/>
                      <w:bCs/>
                      <w:szCs w:val="21"/>
                    </w:rPr>
                    <w:t>%，爆炸下限1%；相对密度（水=1）</w:t>
                  </w:r>
                  <w:r>
                    <w:rPr>
                      <w:rFonts w:hint="eastAsia"/>
                      <w:bCs/>
                      <w:szCs w:val="21"/>
                      <w:lang w:val="en-US" w:eastAsia="zh-CN"/>
                    </w:rPr>
                    <w:t>0.93</w:t>
                  </w:r>
                  <w:r>
                    <w:rPr>
                      <w:rFonts w:hint="eastAsia"/>
                      <w:bCs/>
                      <w:szCs w:val="21"/>
                    </w:rPr>
                    <w:t>。</w:t>
                  </w:r>
                </w:p>
              </w:tc>
            </w:tr>
            <w:tr w14:paraId="31AB5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00158B4">
                  <w:pPr>
                    <w:autoSpaceDE w:val="0"/>
                    <w:autoSpaceDN w:val="0"/>
                    <w:adjustRightInd w:val="0"/>
                    <w:snapToGrid w:val="0"/>
                    <w:jc w:val="center"/>
                    <w:rPr>
                      <w:rFonts w:hint="eastAsia" w:eastAsia="宋体"/>
                      <w:bCs/>
                      <w:szCs w:val="21"/>
                      <w:lang w:eastAsia="zh-CN"/>
                    </w:rPr>
                  </w:pPr>
                  <w:r>
                    <w:rPr>
                      <w:rFonts w:hint="eastAsia"/>
                      <w:bCs/>
                      <w:szCs w:val="21"/>
                      <w:lang w:val="en-US" w:eastAsia="zh-CN"/>
                    </w:rPr>
                    <w:t>4</w:t>
                  </w:r>
                </w:p>
              </w:tc>
              <w:tc>
                <w:tcPr>
                  <w:tcW w:w="672" w:type="dxa"/>
                  <w:vAlign w:val="center"/>
                </w:tcPr>
                <w:p w14:paraId="696B6A12">
                  <w:pPr>
                    <w:autoSpaceDE w:val="0"/>
                    <w:autoSpaceDN w:val="0"/>
                    <w:adjustRightInd w:val="0"/>
                    <w:snapToGrid w:val="0"/>
                    <w:jc w:val="center"/>
                    <w:rPr>
                      <w:bCs/>
                      <w:szCs w:val="21"/>
                    </w:rPr>
                  </w:pPr>
                  <w:r>
                    <w:rPr>
                      <w:rFonts w:hint="eastAsia"/>
                      <w:bCs/>
                      <w:szCs w:val="21"/>
                      <w:lang w:val="en-US" w:eastAsia="zh-CN"/>
                    </w:rPr>
                    <w:t>面</w:t>
                  </w:r>
                  <w:r>
                    <w:rPr>
                      <w:bCs/>
                      <w:szCs w:val="21"/>
                    </w:rPr>
                    <w:t>漆</w:t>
                  </w:r>
                </w:p>
              </w:tc>
              <w:tc>
                <w:tcPr>
                  <w:tcW w:w="3588" w:type="dxa"/>
                  <w:vAlign w:val="center"/>
                </w:tcPr>
                <w:p w14:paraId="2F38AD4A">
                  <w:pPr>
                    <w:keepNext w:val="0"/>
                    <w:keepLines w:val="0"/>
                    <w:widowControl/>
                    <w:suppressLineNumbers w:val="0"/>
                    <w:jc w:val="left"/>
                    <w:rPr>
                      <w:bCs/>
                      <w:szCs w:val="21"/>
                    </w:rPr>
                  </w:pPr>
                  <w:r>
                    <w:rPr>
                      <w:rFonts w:hint="eastAsia" w:cs="Times New Roman"/>
                      <w:color w:val="000000"/>
                      <w:kern w:val="0"/>
                      <w:sz w:val="21"/>
                      <w:szCs w:val="21"/>
                      <w:lang w:val="en-US" w:eastAsia="zh-CN" w:bidi="ar"/>
                    </w:rPr>
                    <w:t>树脂</w:t>
                  </w:r>
                  <w:r>
                    <w:rPr>
                      <w:rFonts w:hint="eastAsia" w:cs="Times New Roman"/>
                      <w:sz w:val="21"/>
                      <w:szCs w:val="21"/>
                      <w:lang w:val="en-US" w:eastAsia="zh-CN"/>
                    </w:rPr>
                    <w:t>65</w:t>
                  </w:r>
                  <w:r>
                    <w:rPr>
                      <w:rFonts w:hint="default" w:ascii="Times New Roman" w:hAnsi="Times New Roman" w:cs="Times New Roman"/>
                      <w:sz w:val="21"/>
                      <w:szCs w:val="21"/>
                    </w:rPr>
                    <w:t>%～</w:t>
                  </w:r>
                  <w:r>
                    <w:rPr>
                      <w:rFonts w:hint="eastAsia" w:cs="Times New Roman"/>
                      <w:sz w:val="21"/>
                      <w:szCs w:val="21"/>
                      <w:lang w:val="en-US" w:eastAsia="zh-CN"/>
                    </w:rPr>
                    <w:t>75</w:t>
                  </w:r>
                  <w:r>
                    <w:rPr>
                      <w:rFonts w:hint="default" w:ascii="Times New Roman" w:hAnsi="Times New Roman" w:cs="Times New Roman"/>
                      <w:sz w:val="21"/>
                      <w:szCs w:val="21"/>
                    </w:rPr>
                    <w:t>%</w:t>
                  </w:r>
                  <w:r>
                    <w:rPr>
                      <w:rFonts w:hint="default" w:ascii="Times New Roman" w:hAnsi="Times New Roman" w:cs="Times New Roman"/>
                      <w:sz w:val="21"/>
                      <w:szCs w:val="21"/>
                      <w:lang w:eastAsia="zh-CN"/>
                    </w:rPr>
                    <w:t>，</w:t>
                  </w:r>
                  <w:r>
                    <w:rPr>
                      <w:rFonts w:hint="eastAsia" w:cs="Times New Roman"/>
                      <w:color w:val="000000"/>
                      <w:kern w:val="0"/>
                      <w:sz w:val="21"/>
                      <w:szCs w:val="21"/>
                      <w:lang w:val="en-US" w:eastAsia="zh-CN" w:bidi="ar"/>
                    </w:rPr>
                    <w:t>色粉</w:t>
                  </w:r>
                  <w:r>
                    <w:rPr>
                      <w:rFonts w:hint="eastAsia"/>
                    </w:rPr>
                    <w:t>1%～</w:t>
                  </w:r>
                  <w:r>
                    <w:rPr>
                      <w:rFonts w:hint="eastAsia"/>
                      <w:lang w:val="en-US" w:eastAsia="zh-CN"/>
                    </w:rPr>
                    <w:t>3</w:t>
                  </w:r>
                  <w:r>
                    <w:rPr>
                      <w:rFonts w:hint="eastAsia"/>
                    </w:rPr>
                    <w:t>%</w:t>
                  </w:r>
                  <w:r>
                    <w:rPr>
                      <w:rFonts w:hint="eastAsia"/>
                      <w:lang w:eastAsia="zh-CN"/>
                    </w:rPr>
                    <w:t>，</w:t>
                  </w:r>
                  <w:r>
                    <w:rPr>
                      <w:rFonts w:hint="eastAsia"/>
                      <w:lang w:val="en-US" w:eastAsia="zh-CN"/>
                    </w:rPr>
                    <w:t>银粉5</w:t>
                  </w:r>
                  <w:r>
                    <w:rPr>
                      <w:rFonts w:hint="eastAsia"/>
                    </w:rPr>
                    <w:t>%～10%，</w:t>
                  </w:r>
                  <w:r>
                    <w:rPr>
                      <w:rFonts w:hint="eastAsia"/>
                      <w:lang w:val="en-US" w:eastAsia="zh-CN"/>
                    </w:rPr>
                    <w:t>消光粉2</w:t>
                  </w:r>
                  <w:r>
                    <w:rPr>
                      <w:rFonts w:hint="eastAsia"/>
                    </w:rPr>
                    <w:t>%～</w:t>
                  </w:r>
                  <w:r>
                    <w:rPr>
                      <w:rFonts w:hint="eastAsia"/>
                      <w:lang w:val="en-US" w:eastAsia="zh-CN"/>
                    </w:rPr>
                    <w:t>5</w:t>
                  </w:r>
                  <w:r>
                    <w:rPr>
                      <w:rFonts w:hint="eastAsia"/>
                    </w:rPr>
                    <w:t>%，</w:t>
                  </w:r>
                  <w:r>
                    <w:rPr>
                      <w:rFonts w:hint="eastAsia" w:cs="Times New Roman"/>
                      <w:color w:val="000000"/>
                      <w:kern w:val="0"/>
                      <w:sz w:val="21"/>
                      <w:szCs w:val="21"/>
                      <w:lang w:val="en-US" w:eastAsia="zh-CN" w:bidi="ar"/>
                    </w:rPr>
                    <w:t>丁酯</w:t>
                  </w:r>
                  <w:r>
                    <w:rPr>
                      <w:rFonts w:hint="eastAsia"/>
                    </w:rPr>
                    <w:t>1</w:t>
                  </w:r>
                  <w:r>
                    <w:rPr>
                      <w:rFonts w:hint="eastAsia"/>
                      <w:lang w:val="en-US" w:eastAsia="zh-CN"/>
                    </w:rPr>
                    <w:t>2</w:t>
                  </w:r>
                  <w:r>
                    <w:rPr>
                      <w:rFonts w:hint="eastAsia"/>
                    </w:rPr>
                    <w:t>%，</w:t>
                  </w:r>
                  <w:r>
                    <w:rPr>
                      <w:rFonts w:hint="eastAsia"/>
                      <w:lang w:val="en-US" w:eastAsia="zh-CN"/>
                    </w:rPr>
                    <w:t>助剂5</w:t>
                  </w:r>
                  <w:r>
                    <w:rPr>
                      <w:rFonts w:hint="eastAsia"/>
                    </w:rPr>
                    <w:t>%</w:t>
                  </w:r>
                  <w:r>
                    <w:rPr>
                      <w:rFonts w:hint="default" w:ascii="Times New Roman" w:hAnsi="Times New Roman" w:cs="Times New Roman"/>
                      <w:sz w:val="21"/>
                      <w:szCs w:val="21"/>
                    </w:rPr>
                    <w:t>。</w:t>
                  </w:r>
                </w:p>
              </w:tc>
              <w:tc>
                <w:tcPr>
                  <w:tcW w:w="3426" w:type="dxa"/>
                  <w:vAlign w:val="center"/>
                </w:tcPr>
                <w:p w14:paraId="5968B0A8">
                  <w:pPr>
                    <w:autoSpaceDE w:val="0"/>
                    <w:autoSpaceDN w:val="0"/>
                    <w:adjustRightInd w:val="0"/>
                    <w:snapToGrid w:val="0"/>
                    <w:rPr>
                      <w:bCs/>
                      <w:szCs w:val="21"/>
                    </w:rPr>
                  </w:pPr>
                  <w:r>
                    <w:rPr>
                      <w:bCs/>
                      <w:szCs w:val="21"/>
                    </w:rPr>
                    <w:t>液体，</w:t>
                  </w:r>
                  <w:r>
                    <w:rPr>
                      <w:rFonts w:hint="eastAsia"/>
                      <w:bCs/>
                      <w:szCs w:val="21"/>
                      <w:lang w:val="en-US" w:eastAsia="zh-CN"/>
                    </w:rPr>
                    <w:t>不溶于水</w:t>
                  </w:r>
                  <w:r>
                    <w:rPr>
                      <w:rFonts w:hint="eastAsia"/>
                      <w:bCs/>
                      <w:szCs w:val="21"/>
                    </w:rPr>
                    <w:t>，闪点</w:t>
                  </w:r>
                  <w:r>
                    <w:rPr>
                      <w:rFonts w:hint="eastAsia"/>
                      <w:bCs/>
                      <w:szCs w:val="21"/>
                      <w:lang w:val="en-US" w:eastAsia="zh-CN"/>
                    </w:rPr>
                    <w:t>11.2</w:t>
                  </w:r>
                  <w:r>
                    <w:rPr>
                      <w:bCs/>
                      <w:szCs w:val="21"/>
                    </w:rPr>
                    <w:t>℃</w:t>
                  </w:r>
                  <w:r>
                    <w:rPr>
                      <w:rFonts w:hint="eastAsia"/>
                      <w:bCs/>
                      <w:szCs w:val="21"/>
                    </w:rPr>
                    <w:t>（闭杯），</w:t>
                  </w:r>
                  <w:r>
                    <w:rPr>
                      <w:rFonts w:hint="eastAsia"/>
                      <w:bCs/>
                      <w:szCs w:val="21"/>
                      <w:lang w:val="en-US" w:eastAsia="zh-CN"/>
                    </w:rPr>
                    <w:t>有芳香气味</w:t>
                  </w:r>
                  <w:r>
                    <w:rPr>
                      <w:rFonts w:hint="eastAsia"/>
                      <w:bCs/>
                      <w:szCs w:val="21"/>
                    </w:rPr>
                    <w:t>；相对密度（水=1）</w:t>
                  </w:r>
                  <w:r>
                    <w:rPr>
                      <w:rFonts w:hint="eastAsia"/>
                      <w:bCs/>
                      <w:szCs w:val="21"/>
                      <w:lang w:val="en-US" w:eastAsia="zh-CN"/>
                    </w:rPr>
                    <w:t>0.96</w:t>
                  </w:r>
                  <w:r>
                    <w:rPr>
                      <w:rFonts w:hint="eastAsia"/>
                      <w:bCs/>
                      <w:szCs w:val="21"/>
                    </w:rPr>
                    <w:t>。</w:t>
                  </w:r>
                </w:p>
              </w:tc>
            </w:tr>
            <w:tr w14:paraId="0F604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Align w:val="center"/>
                </w:tcPr>
                <w:p w14:paraId="52B2DCD7">
                  <w:pPr>
                    <w:autoSpaceDE w:val="0"/>
                    <w:autoSpaceDN w:val="0"/>
                    <w:adjustRightInd w:val="0"/>
                    <w:snapToGrid w:val="0"/>
                    <w:jc w:val="center"/>
                    <w:rPr>
                      <w:rFonts w:hint="eastAsia" w:eastAsia="宋体"/>
                      <w:bCs/>
                      <w:szCs w:val="21"/>
                      <w:lang w:eastAsia="zh-CN"/>
                    </w:rPr>
                  </w:pPr>
                  <w:r>
                    <w:rPr>
                      <w:rFonts w:hint="eastAsia"/>
                      <w:bCs/>
                      <w:szCs w:val="21"/>
                      <w:lang w:val="en-US" w:eastAsia="zh-CN"/>
                    </w:rPr>
                    <w:t>5</w:t>
                  </w:r>
                </w:p>
              </w:tc>
              <w:tc>
                <w:tcPr>
                  <w:tcW w:w="672" w:type="dxa"/>
                  <w:vAlign w:val="center"/>
                </w:tcPr>
                <w:p w14:paraId="39D78C18">
                  <w:pPr>
                    <w:autoSpaceDE w:val="0"/>
                    <w:autoSpaceDN w:val="0"/>
                    <w:adjustRightInd w:val="0"/>
                    <w:snapToGrid w:val="0"/>
                    <w:jc w:val="center"/>
                    <w:rPr>
                      <w:bCs/>
                      <w:szCs w:val="21"/>
                    </w:rPr>
                  </w:pPr>
                  <w:r>
                    <w:rPr>
                      <w:bCs/>
                      <w:szCs w:val="21"/>
                    </w:rPr>
                    <w:t>清漆</w:t>
                  </w:r>
                </w:p>
              </w:tc>
              <w:tc>
                <w:tcPr>
                  <w:tcW w:w="3588" w:type="dxa"/>
                  <w:vAlign w:val="center"/>
                </w:tcPr>
                <w:p w14:paraId="6DCE9DEB">
                  <w:pPr>
                    <w:keepNext w:val="0"/>
                    <w:keepLines w:val="0"/>
                    <w:pageBreakBefore w:val="0"/>
                    <w:widowControl/>
                    <w:suppressLineNumbers w:val="0"/>
                    <w:kinsoku/>
                    <w:wordWrap w:val="0"/>
                    <w:overflowPunct/>
                    <w:topLinePunct w:val="0"/>
                    <w:autoSpaceDE/>
                    <w:autoSpaceDN/>
                    <w:bidi w:val="0"/>
                    <w:adjustRightInd/>
                    <w:snapToGrid/>
                    <w:jc w:val="both"/>
                    <w:textAlignment w:val="auto"/>
                  </w:pPr>
                  <w:r>
                    <w:rPr>
                      <w:rFonts w:hint="default" w:ascii="Times New Roman" w:hAnsi="Times New Roman" w:cs="Times New Roman"/>
                      <w:sz w:val="21"/>
                      <w:szCs w:val="21"/>
                    </w:rPr>
                    <w:t>丙烯酸树脂</w:t>
                  </w:r>
                  <w:r>
                    <w:rPr>
                      <w:rFonts w:hint="eastAsia" w:cs="Times New Roman"/>
                      <w:sz w:val="21"/>
                      <w:szCs w:val="21"/>
                      <w:lang w:val="en-US" w:eastAsia="zh-CN"/>
                    </w:rPr>
                    <w:t>73</w:t>
                  </w:r>
                  <w:r>
                    <w:rPr>
                      <w:rFonts w:hint="default" w:ascii="Times New Roman" w:hAnsi="Times New Roman" w:cs="Times New Roman"/>
                      <w:sz w:val="21"/>
                      <w:szCs w:val="21"/>
                    </w:rPr>
                    <w:t>%，</w:t>
                  </w:r>
                  <w:r>
                    <w:rPr>
                      <w:rFonts w:hint="default" w:ascii="Times New Roman" w:hAnsi="Times New Roman" w:eastAsia="宋体" w:cs="Times New Roman"/>
                      <w:color w:val="000000"/>
                      <w:kern w:val="0"/>
                      <w:sz w:val="21"/>
                      <w:szCs w:val="21"/>
                      <w:lang w:val="en-US" w:eastAsia="zh-CN" w:bidi="ar"/>
                    </w:rPr>
                    <w:t>乙酸丁酯</w:t>
                  </w:r>
                  <w:r>
                    <w:rPr>
                      <w:rFonts w:hint="eastAsia" w:cs="Times New Roman"/>
                      <w:bCs/>
                      <w:sz w:val="21"/>
                      <w:szCs w:val="21"/>
                      <w:lang w:val="en-US" w:eastAsia="zh-CN"/>
                    </w:rPr>
                    <w:t>16</w:t>
                  </w:r>
                  <w:r>
                    <w:rPr>
                      <w:rFonts w:hint="default" w:ascii="Times New Roman" w:hAnsi="Times New Roman" w:cs="Times New Roman"/>
                      <w:bCs/>
                      <w:sz w:val="21"/>
                      <w:szCs w:val="21"/>
                    </w:rPr>
                    <w:t>%，</w:t>
                  </w:r>
                  <w:r>
                    <w:rPr>
                      <w:rFonts w:hint="default" w:ascii="Times New Roman" w:hAnsi="Times New Roman" w:cs="Times New Roman"/>
                      <w:sz w:val="21"/>
                      <w:szCs w:val="21"/>
                      <w:lang w:val="en-US" w:eastAsia="zh-CN"/>
                    </w:rPr>
                    <w:t>MIBK</w:t>
                  </w:r>
                  <w:r>
                    <w:rPr>
                      <w:rFonts w:hint="eastAsia" w:cs="Times New Roman"/>
                      <w:sz w:val="21"/>
                      <w:szCs w:val="21"/>
                      <w:lang w:val="en-US" w:eastAsia="zh-CN"/>
                    </w:rPr>
                    <w:t xml:space="preserve"> 9</w:t>
                  </w:r>
                  <w:r>
                    <w:rPr>
                      <w:rFonts w:hint="default" w:ascii="Times New Roman" w:hAnsi="Times New Roman" w:cs="Times New Roman"/>
                      <w:sz w:val="21"/>
                      <w:szCs w:val="21"/>
                    </w:rPr>
                    <w:t>%，</w:t>
                  </w:r>
                  <w:r>
                    <w:rPr>
                      <w:rFonts w:hint="eastAsia" w:eastAsia="SimSun-WinCharSetFFFF-H" w:cs="Times New Roman"/>
                      <w:color w:val="000000"/>
                      <w:kern w:val="0"/>
                      <w:sz w:val="21"/>
                      <w:szCs w:val="21"/>
                      <w:lang w:val="en-US" w:eastAsia="zh-CN" w:bidi="ar"/>
                    </w:rPr>
                    <w:t>硅2</w:t>
                  </w:r>
                  <w:r>
                    <w:rPr>
                      <w:rFonts w:hint="default" w:ascii="Times New Roman" w:hAnsi="Times New Roman" w:eastAsia="宋体" w:cs="Times New Roman"/>
                      <w:sz w:val="21"/>
                      <w:szCs w:val="21"/>
                    </w:rPr>
                    <w:t>%</w:t>
                  </w:r>
                  <w:r>
                    <w:rPr>
                      <w:rFonts w:hint="default" w:ascii="Times New Roman" w:hAnsi="Times New Roman" w:cs="Times New Roman"/>
                      <w:sz w:val="21"/>
                      <w:szCs w:val="21"/>
                    </w:rPr>
                    <w:t>。</w:t>
                  </w:r>
                </w:p>
              </w:tc>
              <w:tc>
                <w:tcPr>
                  <w:tcW w:w="3426" w:type="dxa"/>
                  <w:vAlign w:val="center"/>
                </w:tcPr>
                <w:p w14:paraId="646B884F">
                  <w:pPr>
                    <w:keepNext w:val="0"/>
                    <w:keepLines w:val="0"/>
                    <w:widowControl/>
                    <w:suppressLineNumbers w:val="0"/>
                    <w:jc w:val="left"/>
                    <w:rPr>
                      <w:bCs/>
                      <w:szCs w:val="21"/>
                    </w:rPr>
                  </w:pPr>
                  <w:r>
                    <w:rPr>
                      <w:bCs/>
                      <w:szCs w:val="21"/>
                    </w:rPr>
                    <w:t>液体，</w:t>
                  </w:r>
                  <w:r>
                    <w:rPr>
                      <w:rFonts w:hint="eastAsia"/>
                      <w:bCs/>
                      <w:szCs w:val="21"/>
                    </w:rPr>
                    <w:t>沸点</w:t>
                  </w:r>
                  <w:r>
                    <w:rPr>
                      <w:rFonts w:hint="eastAsia"/>
                      <w:bCs/>
                      <w:szCs w:val="21"/>
                      <w:lang w:val="en-US" w:eastAsia="zh-CN"/>
                    </w:rPr>
                    <w:t>150</w:t>
                  </w:r>
                  <w:r>
                    <w:rPr>
                      <w:bCs/>
                      <w:szCs w:val="21"/>
                    </w:rPr>
                    <w:t>℃</w:t>
                  </w:r>
                  <w:r>
                    <w:rPr>
                      <w:rFonts w:hint="eastAsia"/>
                      <w:bCs/>
                      <w:szCs w:val="21"/>
                    </w:rPr>
                    <w:t>，</w:t>
                  </w:r>
                  <w:r>
                    <w:rPr>
                      <w:rFonts w:hint="default" w:ascii="Times New Roman" w:hAnsi="Times New Roman" w:eastAsia="宋体" w:cs="Times New Roman"/>
                      <w:color w:val="000000"/>
                      <w:kern w:val="0"/>
                      <w:sz w:val="21"/>
                      <w:szCs w:val="21"/>
                      <w:lang w:val="en-US" w:eastAsia="zh-CN" w:bidi="ar"/>
                    </w:rPr>
                    <w:t>爆炸界限（Ⅴ/Ⅴ）：9。0</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自燃温度480</w:t>
                  </w:r>
                  <w:r>
                    <w:rPr>
                      <w:bCs/>
                      <w:szCs w:val="21"/>
                    </w:rPr>
                    <w:t>℃</w:t>
                  </w:r>
                  <w:r>
                    <w:rPr>
                      <w:rFonts w:hint="eastAsia"/>
                      <w:bCs/>
                      <w:szCs w:val="21"/>
                      <w:lang w:eastAsia="zh-CN"/>
                    </w:rPr>
                    <w:t>，</w:t>
                  </w:r>
                  <w:r>
                    <w:rPr>
                      <w:rFonts w:hint="eastAsia"/>
                      <w:bCs/>
                      <w:szCs w:val="21"/>
                    </w:rPr>
                    <w:t>相对密度（水=1）0.9</w:t>
                  </w:r>
                  <w:r>
                    <w:rPr>
                      <w:rFonts w:hint="eastAsia"/>
                      <w:bCs/>
                      <w:szCs w:val="21"/>
                      <w:lang w:val="en-US" w:eastAsia="zh-CN"/>
                    </w:rPr>
                    <w:t>8</w:t>
                  </w:r>
                  <w:r>
                    <w:rPr>
                      <w:rFonts w:hint="eastAsia"/>
                      <w:bCs/>
                      <w:szCs w:val="21"/>
                    </w:rPr>
                    <w:t>。</w:t>
                  </w:r>
                </w:p>
              </w:tc>
            </w:tr>
            <w:tr w14:paraId="0EC1A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B735885">
                  <w:pPr>
                    <w:autoSpaceDE w:val="0"/>
                    <w:autoSpaceDN w:val="0"/>
                    <w:adjustRightInd w:val="0"/>
                    <w:snapToGrid w:val="0"/>
                    <w:jc w:val="center"/>
                    <w:rPr>
                      <w:rFonts w:hint="eastAsia" w:eastAsia="宋体"/>
                      <w:bCs/>
                      <w:szCs w:val="21"/>
                      <w:lang w:eastAsia="zh-CN"/>
                    </w:rPr>
                  </w:pPr>
                  <w:r>
                    <w:rPr>
                      <w:rFonts w:hint="eastAsia"/>
                      <w:bCs/>
                      <w:szCs w:val="21"/>
                      <w:lang w:val="en-US" w:eastAsia="zh-CN"/>
                    </w:rPr>
                    <w:t>6</w:t>
                  </w:r>
                </w:p>
              </w:tc>
              <w:tc>
                <w:tcPr>
                  <w:tcW w:w="672" w:type="dxa"/>
                  <w:vAlign w:val="center"/>
                </w:tcPr>
                <w:p w14:paraId="0838678A">
                  <w:pPr>
                    <w:autoSpaceDE w:val="0"/>
                    <w:autoSpaceDN w:val="0"/>
                    <w:adjustRightInd w:val="0"/>
                    <w:snapToGrid w:val="0"/>
                    <w:jc w:val="center"/>
                    <w:rPr>
                      <w:bCs/>
                      <w:szCs w:val="21"/>
                    </w:rPr>
                  </w:pPr>
                  <w:r>
                    <w:rPr>
                      <w:bCs/>
                      <w:szCs w:val="21"/>
                    </w:rPr>
                    <w:t>稀释剂</w:t>
                  </w:r>
                </w:p>
              </w:tc>
              <w:tc>
                <w:tcPr>
                  <w:tcW w:w="3588" w:type="dxa"/>
                  <w:vAlign w:val="center"/>
                </w:tcPr>
                <w:p w14:paraId="05880401">
                  <w:pPr>
                    <w:keepNext w:val="0"/>
                    <w:keepLines w:val="0"/>
                    <w:widowControl/>
                    <w:suppressLineNumbers w:val="0"/>
                    <w:jc w:val="left"/>
                    <w:rPr>
                      <w:bCs/>
                      <w:szCs w:val="21"/>
                    </w:rPr>
                  </w:pPr>
                  <w:r>
                    <w:rPr>
                      <w:rFonts w:hint="default" w:ascii="Times New Roman" w:hAnsi="Times New Roman" w:cs="Times New Roman"/>
                      <w:bCs/>
                      <w:sz w:val="21"/>
                      <w:szCs w:val="21"/>
                    </w:rPr>
                    <w:t>乙酸正酯25%～</w:t>
                  </w:r>
                  <w:r>
                    <w:rPr>
                      <w:rFonts w:hint="default" w:ascii="Times New Roman" w:hAnsi="Times New Roman" w:cs="Times New Roman"/>
                      <w:bCs/>
                      <w:sz w:val="21"/>
                      <w:szCs w:val="21"/>
                      <w:lang w:val="en-US" w:eastAsia="zh-CN"/>
                    </w:rPr>
                    <w:t>5</w:t>
                  </w:r>
                  <w:r>
                    <w:rPr>
                      <w:rFonts w:hint="default" w:ascii="Times New Roman" w:hAnsi="Times New Roman" w:cs="Times New Roman"/>
                      <w:bCs/>
                      <w:sz w:val="21"/>
                      <w:szCs w:val="21"/>
                    </w:rPr>
                    <w:t>0%，</w:t>
                  </w:r>
                  <w:r>
                    <w:rPr>
                      <w:rFonts w:hint="default" w:ascii="Times New Roman" w:hAnsi="Times New Roman" w:eastAsia="SimSun-WinCharSetFFFF-H" w:cs="Times New Roman"/>
                      <w:color w:val="000000"/>
                      <w:kern w:val="0"/>
                      <w:sz w:val="21"/>
                      <w:szCs w:val="21"/>
                      <w:lang w:val="en-US" w:eastAsia="zh-CN" w:bidi="ar"/>
                    </w:rPr>
                    <w:t>乙酸乙酯</w:t>
                  </w:r>
                  <w:r>
                    <w:rPr>
                      <w:rFonts w:hint="default" w:ascii="Times New Roman" w:hAnsi="Times New Roman" w:cs="Times New Roman"/>
                      <w:bCs/>
                      <w:sz w:val="21"/>
                      <w:szCs w:val="21"/>
                    </w:rPr>
                    <w:t>25%～</w:t>
                  </w:r>
                  <w:r>
                    <w:rPr>
                      <w:rFonts w:hint="default" w:ascii="Times New Roman" w:hAnsi="Times New Roman" w:cs="Times New Roman"/>
                      <w:bCs/>
                      <w:sz w:val="21"/>
                      <w:szCs w:val="21"/>
                      <w:lang w:val="en-US" w:eastAsia="zh-CN"/>
                    </w:rPr>
                    <w:t>5</w:t>
                  </w:r>
                  <w:r>
                    <w:rPr>
                      <w:rFonts w:hint="default" w:ascii="Times New Roman" w:hAnsi="Times New Roman" w:cs="Times New Roman"/>
                      <w:bCs/>
                      <w:sz w:val="21"/>
                      <w:szCs w:val="21"/>
                    </w:rPr>
                    <w:t>0%，</w:t>
                  </w:r>
                  <w:r>
                    <w:rPr>
                      <w:rFonts w:hint="default" w:ascii="Times New Roman" w:hAnsi="Times New Roman" w:eastAsia="SimSun-WinCharSetFFFF-H" w:cs="Times New Roman"/>
                      <w:color w:val="000000"/>
                      <w:kern w:val="0"/>
                      <w:sz w:val="21"/>
                      <w:szCs w:val="21"/>
                      <w:lang w:val="en-US" w:eastAsia="zh-CN" w:bidi="ar"/>
                    </w:rPr>
                    <w:t>4-甲基-2-戊酮</w:t>
                  </w:r>
                  <w:r>
                    <w:rPr>
                      <w:rFonts w:hint="default" w:ascii="Times New Roman" w:hAnsi="Times New Roman" w:eastAsia="宋体" w:cs="Times New Roman"/>
                      <w:bCs/>
                      <w:sz w:val="21"/>
                      <w:szCs w:val="21"/>
                      <w:lang w:val="en-US" w:eastAsia="zh-CN"/>
                    </w:rPr>
                    <w:t>25</w:t>
                  </w:r>
                  <w:r>
                    <w:rPr>
                      <w:rFonts w:hint="default" w:ascii="Times New Roman" w:hAnsi="Times New Roman" w:cs="Times New Roman"/>
                      <w:bCs/>
                      <w:sz w:val="21"/>
                      <w:szCs w:val="21"/>
                    </w:rPr>
                    <w:t>%～</w:t>
                  </w:r>
                  <w:r>
                    <w:rPr>
                      <w:rFonts w:hint="default" w:ascii="Times New Roman" w:hAnsi="Times New Roman" w:cs="Times New Roman"/>
                      <w:bCs/>
                      <w:sz w:val="21"/>
                      <w:szCs w:val="21"/>
                      <w:lang w:val="en-US" w:eastAsia="zh-CN"/>
                    </w:rPr>
                    <w:t>50</w:t>
                  </w:r>
                  <w:r>
                    <w:rPr>
                      <w:rFonts w:hint="default" w:ascii="Times New Roman" w:hAnsi="Times New Roman" w:cs="Times New Roman"/>
                      <w:bCs/>
                      <w:sz w:val="21"/>
                      <w:szCs w:val="21"/>
                    </w:rPr>
                    <w:t>%，</w:t>
                  </w:r>
                  <w:r>
                    <w:rPr>
                      <w:rFonts w:hint="default" w:ascii="Times New Roman" w:hAnsi="Times New Roman" w:eastAsia="SimSun-WinCharSetFFFF-H" w:cs="Times New Roman"/>
                      <w:color w:val="000000"/>
                      <w:kern w:val="0"/>
                      <w:sz w:val="21"/>
                      <w:szCs w:val="21"/>
                      <w:lang w:val="en-US" w:eastAsia="zh-CN" w:bidi="ar"/>
                    </w:rPr>
                    <w:t>2-丁氧基乙醇</w:t>
                  </w:r>
                  <w:r>
                    <w:rPr>
                      <w:rFonts w:hint="default" w:ascii="Times New Roman" w:hAnsi="Times New Roman" w:eastAsia="宋体" w:cs="Times New Roman"/>
                      <w:sz w:val="21"/>
                      <w:szCs w:val="21"/>
                      <w:lang w:val="en-US" w:eastAsia="zh-CN"/>
                    </w:rPr>
                    <w:t>10</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22</w:t>
                  </w:r>
                  <w:r>
                    <w:rPr>
                      <w:rFonts w:hint="default" w:ascii="Times New Roman" w:hAnsi="Times New Roman" w:cs="Times New Roman"/>
                      <w:sz w:val="21"/>
                      <w:szCs w:val="21"/>
                    </w:rPr>
                    <w:t>%。</w:t>
                  </w:r>
                </w:p>
              </w:tc>
              <w:tc>
                <w:tcPr>
                  <w:tcW w:w="3426" w:type="dxa"/>
                  <w:vAlign w:val="center"/>
                </w:tcPr>
                <w:p w14:paraId="4E2C60E4">
                  <w:pPr>
                    <w:autoSpaceDE w:val="0"/>
                    <w:autoSpaceDN w:val="0"/>
                    <w:adjustRightInd w:val="0"/>
                    <w:snapToGrid w:val="0"/>
                    <w:rPr>
                      <w:bCs/>
                      <w:szCs w:val="21"/>
                    </w:rPr>
                  </w:pPr>
                  <w:r>
                    <w:rPr>
                      <w:bCs/>
                      <w:szCs w:val="21"/>
                    </w:rPr>
                    <w:t>液体，</w:t>
                  </w:r>
                  <w:r>
                    <w:rPr>
                      <w:rFonts w:hint="eastAsia"/>
                      <w:bCs/>
                      <w:szCs w:val="21"/>
                    </w:rPr>
                    <w:t>沸点</w:t>
                  </w:r>
                  <w:r>
                    <w:rPr>
                      <w:rFonts w:hint="eastAsia"/>
                      <w:bCs/>
                      <w:szCs w:val="21"/>
                      <w:lang w:val="en-US" w:eastAsia="zh-CN"/>
                    </w:rPr>
                    <w:t>74</w:t>
                  </w:r>
                  <w:r>
                    <w:rPr>
                      <w:bCs/>
                      <w:szCs w:val="21"/>
                    </w:rPr>
                    <w:t>℃</w:t>
                  </w:r>
                  <w:r>
                    <w:rPr>
                      <w:rFonts w:hint="eastAsia"/>
                      <w:bCs/>
                      <w:szCs w:val="21"/>
                      <w:lang w:val="en-US" w:eastAsia="zh-CN"/>
                    </w:rPr>
                    <w:t>~172</w:t>
                  </w:r>
                  <w:r>
                    <w:rPr>
                      <w:bCs/>
                      <w:szCs w:val="21"/>
                    </w:rPr>
                    <w:t>℃</w:t>
                  </w:r>
                  <w:r>
                    <w:rPr>
                      <w:rFonts w:hint="eastAsia"/>
                      <w:bCs/>
                      <w:szCs w:val="21"/>
                    </w:rPr>
                    <w:t>，闪点</w:t>
                  </w:r>
                  <w:r>
                    <w:rPr>
                      <w:rFonts w:hint="eastAsia"/>
                      <w:bCs/>
                      <w:szCs w:val="21"/>
                      <w:lang w:val="en-US" w:eastAsia="zh-CN"/>
                    </w:rPr>
                    <w:t>14</w:t>
                  </w:r>
                  <w:r>
                    <w:rPr>
                      <w:bCs/>
                      <w:szCs w:val="21"/>
                    </w:rPr>
                    <w:t>℃</w:t>
                  </w:r>
                  <w:r>
                    <w:rPr>
                      <w:rFonts w:hint="eastAsia"/>
                      <w:bCs/>
                      <w:szCs w:val="21"/>
                    </w:rPr>
                    <w:t>（闭杯），爆炸上限11.</w:t>
                  </w:r>
                  <w:r>
                    <w:rPr>
                      <w:rFonts w:hint="eastAsia"/>
                      <w:bCs/>
                      <w:szCs w:val="21"/>
                      <w:lang w:val="en-US" w:eastAsia="zh-CN"/>
                    </w:rPr>
                    <w:t>5</w:t>
                  </w:r>
                  <w:r>
                    <w:rPr>
                      <w:rFonts w:hint="eastAsia"/>
                      <w:bCs/>
                      <w:szCs w:val="21"/>
                    </w:rPr>
                    <w:t>%，爆炸下限</w:t>
                  </w:r>
                  <w:r>
                    <w:rPr>
                      <w:rFonts w:hint="eastAsia"/>
                      <w:bCs/>
                      <w:szCs w:val="21"/>
                      <w:lang w:val="en-US" w:eastAsia="zh-CN"/>
                    </w:rPr>
                    <w:t>1.1</w:t>
                  </w:r>
                  <w:r>
                    <w:rPr>
                      <w:rFonts w:hint="eastAsia"/>
                      <w:bCs/>
                      <w:szCs w:val="21"/>
                    </w:rPr>
                    <w:t>%；相对密度（水=1）0.</w:t>
                  </w:r>
                  <w:r>
                    <w:rPr>
                      <w:rFonts w:hint="eastAsia"/>
                      <w:bCs/>
                      <w:szCs w:val="21"/>
                      <w:lang w:val="en-US" w:eastAsia="zh-CN"/>
                    </w:rPr>
                    <w:t>83</w:t>
                  </w:r>
                  <w:r>
                    <w:rPr>
                      <w:rFonts w:hint="eastAsia"/>
                      <w:bCs/>
                      <w:szCs w:val="21"/>
                    </w:rPr>
                    <w:t>。</w:t>
                  </w:r>
                </w:p>
              </w:tc>
            </w:tr>
            <w:tr w14:paraId="721A7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04" w:type="dxa"/>
                  <w:vAlign w:val="center"/>
                </w:tcPr>
                <w:p w14:paraId="4528C45A">
                  <w:pPr>
                    <w:autoSpaceDE w:val="0"/>
                    <w:autoSpaceDN w:val="0"/>
                    <w:adjustRightInd w:val="0"/>
                    <w:snapToGrid w:val="0"/>
                    <w:jc w:val="center"/>
                    <w:rPr>
                      <w:rFonts w:hint="eastAsia" w:eastAsia="宋体"/>
                      <w:bCs/>
                      <w:szCs w:val="21"/>
                      <w:lang w:eastAsia="zh-CN"/>
                    </w:rPr>
                  </w:pPr>
                  <w:r>
                    <w:rPr>
                      <w:rFonts w:hint="eastAsia"/>
                      <w:bCs/>
                      <w:szCs w:val="21"/>
                      <w:lang w:val="en-US" w:eastAsia="zh-CN"/>
                    </w:rPr>
                    <w:t>7</w:t>
                  </w:r>
                </w:p>
              </w:tc>
              <w:tc>
                <w:tcPr>
                  <w:tcW w:w="672" w:type="dxa"/>
                  <w:vAlign w:val="center"/>
                </w:tcPr>
                <w:p w14:paraId="3F166015">
                  <w:pPr>
                    <w:autoSpaceDE w:val="0"/>
                    <w:autoSpaceDN w:val="0"/>
                    <w:adjustRightInd w:val="0"/>
                    <w:snapToGrid w:val="0"/>
                    <w:jc w:val="center"/>
                    <w:rPr>
                      <w:bCs/>
                      <w:szCs w:val="21"/>
                    </w:rPr>
                  </w:pPr>
                  <w:r>
                    <w:rPr>
                      <w:bCs/>
                      <w:szCs w:val="21"/>
                    </w:rPr>
                    <w:t>固化剂</w:t>
                  </w:r>
                </w:p>
              </w:tc>
              <w:tc>
                <w:tcPr>
                  <w:tcW w:w="3588" w:type="dxa"/>
                  <w:vAlign w:val="center"/>
                </w:tcPr>
                <w:p w14:paraId="4FBC136D">
                  <w:pPr>
                    <w:wordWrap w:val="0"/>
                    <w:autoSpaceDE w:val="0"/>
                    <w:autoSpaceDN w:val="0"/>
                    <w:adjustRightInd w:val="0"/>
                    <w:snapToGrid w:val="0"/>
                    <w:rPr>
                      <w:rFonts w:hint="eastAsia" w:eastAsia="宋体"/>
                      <w:bCs/>
                      <w:szCs w:val="21"/>
                      <w:lang w:val="en-US" w:eastAsia="zh-CN"/>
                    </w:rPr>
                  </w:pPr>
                  <w:r>
                    <w:t>1,6-二异氰酸根合己烷的均聚物</w:t>
                  </w:r>
                  <w:r>
                    <w:rPr>
                      <w:rFonts w:hint="eastAsia"/>
                    </w:rPr>
                    <w:t>40%～70%，</w:t>
                  </w:r>
                  <w:r>
                    <w:rPr>
                      <w:bCs/>
                      <w:szCs w:val="21"/>
                    </w:rPr>
                    <w:t>乙酸正丁酯</w:t>
                  </w:r>
                  <w:r>
                    <w:rPr>
                      <w:rFonts w:hint="eastAsia"/>
                      <w:lang w:val="en-US" w:eastAsia="zh-CN"/>
                    </w:rPr>
                    <w:t>10</w:t>
                  </w:r>
                  <w:r>
                    <w:rPr>
                      <w:rFonts w:hint="eastAsia"/>
                    </w:rPr>
                    <w:t>%~</w:t>
                  </w:r>
                  <w:r>
                    <w:rPr>
                      <w:rFonts w:hint="eastAsia"/>
                      <w:lang w:val="en-US" w:eastAsia="zh-CN"/>
                    </w:rPr>
                    <w:t>25</w:t>
                  </w:r>
                  <w:r>
                    <w:rPr>
                      <w:rFonts w:hint="eastAsia"/>
                    </w:rPr>
                    <w:t>%，</w:t>
                  </w:r>
                  <w:r>
                    <w:t>二甲苯异构体混合物</w:t>
                  </w:r>
                  <w:r>
                    <w:rPr>
                      <w:rFonts w:hint="eastAsia"/>
                    </w:rPr>
                    <w:t>1%～10%，</w:t>
                  </w:r>
                  <w:r>
                    <w:t>轻芳烃溶剂石脑油</w:t>
                  </w:r>
                  <w:r>
                    <w:rPr>
                      <w:rFonts w:hint="eastAsia"/>
                    </w:rPr>
                    <w:t>1%～10%，1,2,4-三甲苯1%～10%</w:t>
                  </w:r>
                  <w:r>
                    <w:rPr>
                      <w:rFonts w:hint="eastAsia"/>
                      <w:lang w:eastAsia="zh-CN"/>
                    </w:rPr>
                    <w:t>，</w:t>
                  </w:r>
                  <w:r>
                    <w:rPr>
                      <w:rFonts w:hint="eastAsia"/>
                      <w:lang w:val="en-US" w:eastAsia="zh-CN"/>
                    </w:rPr>
                    <w:t>乙苯</w:t>
                  </w:r>
                  <w:r>
                    <w:rPr>
                      <w:rFonts w:hint="eastAsia"/>
                    </w:rPr>
                    <w:t>0.1%～1%</w:t>
                  </w:r>
                  <w:r>
                    <w:rPr>
                      <w:rFonts w:hint="eastAsia"/>
                      <w:lang w:eastAsia="zh-CN"/>
                    </w:rPr>
                    <w:t>。</w:t>
                  </w:r>
                </w:p>
              </w:tc>
              <w:tc>
                <w:tcPr>
                  <w:tcW w:w="3426" w:type="dxa"/>
                  <w:vAlign w:val="center"/>
                </w:tcPr>
                <w:p w14:paraId="512F4744">
                  <w:pPr>
                    <w:autoSpaceDE w:val="0"/>
                    <w:autoSpaceDN w:val="0"/>
                    <w:adjustRightInd w:val="0"/>
                    <w:snapToGrid w:val="0"/>
                    <w:rPr>
                      <w:bCs/>
                      <w:szCs w:val="21"/>
                    </w:rPr>
                  </w:pPr>
                  <w:r>
                    <w:rPr>
                      <w:bCs/>
                      <w:szCs w:val="21"/>
                    </w:rPr>
                    <w:t>清澈液体，</w:t>
                  </w:r>
                  <w:r>
                    <w:rPr>
                      <w:rFonts w:hint="eastAsia"/>
                      <w:bCs/>
                      <w:szCs w:val="21"/>
                    </w:rPr>
                    <w:t>沸点＞37.78</w:t>
                  </w:r>
                  <w:r>
                    <w:rPr>
                      <w:bCs/>
                      <w:szCs w:val="21"/>
                    </w:rPr>
                    <w:t>℃</w:t>
                  </w:r>
                  <w:r>
                    <w:rPr>
                      <w:rFonts w:hint="eastAsia"/>
                      <w:bCs/>
                      <w:szCs w:val="21"/>
                    </w:rPr>
                    <w:t>，闪点3</w:t>
                  </w:r>
                  <w:r>
                    <w:rPr>
                      <w:rFonts w:hint="eastAsia"/>
                      <w:bCs/>
                      <w:szCs w:val="21"/>
                      <w:lang w:val="en-US" w:eastAsia="zh-CN"/>
                    </w:rPr>
                    <w:t>9</w:t>
                  </w:r>
                  <w:r>
                    <w:rPr>
                      <w:bCs/>
                      <w:szCs w:val="21"/>
                    </w:rPr>
                    <w:t>℃</w:t>
                  </w:r>
                  <w:r>
                    <w:rPr>
                      <w:rFonts w:hint="eastAsia"/>
                      <w:bCs/>
                      <w:szCs w:val="21"/>
                    </w:rPr>
                    <w:t>（闭杯），爆炸上限7.6%，爆炸下限1.4%；相对密度（水=1）1.0</w:t>
                  </w:r>
                  <w:r>
                    <w:rPr>
                      <w:rFonts w:hint="eastAsia"/>
                      <w:bCs/>
                      <w:szCs w:val="21"/>
                      <w:lang w:val="en-US" w:eastAsia="zh-CN"/>
                    </w:rPr>
                    <w:t>6</w:t>
                  </w:r>
                  <w:r>
                    <w:rPr>
                      <w:rFonts w:hint="eastAsia"/>
                      <w:bCs/>
                      <w:szCs w:val="21"/>
                    </w:rPr>
                    <w:t>，不溶于冷水。</w:t>
                  </w:r>
                </w:p>
              </w:tc>
            </w:tr>
          </w:tbl>
          <w:p w14:paraId="08667075">
            <w:pPr>
              <w:wordWrap/>
              <w:autoSpaceDE w:val="0"/>
              <w:autoSpaceDN w:val="0"/>
              <w:adjustRightInd/>
              <w:snapToGrid/>
              <w:spacing w:line="360" w:lineRule="auto"/>
              <w:ind w:firstLine="420" w:firstLineChars="200"/>
              <w:outlineLvl w:val="9"/>
              <w:rPr>
                <w:rFonts w:ascii="Times New Roman" w:hAnsi="Times New Roman" w:eastAsia="宋体"/>
                <w:b/>
                <w:bCs/>
                <w:color w:val="auto"/>
                <w:sz w:val="21"/>
                <w:szCs w:val="21"/>
              </w:rPr>
            </w:pPr>
            <w:r>
              <w:rPr>
                <w:rFonts w:ascii="Times New Roman" w:hAnsi="Times New Roman" w:eastAsia="宋体"/>
                <w:b w:val="0"/>
                <w:color w:val="auto"/>
                <w:sz w:val="21"/>
                <w:szCs w:val="21"/>
              </w:rPr>
              <w:t>根据《低挥发性有机化合物含量涂料产品技术要求》（GB/T38597-2020）对本项目涉及的原辅料进行分析如下：</w:t>
            </w:r>
          </w:p>
          <w:p w14:paraId="5A6403A1">
            <w:pPr>
              <w:wordWrap/>
              <w:autoSpaceDE w:val="0"/>
              <w:autoSpaceDN w:val="0"/>
              <w:adjustRightInd/>
              <w:snapToGrid/>
              <w:spacing w:line="240" w:lineRule="auto"/>
              <w:ind w:firstLine="422" w:firstLineChars="200"/>
              <w:jc w:val="center"/>
              <w:outlineLvl w:val="9"/>
              <w:rPr>
                <w:rFonts w:ascii="Times New Roman" w:hAnsi="Times New Roman" w:eastAsia="宋体"/>
                <w:b/>
                <w:bCs/>
                <w:color w:val="auto"/>
                <w:sz w:val="21"/>
                <w:szCs w:val="21"/>
              </w:rPr>
            </w:pPr>
            <w:r>
              <w:rPr>
                <w:rFonts w:hint="eastAsia" w:ascii="Times New Roman" w:hAnsi="Times New Roman" w:eastAsia="宋体"/>
                <w:b/>
                <w:bCs/>
                <w:color w:val="auto"/>
                <w:sz w:val="21"/>
                <w:szCs w:val="21"/>
              </w:rPr>
              <w:t>表2-</w:t>
            </w:r>
            <w:r>
              <w:rPr>
                <w:rFonts w:hint="eastAsia" w:ascii="Times New Roman" w:hAnsi="Times New Roman" w:eastAsia="宋体"/>
                <w:b/>
                <w:bCs/>
                <w:color w:val="auto"/>
                <w:sz w:val="21"/>
                <w:szCs w:val="21"/>
                <w:lang w:val="en-US" w:eastAsia="zh-CN"/>
              </w:rPr>
              <w:t>5</w:t>
            </w:r>
            <w:r>
              <w:rPr>
                <w:rFonts w:hint="eastAsia" w:ascii="Times New Roman" w:hAnsi="Times New Roman" w:eastAsia="宋体"/>
                <w:b/>
                <w:bCs/>
                <w:color w:val="auto"/>
                <w:sz w:val="21"/>
                <w:szCs w:val="21"/>
              </w:rPr>
              <w:t>主要原辅材料符合性分析</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744"/>
              <w:gridCol w:w="2304"/>
              <w:gridCol w:w="3540"/>
            </w:tblGrid>
            <w:tr w14:paraId="5C044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14:paraId="421E94B8">
                  <w:pPr>
                    <w:autoSpaceDE w:val="0"/>
                    <w:autoSpaceDN w:val="0"/>
                    <w:adjustRightInd w:val="0"/>
                    <w:snapToGrid w:val="0"/>
                    <w:jc w:val="center"/>
                    <w:rPr>
                      <w:bCs/>
                      <w:szCs w:val="21"/>
                    </w:rPr>
                  </w:pPr>
                  <w:r>
                    <w:rPr>
                      <w:bCs/>
                      <w:szCs w:val="21"/>
                    </w:rPr>
                    <w:t>物料名称</w:t>
                  </w:r>
                </w:p>
              </w:tc>
              <w:tc>
                <w:tcPr>
                  <w:tcW w:w="1744" w:type="dxa"/>
                  <w:vAlign w:val="center"/>
                </w:tcPr>
                <w:p w14:paraId="3EE09B4B">
                  <w:pPr>
                    <w:autoSpaceDE w:val="0"/>
                    <w:autoSpaceDN w:val="0"/>
                    <w:adjustRightInd w:val="0"/>
                    <w:snapToGrid w:val="0"/>
                    <w:jc w:val="center"/>
                    <w:rPr>
                      <w:bCs/>
                      <w:szCs w:val="21"/>
                    </w:rPr>
                  </w:pPr>
                  <w:r>
                    <w:rPr>
                      <w:bCs/>
                      <w:szCs w:val="21"/>
                    </w:rPr>
                    <w:t>标准来源</w:t>
                  </w:r>
                </w:p>
              </w:tc>
              <w:tc>
                <w:tcPr>
                  <w:tcW w:w="2304" w:type="dxa"/>
                  <w:vAlign w:val="center"/>
                </w:tcPr>
                <w:p w14:paraId="7E553F08">
                  <w:pPr>
                    <w:autoSpaceDE w:val="0"/>
                    <w:autoSpaceDN w:val="0"/>
                    <w:adjustRightInd w:val="0"/>
                    <w:snapToGrid w:val="0"/>
                    <w:jc w:val="center"/>
                    <w:rPr>
                      <w:bCs/>
                      <w:szCs w:val="21"/>
                    </w:rPr>
                  </w:pPr>
                  <w:r>
                    <w:rPr>
                      <w:bCs/>
                      <w:szCs w:val="21"/>
                    </w:rPr>
                    <w:t>标准要求</w:t>
                  </w:r>
                </w:p>
              </w:tc>
              <w:tc>
                <w:tcPr>
                  <w:tcW w:w="3540" w:type="dxa"/>
                  <w:vAlign w:val="center"/>
                </w:tcPr>
                <w:p w14:paraId="11FA9C7D">
                  <w:pPr>
                    <w:autoSpaceDE w:val="0"/>
                    <w:autoSpaceDN w:val="0"/>
                    <w:adjustRightInd w:val="0"/>
                    <w:snapToGrid w:val="0"/>
                    <w:jc w:val="center"/>
                    <w:rPr>
                      <w:bCs/>
                      <w:szCs w:val="21"/>
                    </w:rPr>
                  </w:pPr>
                  <w:r>
                    <w:rPr>
                      <w:bCs/>
                      <w:szCs w:val="21"/>
                    </w:rPr>
                    <w:t>本项目</w:t>
                  </w:r>
                </w:p>
              </w:tc>
            </w:tr>
            <w:tr w14:paraId="1FC22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14:paraId="0BD9D4FB">
                  <w:pPr>
                    <w:autoSpaceDE w:val="0"/>
                    <w:autoSpaceDN w:val="0"/>
                    <w:adjustRightInd w:val="0"/>
                    <w:snapToGrid w:val="0"/>
                    <w:jc w:val="center"/>
                    <w:rPr>
                      <w:bCs/>
                      <w:szCs w:val="21"/>
                    </w:rPr>
                  </w:pPr>
                  <w:r>
                    <w:rPr>
                      <w:rFonts w:hint="eastAsia"/>
                      <w:bCs/>
                      <w:szCs w:val="21"/>
                      <w:lang w:val="en-US" w:eastAsia="zh-CN"/>
                    </w:rPr>
                    <w:t>底漆（</w:t>
                  </w:r>
                  <w:r>
                    <w:rPr>
                      <w:bCs/>
                      <w:szCs w:val="21"/>
                    </w:rPr>
                    <w:t>色漆</w:t>
                  </w:r>
                  <w:r>
                    <w:rPr>
                      <w:rFonts w:hint="eastAsia"/>
                      <w:bCs/>
                      <w:szCs w:val="21"/>
                      <w:lang w:val="en-US" w:eastAsia="zh-CN"/>
                    </w:rPr>
                    <w:t>）</w:t>
                  </w:r>
                </w:p>
              </w:tc>
              <w:tc>
                <w:tcPr>
                  <w:tcW w:w="1744" w:type="dxa"/>
                  <w:vAlign w:val="center"/>
                </w:tcPr>
                <w:p w14:paraId="19994993">
                  <w:pPr>
                    <w:wordWrap w:val="0"/>
                    <w:autoSpaceDE w:val="0"/>
                    <w:autoSpaceDN w:val="0"/>
                    <w:adjustRightInd w:val="0"/>
                    <w:snapToGrid w:val="0"/>
                    <w:jc w:val="center"/>
                    <w:rPr>
                      <w:bCs/>
                      <w:szCs w:val="21"/>
                    </w:rPr>
                  </w:pPr>
                  <w:r>
                    <w:t>《低挥发性有机化合物含量涂料产品技术要求》（GB/T38597-2020）</w:t>
                  </w:r>
                </w:p>
              </w:tc>
              <w:tc>
                <w:tcPr>
                  <w:tcW w:w="2304" w:type="dxa"/>
                  <w:vAlign w:val="center"/>
                </w:tcPr>
                <w:p w14:paraId="1ED7A786">
                  <w:pPr>
                    <w:autoSpaceDE w:val="0"/>
                    <w:autoSpaceDN w:val="0"/>
                    <w:adjustRightInd w:val="0"/>
                    <w:snapToGrid w:val="0"/>
                    <w:rPr>
                      <w:bCs/>
                      <w:szCs w:val="21"/>
                    </w:rPr>
                  </w:pPr>
                  <w:r>
                    <w:t>表1水性涂料中VOC</w:t>
                  </w:r>
                  <w:r>
                    <w:rPr>
                      <w:rFonts w:hint="eastAsia"/>
                    </w:rPr>
                    <w:t>s</w:t>
                  </w:r>
                  <w:r>
                    <w:t>含量的要求，</w:t>
                  </w:r>
                  <w:r>
                    <w:rPr>
                      <w:rFonts w:hint="eastAsia"/>
                      <w:lang w:eastAsia="zh-CN"/>
                    </w:rPr>
                    <w:t>汽车和轨道交通车辆用零部件</w:t>
                  </w:r>
                  <w:r>
                    <w:t>涂料</w:t>
                  </w:r>
                  <w:r>
                    <w:rPr>
                      <w:rFonts w:hint="eastAsia"/>
                      <w:lang w:eastAsia="zh-CN"/>
                    </w:rPr>
                    <w:t>（</w:t>
                  </w:r>
                  <w:r>
                    <w:rPr>
                      <w:rFonts w:hint="eastAsia"/>
                      <w:lang w:val="en-US" w:eastAsia="zh-CN"/>
                    </w:rPr>
                    <w:t>外饰塑料件</w:t>
                  </w:r>
                  <w:r>
                    <w:rPr>
                      <w:rFonts w:hint="eastAsia"/>
                      <w:lang w:eastAsia="zh-CN"/>
                    </w:rPr>
                    <w:t>）</w:t>
                  </w:r>
                  <w:r>
                    <w:t>/底漆</w:t>
                  </w:r>
                  <w:r>
                    <w:rPr>
                      <w:rFonts w:hint="eastAsia"/>
                      <w:lang w:val="en-US" w:eastAsia="zh-CN"/>
                    </w:rPr>
                    <w:t>/色漆</w:t>
                  </w:r>
                  <w:r>
                    <w:t>≤</w:t>
                  </w:r>
                  <w:r>
                    <w:rPr>
                      <w:rFonts w:hint="eastAsia"/>
                      <w:lang w:val="en-US" w:eastAsia="zh-CN"/>
                    </w:rPr>
                    <w:t>42</w:t>
                  </w:r>
                  <w:r>
                    <w:t>0g/L</w:t>
                  </w:r>
                </w:p>
              </w:tc>
              <w:tc>
                <w:tcPr>
                  <w:tcW w:w="3540" w:type="dxa"/>
                  <w:vAlign w:val="center"/>
                </w:tcPr>
                <w:p w14:paraId="68516F9B">
                  <w:pPr>
                    <w:autoSpaceDE w:val="0"/>
                    <w:autoSpaceDN w:val="0"/>
                    <w:adjustRightInd w:val="0"/>
                    <w:snapToGrid w:val="0"/>
                    <w:rPr>
                      <w:bCs/>
                      <w:szCs w:val="21"/>
                    </w:rPr>
                  </w:pPr>
                  <w:r>
                    <w:t>根据</w:t>
                  </w:r>
                  <w:r>
                    <w:rPr>
                      <w:rFonts w:hint="eastAsia"/>
                      <w:lang w:eastAsia="zh-CN"/>
                    </w:rPr>
                    <w:t>重庆市计量质量检测研究院</w:t>
                  </w:r>
                  <w:r>
                    <w:t>检测报告（</w:t>
                  </w:r>
                  <w:r>
                    <w:rPr>
                      <w:rFonts w:hint="eastAsia"/>
                      <w:lang w:eastAsia="zh-CN"/>
                    </w:rPr>
                    <w:t>2023-08SH080016</w:t>
                  </w:r>
                  <w:r>
                    <w:t>），即用状态下，色漆VOC</w:t>
                  </w:r>
                  <w:r>
                    <w:rPr>
                      <w:rFonts w:hint="eastAsia"/>
                    </w:rPr>
                    <w:t>s</w:t>
                  </w:r>
                  <w:r>
                    <w:t>含量为</w:t>
                  </w:r>
                  <w:r>
                    <w:rPr>
                      <w:rFonts w:hint="eastAsia"/>
                      <w:lang w:val="en-US" w:eastAsia="zh-CN"/>
                    </w:rPr>
                    <w:t>395</w:t>
                  </w:r>
                  <w:r>
                    <w:t>g/L，符合要求。</w:t>
                  </w:r>
                </w:p>
              </w:tc>
            </w:tr>
            <w:tr w14:paraId="6A707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14:paraId="3FBDFED9">
                  <w:pPr>
                    <w:autoSpaceDE w:val="0"/>
                    <w:autoSpaceDN w:val="0"/>
                    <w:adjustRightInd w:val="0"/>
                    <w:snapToGrid w:val="0"/>
                    <w:jc w:val="center"/>
                    <w:rPr>
                      <w:rFonts w:hint="eastAsia" w:eastAsia="宋体"/>
                      <w:bCs/>
                      <w:szCs w:val="21"/>
                      <w:lang w:val="en-US" w:eastAsia="zh-CN"/>
                    </w:rPr>
                  </w:pPr>
                  <w:r>
                    <w:rPr>
                      <w:rFonts w:hint="eastAsia"/>
                      <w:bCs/>
                      <w:szCs w:val="21"/>
                      <w:lang w:val="en-US" w:eastAsia="zh-CN"/>
                    </w:rPr>
                    <w:t>面漆</w:t>
                  </w:r>
                </w:p>
              </w:tc>
              <w:tc>
                <w:tcPr>
                  <w:tcW w:w="1744" w:type="dxa"/>
                  <w:vAlign w:val="center"/>
                </w:tcPr>
                <w:p w14:paraId="0DA9421E">
                  <w:pPr>
                    <w:wordWrap w:val="0"/>
                    <w:autoSpaceDE w:val="0"/>
                    <w:autoSpaceDN w:val="0"/>
                    <w:adjustRightInd w:val="0"/>
                    <w:snapToGrid w:val="0"/>
                    <w:jc w:val="center"/>
                    <w:rPr>
                      <w:rFonts w:hint="eastAsia" w:eastAsia="宋体"/>
                      <w:lang w:val="en-US" w:eastAsia="zh-CN"/>
                    </w:rPr>
                  </w:pPr>
                  <w:r>
                    <w:rPr>
                      <w:rFonts w:hint="eastAsia"/>
                      <w:lang w:val="en-US" w:eastAsia="zh-CN"/>
                    </w:rPr>
                    <w:t>/</w:t>
                  </w:r>
                </w:p>
              </w:tc>
              <w:tc>
                <w:tcPr>
                  <w:tcW w:w="2304" w:type="dxa"/>
                  <w:vAlign w:val="center"/>
                </w:tcPr>
                <w:p w14:paraId="0CE40040">
                  <w:pPr>
                    <w:autoSpaceDE w:val="0"/>
                    <w:autoSpaceDN w:val="0"/>
                    <w:adjustRightInd w:val="0"/>
                    <w:snapToGrid w:val="0"/>
                    <w:jc w:val="center"/>
                    <w:rPr>
                      <w:rFonts w:hint="eastAsia" w:eastAsia="宋体"/>
                      <w:lang w:val="en-US" w:eastAsia="zh-CN"/>
                    </w:rPr>
                  </w:pPr>
                  <w:r>
                    <w:rPr>
                      <w:rFonts w:hint="eastAsia"/>
                      <w:lang w:val="en-US" w:eastAsia="zh-CN"/>
                    </w:rPr>
                    <w:t>/</w:t>
                  </w:r>
                </w:p>
              </w:tc>
              <w:tc>
                <w:tcPr>
                  <w:tcW w:w="3540" w:type="dxa"/>
                  <w:vAlign w:val="center"/>
                </w:tcPr>
                <w:p w14:paraId="50C65F30">
                  <w:pPr>
                    <w:keepNext w:val="0"/>
                    <w:keepLines w:val="0"/>
                    <w:widowControl/>
                    <w:suppressLineNumbers w:val="0"/>
                    <w:jc w:val="left"/>
                  </w:pPr>
                  <w:r>
                    <w:t>根据</w:t>
                  </w:r>
                  <w:r>
                    <w:rPr>
                      <w:rFonts w:hint="eastAsia"/>
                      <w:lang w:eastAsia="zh-CN"/>
                    </w:rPr>
                    <w:t>重庆市计量质量检测研究院</w:t>
                  </w:r>
                  <w:r>
                    <w:t>检测报告（</w:t>
                  </w:r>
                  <w:r>
                    <w:rPr>
                      <w:rFonts w:hint="eastAsia"/>
                      <w:lang w:eastAsia="zh-CN"/>
                    </w:rPr>
                    <w:t>2023-</w:t>
                  </w:r>
                  <w:r>
                    <w:rPr>
                      <w:rFonts w:hint="default" w:ascii="Times New Roman" w:hAnsi="Times New Roman" w:eastAsia="宋体" w:cs="Times New Roman"/>
                      <w:color w:val="000000"/>
                      <w:kern w:val="0"/>
                      <w:sz w:val="21"/>
                      <w:szCs w:val="21"/>
                      <w:lang w:val="en-US" w:eastAsia="zh-CN" w:bidi="ar"/>
                    </w:rPr>
                    <w:t>08SH040311</w:t>
                  </w:r>
                  <w:r>
                    <w:t>），即用状态下，</w:t>
                  </w:r>
                  <w:r>
                    <w:rPr>
                      <w:rFonts w:hint="eastAsia"/>
                      <w:lang w:val="en-US" w:eastAsia="zh-CN"/>
                    </w:rPr>
                    <w:t>面</w:t>
                  </w:r>
                  <w:r>
                    <w:t>漆VOC</w:t>
                  </w:r>
                  <w:r>
                    <w:rPr>
                      <w:rFonts w:hint="eastAsia"/>
                    </w:rPr>
                    <w:t>s</w:t>
                  </w:r>
                  <w:r>
                    <w:t>含量为</w:t>
                  </w:r>
                  <w:r>
                    <w:rPr>
                      <w:rFonts w:hint="eastAsia"/>
                      <w:lang w:val="en-US" w:eastAsia="zh-CN"/>
                    </w:rPr>
                    <w:t>320</w:t>
                  </w:r>
                  <w:r>
                    <w:t>g/L</w:t>
                  </w:r>
                </w:p>
              </w:tc>
            </w:tr>
            <w:tr w14:paraId="57B27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14:paraId="078E7AB7">
                  <w:pPr>
                    <w:autoSpaceDE w:val="0"/>
                    <w:autoSpaceDN w:val="0"/>
                    <w:adjustRightInd w:val="0"/>
                    <w:snapToGrid w:val="0"/>
                    <w:jc w:val="center"/>
                    <w:rPr>
                      <w:rFonts w:hint="default"/>
                      <w:bCs/>
                      <w:szCs w:val="21"/>
                      <w:lang w:val="en-US" w:eastAsia="zh-CN"/>
                    </w:rPr>
                  </w:pPr>
                  <w:r>
                    <w:rPr>
                      <w:rFonts w:hint="eastAsia"/>
                      <w:bCs/>
                      <w:szCs w:val="21"/>
                      <w:lang w:val="en-US" w:eastAsia="zh-CN"/>
                    </w:rPr>
                    <w:t>清漆</w:t>
                  </w:r>
                </w:p>
              </w:tc>
              <w:tc>
                <w:tcPr>
                  <w:tcW w:w="1744" w:type="dxa"/>
                  <w:vAlign w:val="center"/>
                </w:tcPr>
                <w:p w14:paraId="652EB177">
                  <w:pPr>
                    <w:wordWrap w:val="0"/>
                    <w:autoSpaceDE w:val="0"/>
                    <w:autoSpaceDN w:val="0"/>
                    <w:adjustRightInd w:val="0"/>
                    <w:snapToGrid w:val="0"/>
                    <w:jc w:val="center"/>
                    <w:rPr>
                      <w:rFonts w:hint="eastAsia"/>
                      <w:lang w:val="en-US" w:eastAsia="zh-CN"/>
                    </w:rPr>
                  </w:pPr>
                  <w:r>
                    <w:t>《低挥发性有机化合物含量涂料产品技术要求》（GB/T38597-2020）</w:t>
                  </w:r>
                </w:p>
              </w:tc>
              <w:tc>
                <w:tcPr>
                  <w:tcW w:w="2304" w:type="dxa"/>
                  <w:vAlign w:val="center"/>
                </w:tcPr>
                <w:p w14:paraId="027B21D6">
                  <w:pPr>
                    <w:autoSpaceDE w:val="0"/>
                    <w:autoSpaceDN w:val="0"/>
                    <w:adjustRightInd w:val="0"/>
                    <w:snapToGrid w:val="0"/>
                    <w:jc w:val="center"/>
                    <w:rPr>
                      <w:rFonts w:hint="eastAsia" w:eastAsia="宋体"/>
                      <w:lang w:val="en-US" w:eastAsia="zh-CN"/>
                    </w:rPr>
                  </w:pPr>
                  <w:r>
                    <w:t>表</w:t>
                  </w:r>
                  <w:r>
                    <w:rPr>
                      <w:rFonts w:hint="eastAsia"/>
                      <w:lang w:val="en-US" w:eastAsia="zh-CN"/>
                    </w:rPr>
                    <w:t>2溶剂型</w:t>
                  </w:r>
                  <w:r>
                    <w:t>涂料中VOC</w:t>
                  </w:r>
                  <w:r>
                    <w:rPr>
                      <w:rFonts w:hint="eastAsia"/>
                    </w:rPr>
                    <w:t>s</w:t>
                  </w:r>
                  <w:r>
                    <w:t>含量的要求，</w:t>
                  </w:r>
                  <w:r>
                    <w:rPr>
                      <w:rFonts w:hint="eastAsia"/>
                      <w:lang w:eastAsia="zh-CN"/>
                    </w:rPr>
                    <w:t>汽车和轨道交通车辆用零部件</w:t>
                  </w:r>
                  <w:r>
                    <w:t>涂料</w:t>
                  </w:r>
                  <w:r>
                    <w:rPr>
                      <w:rFonts w:hint="eastAsia"/>
                      <w:lang w:eastAsia="zh-CN"/>
                    </w:rPr>
                    <w:t>（</w:t>
                  </w:r>
                  <w:r>
                    <w:rPr>
                      <w:rFonts w:hint="eastAsia"/>
                      <w:lang w:val="en-US" w:eastAsia="zh-CN"/>
                    </w:rPr>
                    <w:t>外饰塑料件</w:t>
                  </w:r>
                  <w:r>
                    <w:rPr>
                      <w:rFonts w:hint="eastAsia"/>
                      <w:lang w:eastAsia="zh-CN"/>
                    </w:rPr>
                    <w:t>）</w:t>
                  </w:r>
                  <w:r>
                    <w:t>/</w:t>
                  </w:r>
                  <w:r>
                    <w:rPr>
                      <w:rFonts w:hint="eastAsia"/>
                      <w:lang w:val="en-US" w:eastAsia="zh-CN"/>
                    </w:rPr>
                    <w:t>清漆</w:t>
                  </w:r>
                  <w:r>
                    <w:t>≤</w:t>
                  </w:r>
                  <w:r>
                    <w:rPr>
                      <w:rFonts w:hint="eastAsia"/>
                      <w:lang w:val="en-US" w:eastAsia="zh-CN"/>
                    </w:rPr>
                    <w:t>56</w:t>
                  </w:r>
                  <w:r>
                    <w:t>0g/L</w:t>
                  </w:r>
                </w:p>
              </w:tc>
              <w:tc>
                <w:tcPr>
                  <w:tcW w:w="3540" w:type="dxa"/>
                  <w:vAlign w:val="center"/>
                </w:tcPr>
                <w:p w14:paraId="1E2A70A6">
                  <w:pPr>
                    <w:keepNext w:val="0"/>
                    <w:keepLines w:val="0"/>
                    <w:widowControl/>
                    <w:suppressLineNumbers w:val="0"/>
                    <w:jc w:val="left"/>
                  </w:pPr>
                  <w:r>
                    <w:t>根据</w:t>
                  </w:r>
                  <w:r>
                    <w:rPr>
                      <w:rFonts w:hint="eastAsia"/>
                      <w:lang w:eastAsia="zh-CN"/>
                    </w:rPr>
                    <w:t>重庆市计量质量检测研究院</w:t>
                  </w:r>
                  <w:r>
                    <w:t>检测报告（</w:t>
                  </w:r>
                  <w:r>
                    <w:rPr>
                      <w:rFonts w:hint="eastAsia"/>
                      <w:lang w:eastAsia="zh-CN"/>
                    </w:rPr>
                    <w:t>2023-</w:t>
                  </w:r>
                  <w:r>
                    <w:rPr>
                      <w:rFonts w:hint="eastAsia" w:cs="Times New Roman"/>
                      <w:color w:val="000000"/>
                      <w:kern w:val="0"/>
                      <w:sz w:val="21"/>
                      <w:szCs w:val="21"/>
                      <w:lang w:val="en-US" w:eastAsia="zh-CN" w:bidi="ar"/>
                    </w:rPr>
                    <w:t>08SH080018</w:t>
                  </w:r>
                  <w:r>
                    <w:t>），即用状态下，</w:t>
                  </w:r>
                  <w:r>
                    <w:rPr>
                      <w:rFonts w:hint="eastAsia"/>
                      <w:lang w:val="en-US" w:eastAsia="zh-CN"/>
                    </w:rPr>
                    <w:t>面</w:t>
                  </w:r>
                  <w:r>
                    <w:t>漆VOC</w:t>
                  </w:r>
                  <w:r>
                    <w:rPr>
                      <w:rFonts w:hint="eastAsia"/>
                    </w:rPr>
                    <w:t>s</w:t>
                  </w:r>
                  <w:r>
                    <w:t>含量为</w:t>
                  </w:r>
                  <w:r>
                    <w:rPr>
                      <w:rFonts w:hint="eastAsia"/>
                      <w:lang w:val="en-US" w:eastAsia="zh-CN"/>
                    </w:rPr>
                    <w:t>415</w:t>
                  </w:r>
                  <w:r>
                    <w:t>g/L</w:t>
                  </w:r>
                </w:p>
              </w:tc>
            </w:tr>
          </w:tbl>
          <w:p w14:paraId="028D7953">
            <w:pPr>
              <w:wordWrap/>
              <w:autoSpaceDE w:val="0"/>
              <w:autoSpaceDN w:val="0"/>
              <w:adjustRightInd/>
              <w:snapToGrid/>
              <w:spacing w:line="360" w:lineRule="auto"/>
              <w:ind w:firstLine="420" w:firstLineChars="20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综上所述本项目所用涂料均满足《低挥发性有机化合物含量涂料产品技术要求》 （GB/T38597-2020）规定的限值要求。</w:t>
            </w:r>
          </w:p>
          <w:p w14:paraId="47346F9F">
            <w:pPr>
              <w:numPr>
                <w:ilvl w:val="0"/>
                <w:numId w:val="0"/>
              </w:numPr>
              <w:bidi w:val="0"/>
              <w:spacing w:line="360" w:lineRule="auto"/>
              <w:ind w:firstLine="422" w:firstLineChars="200"/>
              <w:rPr>
                <w:b/>
                <w:bCs/>
              </w:rPr>
            </w:pPr>
            <w:r>
              <w:rPr>
                <w:rFonts w:hint="eastAsia"/>
                <w:b/>
                <w:bCs/>
                <w:lang w:eastAsia="zh-CN"/>
              </w:rPr>
              <w:t>3、</w:t>
            </w:r>
            <w:r>
              <w:rPr>
                <w:b/>
                <w:bCs/>
              </w:rPr>
              <w:t>项目使用油漆组分及挥发性</w:t>
            </w:r>
          </w:p>
          <w:p w14:paraId="302027D5">
            <w:pPr>
              <w:numPr>
                <w:ilvl w:val="0"/>
                <w:numId w:val="0"/>
              </w:numPr>
              <w:bidi w:val="0"/>
              <w:spacing w:line="360" w:lineRule="auto"/>
              <w:ind w:firstLine="420" w:firstLineChars="200"/>
            </w:pPr>
            <w:r>
              <w:rPr>
                <w:rFonts w:hint="eastAsia"/>
              </w:rPr>
              <w:t>根据表2-</w:t>
            </w:r>
            <w:r>
              <w:rPr>
                <w:rFonts w:hint="eastAsia"/>
                <w:lang w:eastAsia="zh-CN"/>
              </w:rPr>
              <w:t>4</w:t>
            </w:r>
            <w:r>
              <w:rPr>
                <w:rFonts w:hint="eastAsia"/>
              </w:rPr>
              <w:t>，参考单位提供资料（见附件</w:t>
            </w:r>
            <w:r>
              <w:rPr>
                <w:rFonts w:hint="eastAsia"/>
                <w:color w:val="auto"/>
                <w:lang w:val="en-US" w:eastAsia="zh-CN"/>
              </w:rPr>
              <w:t>10</w:t>
            </w:r>
            <w:r>
              <w:rPr>
                <w:rFonts w:hint="eastAsia"/>
              </w:rPr>
              <w:t>），本项目使用涂料中各组分见下表：</w:t>
            </w:r>
          </w:p>
          <w:p w14:paraId="6D97F176">
            <w:pPr>
              <w:numPr>
                <w:ilvl w:val="0"/>
                <w:numId w:val="0"/>
              </w:numPr>
              <w:bidi w:val="0"/>
              <w:jc w:val="center"/>
            </w:pPr>
            <w:r>
              <w:rPr>
                <w:b/>
                <w:bCs/>
              </w:rPr>
              <w:t>表2-</w:t>
            </w:r>
            <w:r>
              <w:rPr>
                <w:rFonts w:hint="eastAsia"/>
                <w:b/>
                <w:bCs/>
                <w:lang w:val="en-US" w:eastAsia="zh-CN"/>
              </w:rPr>
              <w:t>6</w:t>
            </w:r>
            <w:r>
              <w:rPr>
                <w:b/>
                <w:bCs/>
              </w:rPr>
              <w:t xml:space="preserve"> 项目油漆组分及VOCs一览表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78"/>
              <w:gridCol w:w="3811"/>
              <w:gridCol w:w="1969"/>
              <w:gridCol w:w="1204"/>
            </w:tblGrid>
            <w:tr w14:paraId="2864E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4" w:type="dxa"/>
                  <w:gridSpan w:val="2"/>
                  <w:vAlign w:val="center"/>
                </w:tcPr>
                <w:p w14:paraId="077B29B1">
                  <w:pPr>
                    <w:adjustRightInd w:val="0"/>
                    <w:snapToGrid w:val="0"/>
                    <w:jc w:val="center"/>
                    <w:rPr>
                      <w:b/>
                      <w:color w:val="auto"/>
                    </w:rPr>
                  </w:pPr>
                  <w:r>
                    <w:rPr>
                      <w:rFonts w:hint="eastAsia"/>
                      <w:b/>
                      <w:color w:val="auto"/>
                    </w:rPr>
                    <w:t>类别</w:t>
                  </w:r>
                </w:p>
              </w:tc>
              <w:tc>
                <w:tcPr>
                  <w:tcW w:w="3811" w:type="dxa"/>
                  <w:vAlign w:val="center"/>
                </w:tcPr>
                <w:p w14:paraId="7D0289A4">
                  <w:pPr>
                    <w:adjustRightInd w:val="0"/>
                    <w:snapToGrid w:val="0"/>
                    <w:jc w:val="center"/>
                    <w:rPr>
                      <w:b/>
                      <w:color w:val="auto"/>
                    </w:rPr>
                  </w:pPr>
                  <w:r>
                    <w:rPr>
                      <w:rFonts w:hint="eastAsia"/>
                      <w:b/>
                      <w:color w:val="auto"/>
                    </w:rPr>
                    <w:t>主要成分及占比</w:t>
                  </w:r>
                </w:p>
              </w:tc>
              <w:tc>
                <w:tcPr>
                  <w:tcW w:w="1969" w:type="dxa"/>
                  <w:vAlign w:val="center"/>
                </w:tcPr>
                <w:p w14:paraId="4B7C80DB">
                  <w:pPr>
                    <w:adjustRightInd w:val="0"/>
                    <w:snapToGrid w:val="0"/>
                    <w:jc w:val="center"/>
                    <w:rPr>
                      <w:b/>
                      <w:color w:val="auto"/>
                    </w:rPr>
                  </w:pPr>
                  <w:r>
                    <w:rPr>
                      <w:rFonts w:hint="eastAsia"/>
                      <w:b/>
                      <w:color w:val="auto"/>
                    </w:rPr>
                    <w:t>合计</w:t>
                  </w:r>
                </w:p>
              </w:tc>
              <w:tc>
                <w:tcPr>
                  <w:tcW w:w="1204" w:type="dxa"/>
                  <w:vAlign w:val="center"/>
                </w:tcPr>
                <w:p w14:paraId="3F3172BD">
                  <w:pPr>
                    <w:adjustRightInd w:val="0"/>
                    <w:snapToGrid w:val="0"/>
                    <w:jc w:val="center"/>
                    <w:rPr>
                      <w:b/>
                      <w:color w:val="auto"/>
                    </w:rPr>
                  </w:pPr>
                  <w:r>
                    <w:rPr>
                      <w:rFonts w:hint="eastAsia"/>
                      <w:b/>
                      <w:color w:val="auto"/>
                    </w:rPr>
                    <w:t>备注</w:t>
                  </w:r>
                </w:p>
              </w:tc>
            </w:tr>
            <w:tr w14:paraId="74C2B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51A37788">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底漆</w:t>
                  </w:r>
                </w:p>
              </w:tc>
              <w:tc>
                <w:tcPr>
                  <w:tcW w:w="978" w:type="dxa"/>
                  <w:vMerge w:val="restart"/>
                  <w:vAlign w:val="center"/>
                </w:tcPr>
                <w:p w14:paraId="16592CE5">
                  <w:pPr>
                    <w:adjustRightInd w:val="0"/>
                    <w:snapToGrid w:val="0"/>
                    <w:jc w:val="center"/>
                    <w:rPr>
                      <w:rFonts w:hint="eastAsia" w:eastAsia="宋体"/>
                      <w:color w:val="FF0000"/>
                      <w:lang w:eastAsia="zh-CN"/>
                    </w:rPr>
                  </w:pPr>
                  <w:r>
                    <w:rPr>
                      <w:rFonts w:hint="eastAsia"/>
                      <w:color w:val="auto"/>
                    </w:rPr>
                    <w:t>底漆</w:t>
                  </w:r>
                  <w:r>
                    <w:rPr>
                      <w:rFonts w:hint="eastAsia"/>
                      <w:color w:val="auto"/>
                      <w:lang w:eastAsia="zh-CN"/>
                    </w:rPr>
                    <w:t>（</w:t>
                  </w:r>
                  <w:r>
                    <w:rPr>
                      <w:rFonts w:hint="eastAsia"/>
                      <w:color w:val="auto"/>
                      <w:lang w:val="en-US" w:eastAsia="zh-CN"/>
                    </w:rPr>
                    <w:t>色漆</w:t>
                  </w:r>
                  <w:r>
                    <w:rPr>
                      <w:rFonts w:hint="eastAsia"/>
                      <w:color w:val="auto"/>
                      <w:lang w:eastAsia="zh-CN"/>
                    </w:rPr>
                    <w:t>）</w:t>
                  </w:r>
                </w:p>
              </w:tc>
              <w:tc>
                <w:tcPr>
                  <w:tcW w:w="3811" w:type="dxa"/>
                  <w:vAlign w:val="center"/>
                </w:tcPr>
                <w:p w14:paraId="729F6EAA">
                  <w:pPr>
                    <w:adjustRightInd w:val="0"/>
                    <w:snapToGrid w:val="0"/>
                    <w:jc w:val="center"/>
                    <w:rPr>
                      <w:color w:val="FF0000"/>
                    </w:rPr>
                  </w:pPr>
                  <w:r>
                    <w:rPr>
                      <w:rFonts w:hint="eastAsia"/>
                      <w:color w:val="auto"/>
                    </w:rPr>
                    <w:t>固体成分约</w:t>
                  </w:r>
                  <w:r>
                    <w:rPr>
                      <w:rFonts w:hint="eastAsia"/>
                      <w:color w:val="auto"/>
                      <w:lang w:val="en-US" w:eastAsia="zh-CN"/>
                    </w:rPr>
                    <w:t>45</w:t>
                  </w:r>
                  <w:r>
                    <w:rPr>
                      <w:rFonts w:hint="eastAsia"/>
                      <w:color w:val="auto"/>
                    </w:rPr>
                    <w:t>%</w:t>
                  </w:r>
                </w:p>
              </w:tc>
              <w:tc>
                <w:tcPr>
                  <w:tcW w:w="1969" w:type="dxa"/>
                  <w:vMerge w:val="restart"/>
                  <w:vAlign w:val="center"/>
                </w:tcPr>
                <w:p w14:paraId="40AEBF8F">
                  <w:pPr>
                    <w:wordWrap w:val="0"/>
                    <w:adjustRightInd w:val="0"/>
                    <w:snapToGrid w:val="0"/>
                    <w:rPr>
                      <w:color w:val="auto"/>
                    </w:rPr>
                  </w:pPr>
                  <w:r>
                    <w:rPr>
                      <w:rFonts w:hint="eastAsia"/>
                      <w:color w:val="auto"/>
                    </w:rPr>
                    <w:t>固体成分约</w:t>
                  </w:r>
                  <w:r>
                    <w:rPr>
                      <w:rFonts w:hint="eastAsia"/>
                      <w:color w:val="auto"/>
                      <w:lang w:val="en-US" w:eastAsia="zh-CN"/>
                    </w:rPr>
                    <w:t>37.5</w:t>
                  </w:r>
                  <w:r>
                    <w:rPr>
                      <w:rFonts w:hint="eastAsia"/>
                      <w:color w:val="auto"/>
                    </w:rPr>
                    <w:t>%，VOCs约</w:t>
                  </w:r>
                  <w:r>
                    <w:rPr>
                      <w:rFonts w:hint="eastAsia"/>
                      <w:color w:val="auto"/>
                      <w:lang w:val="en-US" w:eastAsia="zh-CN"/>
                    </w:rPr>
                    <w:t>62.5</w:t>
                  </w:r>
                  <w:r>
                    <w:rPr>
                      <w:rFonts w:hint="eastAsia"/>
                      <w:color w:val="auto"/>
                    </w:rPr>
                    <w:t>%（其中二甲苯约</w:t>
                  </w:r>
                  <w:r>
                    <w:rPr>
                      <w:rFonts w:hint="eastAsia"/>
                      <w:color w:val="auto"/>
                      <w:lang w:val="en-US" w:eastAsia="zh-CN"/>
                    </w:rPr>
                    <w:t>1.25</w:t>
                  </w:r>
                  <w:r>
                    <w:rPr>
                      <w:rFonts w:hint="eastAsia"/>
                      <w:color w:val="auto"/>
                    </w:rPr>
                    <w:t>%，乙苯约</w:t>
                  </w:r>
                  <w:r>
                    <w:rPr>
                      <w:rFonts w:hint="eastAsia"/>
                      <w:color w:val="auto"/>
                      <w:lang w:val="en-US" w:eastAsia="zh-CN"/>
                    </w:rPr>
                    <w:t>0.19</w:t>
                  </w:r>
                  <w:r>
                    <w:rPr>
                      <w:rFonts w:hint="eastAsia"/>
                      <w:color w:val="auto"/>
                    </w:rPr>
                    <w:t>%）</w:t>
                  </w:r>
                </w:p>
              </w:tc>
              <w:tc>
                <w:tcPr>
                  <w:tcW w:w="1204" w:type="dxa"/>
                  <w:vMerge w:val="restart"/>
                  <w:vAlign w:val="center"/>
                </w:tcPr>
                <w:p w14:paraId="2149457F">
                  <w:pPr>
                    <w:adjustRightInd w:val="0"/>
                    <w:snapToGrid w:val="0"/>
                    <w:jc w:val="center"/>
                    <w:rPr>
                      <w:color w:val="auto"/>
                    </w:rPr>
                  </w:pPr>
                  <w:r>
                    <w:rPr>
                      <w:rFonts w:hint="eastAsia"/>
                      <w:color w:val="auto"/>
                    </w:rPr>
                    <w:t>调配比例</w:t>
                  </w:r>
                </w:p>
                <w:p w14:paraId="583E6A73">
                  <w:pPr>
                    <w:adjustRightInd w:val="0"/>
                    <w:snapToGrid w:val="0"/>
                    <w:jc w:val="center"/>
                    <w:rPr>
                      <w:rFonts w:hint="eastAsia"/>
                      <w:color w:val="auto"/>
                    </w:rPr>
                  </w:pPr>
                  <w:r>
                    <w:rPr>
                      <w:rFonts w:hint="eastAsia"/>
                      <w:color w:val="auto"/>
                    </w:rPr>
                    <w:t>漆：稀=</w:t>
                  </w:r>
                </w:p>
                <w:p w14:paraId="18FFCABF">
                  <w:pPr>
                    <w:adjustRightInd w:val="0"/>
                    <w:snapToGrid w:val="0"/>
                    <w:jc w:val="center"/>
                    <w:rPr>
                      <w:color w:val="auto"/>
                    </w:rPr>
                  </w:pPr>
                  <w:r>
                    <w:rPr>
                      <w:rFonts w:hint="eastAsia"/>
                      <w:color w:val="auto"/>
                      <w:lang w:val="en-US" w:eastAsia="zh-CN"/>
                    </w:rPr>
                    <w:t>5</w:t>
                  </w:r>
                  <w:r>
                    <w:rPr>
                      <w:rFonts w:hint="eastAsia"/>
                      <w:color w:val="auto"/>
                    </w:rPr>
                    <w:t>：</w:t>
                  </w:r>
                  <w:r>
                    <w:rPr>
                      <w:rFonts w:hint="eastAsia"/>
                      <w:color w:val="auto"/>
                      <w:lang w:val="en-US" w:eastAsia="zh-CN"/>
                    </w:rPr>
                    <w:t>3</w:t>
                  </w:r>
                </w:p>
              </w:tc>
            </w:tr>
            <w:tr w14:paraId="28060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43B7B4E4">
                  <w:pPr>
                    <w:adjustRightInd w:val="0"/>
                    <w:snapToGrid w:val="0"/>
                    <w:jc w:val="center"/>
                    <w:rPr>
                      <w:color w:val="000000" w:themeColor="text1"/>
                      <w14:textFill>
                        <w14:solidFill>
                          <w14:schemeClr w14:val="tx1"/>
                        </w14:solidFill>
                      </w14:textFill>
                    </w:rPr>
                  </w:pPr>
                </w:p>
              </w:tc>
              <w:tc>
                <w:tcPr>
                  <w:tcW w:w="978" w:type="dxa"/>
                  <w:vMerge w:val="continue"/>
                  <w:vAlign w:val="center"/>
                </w:tcPr>
                <w:p w14:paraId="6CDC44E2">
                  <w:pPr>
                    <w:adjustRightInd w:val="0"/>
                    <w:snapToGrid w:val="0"/>
                    <w:jc w:val="center"/>
                    <w:rPr>
                      <w:color w:val="FF0000"/>
                    </w:rPr>
                  </w:pPr>
                </w:p>
              </w:tc>
              <w:tc>
                <w:tcPr>
                  <w:tcW w:w="3811" w:type="dxa"/>
                  <w:vAlign w:val="center"/>
                </w:tcPr>
                <w:p w14:paraId="40E5A863">
                  <w:pPr>
                    <w:adjustRightInd w:val="0"/>
                    <w:snapToGrid w:val="0"/>
                    <w:jc w:val="center"/>
                    <w:rPr>
                      <w:color w:val="FF0000"/>
                    </w:rPr>
                  </w:pPr>
                  <w:r>
                    <w:rPr>
                      <w:rFonts w:hint="eastAsia"/>
                      <w:color w:val="auto"/>
                    </w:rPr>
                    <w:t>挥发性成分</w:t>
                  </w:r>
                  <w:r>
                    <w:rPr>
                      <w:rFonts w:hint="eastAsia"/>
                      <w:color w:val="auto"/>
                      <w:lang w:val="en-US" w:eastAsia="zh-CN"/>
                    </w:rPr>
                    <w:t>395</w:t>
                  </w:r>
                  <w:r>
                    <w:rPr>
                      <w:color w:val="auto"/>
                    </w:rPr>
                    <w:t>g/L（其中二甲苯</w:t>
                  </w:r>
                  <w:r>
                    <w:rPr>
                      <w:rFonts w:hint="eastAsia"/>
                      <w:color w:val="auto"/>
                      <w:lang w:val="en-US" w:eastAsia="zh-CN"/>
                    </w:rPr>
                    <w:t>2</w:t>
                  </w:r>
                  <w:r>
                    <w:rPr>
                      <w:rFonts w:hint="eastAsia"/>
                      <w:color w:val="auto"/>
                    </w:rPr>
                    <w:t>%，乙苯</w:t>
                  </w:r>
                  <w:r>
                    <w:rPr>
                      <w:rFonts w:hint="eastAsia"/>
                      <w:color w:val="auto"/>
                      <w:lang w:val="en-US" w:eastAsia="zh-CN"/>
                    </w:rPr>
                    <w:t>0.3</w:t>
                  </w:r>
                  <w:r>
                    <w:rPr>
                      <w:rFonts w:hint="eastAsia"/>
                      <w:color w:val="auto"/>
                    </w:rPr>
                    <w:t>%</w:t>
                  </w:r>
                  <w:r>
                    <w:rPr>
                      <w:color w:val="auto"/>
                    </w:rPr>
                    <w:t>）</w:t>
                  </w:r>
                </w:p>
              </w:tc>
              <w:tc>
                <w:tcPr>
                  <w:tcW w:w="1969" w:type="dxa"/>
                  <w:vMerge w:val="continue"/>
                  <w:vAlign w:val="center"/>
                </w:tcPr>
                <w:p w14:paraId="61507387">
                  <w:pPr>
                    <w:adjustRightInd w:val="0"/>
                    <w:snapToGrid w:val="0"/>
                    <w:jc w:val="center"/>
                    <w:rPr>
                      <w:color w:val="FF0000"/>
                    </w:rPr>
                  </w:pPr>
                </w:p>
              </w:tc>
              <w:tc>
                <w:tcPr>
                  <w:tcW w:w="1204" w:type="dxa"/>
                  <w:vMerge w:val="continue"/>
                  <w:vAlign w:val="center"/>
                </w:tcPr>
                <w:p w14:paraId="6EA01F18">
                  <w:pPr>
                    <w:adjustRightInd w:val="0"/>
                    <w:snapToGrid w:val="0"/>
                    <w:jc w:val="center"/>
                    <w:rPr>
                      <w:color w:val="FF0000"/>
                    </w:rPr>
                  </w:pPr>
                </w:p>
              </w:tc>
            </w:tr>
            <w:tr w14:paraId="03A2F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384293D">
                  <w:pPr>
                    <w:adjustRightInd w:val="0"/>
                    <w:snapToGrid w:val="0"/>
                    <w:jc w:val="center"/>
                    <w:rPr>
                      <w:color w:val="000000" w:themeColor="text1"/>
                      <w14:textFill>
                        <w14:solidFill>
                          <w14:schemeClr w14:val="tx1"/>
                        </w14:solidFill>
                      </w14:textFill>
                    </w:rPr>
                  </w:pPr>
                </w:p>
              </w:tc>
              <w:tc>
                <w:tcPr>
                  <w:tcW w:w="978" w:type="dxa"/>
                  <w:vMerge w:val="restart"/>
                  <w:vAlign w:val="center"/>
                </w:tcPr>
                <w:p w14:paraId="6CD050F8">
                  <w:pPr>
                    <w:adjustRightInd w:val="0"/>
                    <w:snapToGrid w:val="0"/>
                    <w:jc w:val="center"/>
                    <w:rPr>
                      <w:color w:val="auto"/>
                    </w:rPr>
                  </w:pPr>
                  <w:r>
                    <w:rPr>
                      <w:rFonts w:hint="eastAsia"/>
                      <w:color w:val="auto"/>
                    </w:rPr>
                    <w:t>稀释剂</w:t>
                  </w:r>
                </w:p>
              </w:tc>
              <w:tc>
                <w:tcPr>
                  <w:tcW w:w="3811" w:type="dxa"/>
                  <w:vAlign w:val="center"/>
                </w:tcPr>
                <w:p w14:paraId="3FC52B1F">
                  <w:pPr>
                    <w:adjustRightInd w:val="0"/>
                    <w:snapToGrid w:val="0"/>
                    <w:jc w:val="center"/>
                    <w:rPr>
                      <w:color w:val="auto"/>
                    </w:rPr>
                  </w:pPr>
                  <w:r>
                    <w:rPr>
                      <w:rFonts w:hint="eastAsia"/>
                      <w:color w:val="auto"/>
                    </w:rPr>
                    <w:t>固体成分约占</w:t>
                  </w:r>
                  <w:r>
                    <w:rPr>
                      <w:rFonts w:hint="eastAsia"/>
                      <w:color w:val="auto"/>
                      <w:lang w:val="en-US" w:eastAsia="zh-CN"/>
                    </w:rPr>
                    <w:t>25</w:t>
                  </w:r>
                  <w:r>
                    <w:rPr>
                      <w:rFonts w:hint="eastAsia"/>
                      <w:color w:val="auto"/>
                    </w:rPr>
                    <w:t>%</w:t>
                  </w:r>
                </w:p>
              </w:tc>
              <w:tc>
                <w:tcPr>
                  <w:tcW w:w="1969" w:type="dxa"/>
                  <w:vMerge w:val="continue"/>
                  <w:vAlign w:val="center"/>
                </w:tcPr>
                <w:p w14:paraId="754A31AE">
                  <w:pPr>
                    <w:adjustRightInd w:val="0"/>
                    <w:snapToGrid w:val="0"/>
                    <w:jc w:val="center"/>
                    <w:rPr>
                      <w:color w:val="FF0000"/>
                    </w:rPr>
                  </w:pPr>
                </w:p>
              </w:tc>
              <w:tc>
                <w:tcPr>
                  <w:tcW w:w="1204" w:type="dxa"/>
                  <w:vMerge w:val="continue"/>
                  <w:vAlign w:val="center"/>
                </w:tcPr>
                <w:p w14:paraId="6839ACBB">
                  <w:pPr>
                    <w:adjustRightInd w:val="0"/>
                    <w:snapToGrid w:val="0"/>
                    <w:jc w:val="center"/>
                    <w:rPr>
                      <w:color w:val="FF0000"/>
                    </w:rPr>
                  </w:pPr>
                </w:p>
              </w:tc>
            </w:tr>
            <w:tr w14:paraId="2E618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7E53C263">
                  <w:pPr>
                    <w:adjustRightInd w:val="0"/>
                    <w:snapToGrid w:val="0"/>
                    <w:jc w:val="center"/>
                    <w:rPr>
                      <w:color w:val="000000" w:themeColor="text1"/>
                      <w14:textFill>
                        <w14:solidFill>
                          <w14:schemeClr w14:val="tx1"/>
                        </w14:solidFill>
                      </w14:textFill>
                    </w:rPr>
                  </w:pPr>
                </w:p>
              </w:tc>
              <w:tc>
                <w:tcPr>
                  <w:tcW w:w="978" w:type="dxa"/>
                  <w:vMerge w:val="continue"/>
                  <w:vAlign w:val="center"/>
                </w:tcPr>
                <w:p w14:paraId="5F5CEB16">
                  <w:pPr>
                    <w:adjustRightInd w:val="0"/>
                    <w:snapToGrid w:val="0"/>
                    <w:jc w:val="center"/>
                    <w:rPr>
                      <w:color w:val="auto"/>
                    </w:rPr>
                  </w:pPr>
                </w:p>
              </w:tc>
              <w:tc>
                <w:tcPr>
                  <w:tcW w:w="3811" w:type="dxa"/>
                  <w:vAlign w:val="center"/>
                </w:tcPr>
                <w:p w14:paraId="454042DA">
                  <w:pPr>
                    <w:adjustRightInd w:val="0"/>
                    <w:snapToGrid w:val="0"/>
                    <w:jc w:val="center"/>
                    <w:rPr>
                      <w:color w:val="auto"/>
                    </w:rPr>
                  </w:pPr>
                  <w:r>
                    <w:rPr>
                      <w:rFonts w:hint="eastAsia"/>
                      <w:color w:val="auto"/>
                    </w:rPr>
                    <w:t>挥发性成分占</w:t>
                  </w:r>
                  <w:r>
                    <w:rPr>
                      <w:rFonts w:hint="eastAsia"/>
                      <w:color w:val="auto"/>
                      <w:lang w:val="en-US" w:eastAsia="zh-CN"/>
                    </w:rPr>
                    <w:t>75</w:t>
                  </w:r>
                  <w:r>
                    <w:rPr>
                      <w:rFonts w:hint="eastAsia"/>
                      <w:color w:val="auto"/>
                    </w:rPr>
                    <w:t>%</w:t>
                  </w:r>
                </w:p>
              </w:tc>
              <w:tc>
                <w:tcPr>
                  <w:tcW w:w="1969" w:type="dxa"/>
                  <w:vMerge w:val="continue"/>
                  <w:vAlign w:val="center"/>
                </w:tcPr>
                <w:p w14:paraId="0FF513BA">
                  <w:pPr>
                    <w:adjustRightInd w:val="0"/>
                    <w:snapToGrid w:val="0"/>
                    <w:jc w:val="center"/>
                    <w:rPr>
                      <w:color w:val="FF0000"/>
                    </w:rPr>
                  </w:pPr>
                </w:p>
              </w:tc>
              <w:tc>
                <w:tcPr>
                  <w:tcW w:w="1204" w:type="dxa"/>
                  <w:vMerge w:val="continue"/>
                  <w:vAlign w:val="center"/>
                </w:tcPr>
                <w:p w14:paraId="3B2620C4">
                  <w:pPr>
                    <w:adjustRightInd w:val="0"/>
                    <w:snapToGrid w:val="0"/>
                    <w:jc w:val="center"/>
                    <w:rPr>
                      <w:color w:val="FF0000"/>
                    </w:rPr>
                  </w:pPr>
                </w:p>
              </w:tc>
            </w:tr>
            <w:tr w14:paraId="5BA61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03E2153E">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面</w:t>
                  </w:r>
                  <w:r>
                    <w:rPr>
                      <w:rFonts w:hint="eastAsia"/>
                      <w:color w:val="000000" w:themeColor="text1"/>
                      <w14:textFill>
                        <w14:solidFill>
                          <w14:schemeClr w14:val="tx1"/>
                        </w14:solidFill>
                      </w14:textFill>
                    </w:rPr>
                    <w:t>漆</w:t>
                  </w:r>
                </w:p>
              </w:tc>
              <w:tc>
                <w:tcPr>
                  <w:tcW w:w="978" w:type="dxa"/>
                  <w:vMerge w:val="restart"/>
                  <w:vAlign w:val="center"/>
                </w:tcPr>
                <w:p w14:paraId="777B3977">
                  <w:pPr>
                    <w:adjustRightInd w:val="0"/>
                    <w:snapToGrid w:val="0"/>
                    <w:jc w:val="center"/>
                    <w:rPr>
                      <w:color w:val="FF0000"/>
                    </w:rPr>
                  </w:pPr>
                  <w:r>
                    <w:rPr>
                      <w:rFonts w:hint="eastAsia"/>
                      <w:color w:val="auto"/>
                      <w:lang w:val="en-US" w:eastAsia="zh-CN"/>
                    </w:rPr>
                    <w:t>面</w:t>
                  </w:r>
                  <w:r>
                    <w:rPr>
                      <w:rFonts w:hint="eastAsia"/>
                      <w:color w:val="auto"/>
                    </w:rPr>
                    <w:t>漆</w:t>
                  </w:r>
                </w:p>
              </w:tc>
              <w:tc>
                <w:tcPr>
                  <w:tcW w:w="3811" w:type="dxa"/>
                  <w:vAlign w:val="center"/>
                </w:tcPr>
                <w:p w14:paraId="452A0E3F">
                  <w:pPr>
                    <w:adjustRightInd w:val="0"/>
                    <w:snapToGrid w:val="0"/>
                    <w:jc w:val="center"/>
                    <w:rPr>
                      <w:color w:val="FF0000"/>
                    </w:rPr>
                  </w:pPr>
                  <w:r>
                    <w:rPr>
                      <w:rFonts w:hint="eastAsia"/>
                      <w:color w:val="auto"/>
                    </w:rPr>
                    <w:t>固体成分约</w:t>
                  </w:r>
                  <w:r>
                    <w:rPr>
                      <w:rFonts w:hint="eastAsia"/>
                      <w:color w:val="auto"/>
                      <w:lang w:val="en-US" w:eastAsia="zh-CN"/>
                    </w:rPr>
                    <w:t>73</w:t>
                  </w:r>
                  <w:r>
                    <w:rPr>
                      <w:rFonts w:hint="eastAsia"/>
                      <w:color w:val="auto"/>
                    </w:rPr>
                    <w:t>%</w:t>
                  </w:r>
                </w:p>
              </w:tc>
              <w:tc>
                <w:tcPr>
                  <w:tcW w:w="1969" w:type="dxa"/>
                  <w:vMerge w:val="restart"/>
                  <w:vAlign w:val="center"/>
                </w:tcPr>
                <w:p w14:paraId="7F654400">
                  <w:pPr>
                    <w:wordWrap w:val="0"/>
                    <w:adjustRightInd w:val="0"/>
                    <w:snapToGrid w:val="0"/>
                    <w:jc w:val="center"/>
                    <w:rPr>
                      <w:color w:val="auto"/>
                    </w:rPr>
                  </w:pPr>
                  <w:r>
                    <w:rPr>
                      <w:rFonts w:hint="eastAsia"/>
                      <w:color w:val="auto"/>
                    </w:rPr>
                    <w:t>固体成分约</w:t>
                  </w:r>
                  <w:r>
                    <w:rPr>
                      <w:rFonts w:hint="eastAsia"/>
                      <w:color w:val="auto"/>
                      <w:lang w:val="en-US" w:eastAsia="zh-CN"/>
                    </w:rPr>
                    <w:t>68.9</w:t>
                  </w:r>
                  <w:r>
                    <w:rPr>
                      <w:rFonts w:hint="eastAsia"/>
                      <w:color w:val="auto"/>
                    </w:rPr>
                    <w:t>%，VOCs约</w:t>
                  </w:r>
                  <w:r>
                    <w:rPr>
                      <w:rFonts w:hint="eastAsia"/>
                      <w:color w:val="auto"/>
                      <w:lang w:val="en-US" w:eastAsia="zh-CN"/>
                    </w:rPr>
                    <w:t>31.1</w:t>
                  </w:r>
                  <w:r>
                    <w:rPr>
                      <w:rFonts w:hint="eastAsia"/>
                      <w:color w:val="auto"/>
                    </w:rPr>
                    <w:t>%</w:t>
                  </w:r>
                </w:p>
              </w:tc>
              <w:tc>
                <w:tcPr>
                  <w:tcW w:w="1204" w:type="dxa"/>
                  <w:vMerge w:val="restart"/>
                  <w:vAlign w:val="center"/>
                </w:tcPr>
                <w:p w14:paraId="1D5BFABC">
                  <w:pPr>
                    <w:adjustRightInd w:val="0"/>
                    <w:snapToGrid w:val="0"/>
                    <w:jc w:val="center"/>
                    <w:rPr>
                      <w:color w:val="auto"/>
                    </w:rPr>
                  </w:pPr>
                  <w:r>
                    <w:rPr>
                      <w:rFonts w:hint="eastAsia"/>
                      <w:color w:val="auto"/>
                    </w:rPr>
                    <w:t>调配比例</w:t>
                  </w:r>
                </w:p>
                <w:p w14:paraId="7EB5D79C">
                  <w:pPr>
                    <w:adjustRightInd w:val="0"/>
                    <w:snapToGrid w:val="0"/>
                    <w:jc w:val="center"/>
                    <w:rPr>
                      <w:color w:val="auto"/>
                    </w:rPr>
                  </w:pPr>
                  <w:r>
                    <w:rPr>
                      <w:rFonts w:hint="eastAsia"/>
                      <w:color w:val="auto"/>
                    </w:rPr>
                    <w:t>漆：稀</w:t>
                  </w:r>
                </w:p>
                <w:p w14:paraId="4B8D4347">
                  <w:pPr>
                    <w:adjustRightInd w:val="0"/>
                    <w:snapToGrid w:val="0"/>
                    <w:jc w:val="center"/>
                    <w:rPr>
                      <w:rFonts w:hint="default" w:eastAsia="宋体"/>
                      <w:color w:val="auto"/>
                      <w:lang w:val="en-US" w:eastAsia="zh-CN"/>
                    </w:rPr>
                  </w:pPr>
                  <w:r>
                    <w:rPr>
                      <w:rFonts w:hint="eastAsia"/>
                      <w:color w:val="auto"/>
                    </w:rPr>
                    <w:t>=</w:t>
                  </w:r>
                  <w:r>
                    <w:rPr>
                      <w:rFonts w:hint="eastAsia"/>
                      <w:color w:val="auto"/>
                      <w:lang w:val="en-US" w:eastAsia="zh-CN"/>
                    </w:rPr>
                    <w:t>4</w:t>
                  </w:r>
                  <w:r>
                    <w:rPr>
                      <w:rFonts w:hint="eastAsia" w:ascii="宋体" w:hAnsi="宋体"/>
                      <w:color w:val="auto"/>
                    </w:rPr>
                    <w:t>:</w:t>
                  </w:r>
                  <w:r>
                    <w:rPr>
                      <w:rFonts w:hint="eastAsia"/>
                      <w:color w:val="auto"/>
                      <w:lang w:val="en-US" w:eastAsia="zh-CN"/>
                    </w:rPr>
                    <w:t>1.5</w:t>
                  </w:r>
                </w:p>
              </w:tc>
            </w:tr>
            <w:tr w14:paraId="6E57B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2166A291">
                  <w:pPr>
                    <w:adjustRightInd w:val="0"/>
                    <w:snapToGrid w:val="0"/>
                    <w:jc w:val="center"/>
                    <w:rPr>
                      <w:color w:val="000000" w:themeColor="text1"/>
                      <w14:textFill>
                        <w14:solidFill>
                          <w14:schemeClr w14:val="tx1"/>
                        </w14:solidFill>
                      </w14:textFill>
                    </w:rPr>
                  </w:pPr>
                </w:p>
              </w:tc>
              <w:tc>
                <w:tcPr>
                  <w:tcW w:w="978" w:type="dxa"/>
                  <w:vMerge w:val="continue"/>
                  <w:vAlign w:val="center"/>
                </w:tcPr>
                <w:p w14:paraId="262482A2">
                  <w:pPr>
                    <w:adjustRightInd w:val="0"/>
                    <w:snapToGrid w:val="0"/>
                    <w:jc w:val="center"/>
                    <w:rPr>
                      <w:color w:val="FF0000"/>
                    </w:rPr>
                  </w:pPr>
                </w:p>
              </w:tc>
              <w:tc>
                <w:tcPr>
                  <w:tcW w:w="3811" w:type="dxa"/>
                  <w:vAlign w:val="center"/>
                </w:tcPr>
                <w:p w14:paraId="5CC1878B">
                  <w:pPr>
                    <w:adjustRightInd w:val="0"/>
                    <w:snapToGrid w:val="0"/>
                    <w:jc w:val="center"/>
                    <w:rPr>
                      <w:rFonts w:hint="eastAsia" w:eastAsia="宋体"/>
                      <w:color w:val="FF0000"/>
                      <w:lang w:eastAsia="zh-CN"/>
                    </w:rPr>
                  </w:pPr>
                  <w:r>
                    <w:rPr>
                      <w:rFonts w:hint="eastAsia"/>
                      <w:color w:val="000000" w:themeColor="text1"/>
                      <w14:textFill>
                        <w14:solidFill>
                          <w14:schemeClr w14:val="tx1"/>
                        </w14:solidFill>
                      </w14:textFill>
                    </w:rPr>
                    <w:t>挥发性成分</w:t>
                  </w:r>
                  <w:r>
                    <w:rPr>
                      <w:rFonts w:hint="eastAsia"/>
                      <w:color w:val="000000" w:themeColor="text1"/>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20</w:t>
                  </w:r>
                  <w:r>
                    <w:rPr>
                      <w:color w:val="000000" w:themeColor="text1"/>
                      <w14:textFill>
                        <w14:solidFill>
                          <w14:schemeClr w14:val="tx1"/>
                        </w14:solidFill>
                      </w14:textFill>
                    </w:rPr>
                    <w:t>g/L</w:t>
                  </w:r>
                </w:p>
              </w:tc>
              <w:tc>
                <w:tcPr>
                  <w:tcW w:w="1969" w:type="dxa"/>
                  <w:vMerge w:val="continue"/>
                  <w:vAlign w:val="center"/>
                </w:tcPr>
                <w:p w14:paraId="75C5EB52">
                  <w:pPr>
                    <w:adjustRightInd w:val="0"/>
                    <w:snapToGrid w:val="0"/>
                    <w:jc w:val="center"/>
                    <w:rPr>
                      <w:color w:val="FF0000"/>
                    </w:rPr>
                  </w:pPr>
                </w:p>
              </w:tc>
              <w:tc>
                <w:tcPr>
                  <w:tcW w:w="1204" w:type="dxa"/>
                  <w:vMerge w:val="continue"/>
                  <w:vAlign w:val="center"/>
                </w:tcPr>
                <w:p w14:paraId="0A53B497">
                  <w:pPr>
                    <w:adjustRightInd w:val="0"/>
                    <w:snapToGrid w:val="0"/>
                    <w:jc w:val="center"/>
                    <w:rPr>
                      <w:color w:val="FF0000"/>
                    </w:rPr>
                  </w:pPr>
                </w:p>
              </w:tc>
            </w:tr>
            <w:tr w14:paraId="15437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58F65D5D">
                  <w:pPr>
                    <w:adjustRightInd w:val="0"/>
                    <w:snapToGrid w:val="0"/>
                    <w:jc w:val="center"/>
                    <w:rPr>
                      <w:color w:val="000000" w:themeColor="text1"/>
                      <w14:textFill>
                        <w14:solidFill>
                          <w14:schemeClr w14:val="tx1"/>
                        </w14:solidFill>
                      </w14:textFill>
                    </w:rPr>
                  </w:pPr>
                </w:p>
              </w:tc>
              <w:tc>
                <w:tcPr>
                  <w:tcW w:w="978" w:type="dxa"/>
                  <w:vMerge w:val="restart"/>
                  <w:vAlign w:val="center"/>
                </w:tcPr>
                <w:p w14:paraId="347C8E0C">
                  <w:pPr>
                    <w:adjustRightInd w:val="0"/>
                    <w:snapToGrid w:val="0"/>
                    <w:jc w:val="center"/>
                    <w:rPr>
                      <w:color w:val="auto"/>
                    </w:rPr>
                  </w:pPr>
                  <w:r>
                    <w:rPr>
                      <w:rFonts w:hint="eastAsia"/>
                      <w:color w:val="auto"/>
                    </w:rPr>
                    <w:t>稀释剂</w:t>
                  </w:r>
                </w:p>
              </w:tc>
              <w:tc>
                <w:tcPr>
                  <w:tcW w:w="3811" w:type="dxa"/>
                  <w:vAlign w:val="center"/>
                </w:tcPr>
                <w:p w14:paraId="747A4465">
                  <w:pPr>
                    <w:adjustRightInd w:val="0"/>
                    <w:snapToGrid w:val="0"/>
                    <w:jc w:val="center"/>
                    <w:rPr>
                      <w:color w:val="auto"/>
                    </w:rPr>
                  </w:pPr>
                  <w:r>
                    <w:rPr>
                      <w:rFonts w:hint="eastAsia"/>
                      <w:color w:val="auto"/>
                    </w:rPr>
                    <w:t>固体成分约占</w:t>
                  </w:r>
                  <w:r>
                    <w:rPr>
                      <w:rFonts w:hint="eastAsia"/>
                      <w:color w:val="auto"/>
                      <w:lang w:val="en-US" w:eastAsia="zh-CN"/>
                    </w:rPr>
                    <w:t>25</w:t>
                  </w:r>
                  <w:r>
                    <w:rPr>
                      <w:rFonts w:hint="eastAsia"/>
                      <w:color w:val="auto"/>
                    </w:rPr>
                    <w:t>%</w:t>
                  </w:r>
                </w:p>
              </w:tc>
              <w:tc>
                <w:tcPr>
                  <w:tcW w:w="1969" w:type="dxa"/>
                  <w:vMerge w:val="continue"/>
                  <w:vAlign w:val="center"/>
                </w:tcPr>
                <w:p w14:paraId="3BF71580">
                  <w:pPr>
                    <w:adjustRightInd w:val="0"/>
                    <w:snapToGrid w:val="0"/>
                    <w:jc w:val="center"/>
                    <w:rPr>
                      <w:color w:val="FF0000"/>
                    </w:rPr>
                  </w:pPr>
                </w:p>
              </w:tc>
              <w:tc>
                <w:tcPr>
                  <w:tcW w:w="1204" w:type="dxa"/>
                  <w:vMerge w:val="continue"/>
                  <w:vAlign w:val="center"/>
                </w:tcPr>
                <w:p w14:paraId="722EB735">
                  <w:pPr>
                    <w:adjustRightInd w:val="0"/>
                    <w:snapToGrid w:val="0"/>
                    <w:jc w:val="center"/>
                    <w:rPr>
                      <w:color w:val="FF0000"/>
                    </w:rPr>
                  </w:pPr>
                </w:p>
              </w:tc>
            </w:tr>
            <w:tr w14:paraId="6AC68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410368FB">
                  <w:pPr>
                    <w:adjustRightInd w:val="0"/>
                    <w:snapToGrid w:val="0"/>
                    <w:jc w:val="center"/>
                    <w:rPr>
                      <w:color w:val="000000" w:themeColor="text1"/>
                      <w14:textFill>
                        <w14:solidFill>
                          <w14:schemeClr w14:val="tx1"/>
                        </w14:solidFill>
                      </w14:textFill>
                    </w:rPr>
                  </w:pPr>
                </w:p>
              </w:tc>
              <w:tc>
                <w:tcPr>
                  <w:tcW w:w="978" w:type="dxa"/>
                  <w:vMerge w:val="continue"/>
                  <w:vAlign w:val="center"/>
                </w:tcPr>
                <w:p w14:paraId="7B63721F">
                  <w:pPr>
                    <w:adjustRightInd w:val="0"/>
                    <w:snapToGrid w:val="0"/>
                    <w:jc w:val="center"/>
                    <w:rPr>
                      <w:color w:val="auto"/>
                    </w:rPr>
                  </w:pPr>
                </w:p>
              </w:tc>
              <w:tc>
                <w:tcPr>
                  <w:tcW w:w="3811" w:type="dxa"/>
                  <w:vAlign w:val="center"/>
                </w:tcPr>
                <w:p w14:paraId="17624FB0">
                  <w:pPr>
                    <w:adjustRightInd w:val="0"/>
                    <w:snapToGrid w:val="0"/>
                    <w:jc w:val="center"/>
                    <w:rPr>
                      <w:color w:val="auto"/>
                    </w:rPr>
                  </w:pPr>
                  <w:r>
                    <w:rPr>
                      <w:rFonts w:hint="eastAsia"/>
                      <w:color w:val="auto"/>
                    </w:rPr>
                    <w:t>挥发性成分占</w:t>
                  </w:r>
                  <w:r>
                    <w:rPr>
                      <w:rFonts w:hint="eastAsia"/>
                      <w:color w:val="auto"/>
                      <w:lang w:val="en-US" w:eastAsia="zh-CN"/>
                    </w:rPr>
                    <w:t>75</w:t>
                  </w:r>
                  <w:r>
                    <w:rPr>
                      <w:rFonts w:hint="eastAsia"/>
                      <w:color w:val="auto"/>
                    </w:rPr>
                    <w:t>%</w:t>
                  </w:r>
                </w:p>
              </w:tc>
              <w:tc>
                <w:tcPr>
                  <w:tcW w:w="1969" w:type="dxa"/>
                  <w:vMerge w:val="continue"/>
                  <w:vAlign w:val="center"/>
                </w:tcPr>
                <w:p w14:paraId="12B74DF1">
                  <w:pPr>
                    <w:adjustRightInd w:val="0"/>
                    <w:snapToGrid w:val="0"/>
                    <w:jc w:val="center"/>
                    <w:rPr>
                      <w:color w:val="FF0000"/>
                    </w:rPr>
                  </w:pPr>
                </w:p>
              </w:tc>
              <w:tc>
                <w:tcPr>
                  <w:tcW w:w="1204" w:type="dxa"/>
                  <w:vMerge w:val="continue"/>
                  <w:vAlign w:val="center"/>
                </w:tcPr>
                <w:p w14:paraId="28041ABF">
                  <w:pPr>
                    <w:adjustRightInd w:val="0"/>
                    <w:snapToGrid w:val="0"/>
                    <w:jc w:val="center"/>
                    <w:rPr>
                      <w:color w:val="FF0000"/>
                    </w:rPr>
                  </w:pPr>
                </w:p>
              </w:tc>
            </w:tr>
            <w:tr w14:paraId="35845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35169C56">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清漆</w:t>
                  </w:r>
                </w:p>
              </w:tc>
              <w:tc>
                <w:tcPr>
                  <w:tcW w:w="978" w:type="dxa"/>
                  <w:vMerge w:val="restart"/>
                  <w:vAlign w:val="center"/>
                </w:tcPr>
                <w:p w14:paraId="429236E1">
                  <w:pPr>
                    <w:adjustRightInd w:val="0"/>
                    <w:snapToGrid w:val="0"/>
                    <w:jc w:val="center"/>
                    <w:rPr>
                      <w:color w:val="FF0000"/>
                    </w:rPr>
                  </w:pPr>
                  <w:r>
                    <w:rPr>
                      <w:rFonts w:hint="eastAsia"/>
                      <w:color w:val="auto"/>
                    </w:rPr>
                    <w:t>清漆</w:t>
                  </w:r>
                </w:p>
              </w:tc>
              <w:tc>
                <w:tcPr>
                  <w:tcW w:w="3811" w:type="dxa"/>
                  <w:vAlign w:val="center"/>
                </w:tcPr>
                <w:p w14:paraId="6ACB5D1D">
                  <w:pPr>
                    <w:adjustRightInd w:val="0"/>
                    <w:snapToGrid w:val="0"/>
                    <w:jc w:val="center"/>
                    <w:rPr>
                      <w:color w:val="FF0000"/>
                    </w:rPr>
                  </w:pPr>
                  <w:r>
                    <w:rPr>
                      <w:rFonts w:hint="eastAsia"/>
                      <w:color w:val="auto"/>
                    </w:rPr>
                    <w:t>固体成分约</w:t>
                  </w:r>
                  <w:r>
                    <w:rPr>
                      <w:rFonts w:hint="eastAsia"/>
                      <w:color w:val="auto"/>
                      <w:lang w:val="en-US" w:eastAsia="zh-CN"/>
                    </w:rPr>
                    <w:t>32</w:t>
                  </w:r>
                  <w:r>
                    <w:rPr>
                      <w:rFonts w:hint="eastAsia"/>
                      <w:color w:val="auto"/>
                    </w:rPr>
                    <w:t>%</w:t>
                  </w:r>
                </w:p>
              </w:tc>
              <w:tc>
                <w:tcPr>
                  <w:tcW w:w="1969" w:type="dxa"/>
                  <w:vMerge w:val="restart"/>
                  <w:vAlign w:val="center"/>
                </w:tcPr>
                <w:p w14:paraId="65E1F5AA">
                  <w:pPr>
                    <w:wordWrap w:val="0"/>
                    <w:adjustRightInd w:val="0"/>
                    <w:snapToGrid w:val="0"/>
                    <w:jc w:val="center"/>
                    <w:rPr>
                      <w:color w:val="auto"/>
                    </w:rPr>
                  </w:pPr>
                  <w:r>
                    <w:rPr>
                      <w:rFonts w:hint="eastAsia"/>
                      <w:color w:val="auto"/>
                    </w:rPr>
                    <w:t>固体成分约</w:t>
                  </w:r>
                  <w:r>
                    <w:rPr>
                      <w:rFonts w:hint="eastAsia"/>
                      <w:color w:val="auto"/>
                      <w:lang w:val="en-US" w:eastAsia="zh-CN"/>
                    </w:rPr>
                    <w:t>75</w:t>
                  </w:r>
                  <w:r>
                    <w:rPr>
                      <w:rFonts w:hint="eastAsia"/>
                      <w:color w:val="auto"/>
                    </w:rPr>
                    <w:t>%，VOCs约</w:t>
                  </w:r>
                  <w:r>
                    <w:rPr>
                      <w:rFonts w:hint="eastAsia"/>
                      <w:color w:val="auto"/>
                      <w:lang w:val="en-US" w:eastAsia="zh-CN"/>
                    </w:rPr>
                    <w:t>25</w:t>
                  </w:r>
                  <w:r>
                    <w:rPr>
                      <w:rFonts w:hint="eastAsia"/>
                      <w:color w:val="auto"/>
                    </w:rPr>
                    <w:t>%（其中</w:t>
                  </w:r>
                  <w:r>
                    <w:rPr>
                      <w:rFonts w:hint="eastAsia"/>
                      <w:color w:val="auto"/>
                      <w:lang w:val="en-US" w:eastAsia="zh-CN"/>
                    </w:rPr>
                    <w:t>二</w:t>
                  </w:r>
                  <w:r>
                    <w:rPr>
                      <w:rFonts w:hint="eastAsia"/>
                      <w:color w:val="auto"/>
                    </w:rPr>
                    <w:t>甲苯约</w:t>
                  </w:r>
                  <w:r>
                    <w:rPr>
                      <w:rFonts w:hint="eastAsia"/>
                      <w:color w:val="auto"/>
                      <w:lang w:val="en-US" w:eastAsia="zh-CN"/>
                    </w:rPr>
                    <w:t>0.2</w:t>
                  </w:r>
                  <w:r>
                    <w:rPr>
                      <w:rFonts w:hint="eastAsia"/>
                      <w:color w:val="auto"/>
                    </w:rPr>
                    <w:t>%，乙苯约</w:t>
                  </w:r>
                  <w:r>
                    <w:rPr>
                      <w:rFonts w:hint="eastAsia"/>
                      <w:color w:val="auto"/>
                      <w:lang w:val="en-US" w:eastAsia="zh-CN"/>
                    </w:rPr>
                    <w:t>0.02</w:t>
                  </w:r>
                  <w:r>
                    <w:rPr>
                      <w:rFonts w:hint="eastAsia"/>
                      <w:color w:val="auto"/>
                    </w:rPr>
                    <w:t>%）</w:t>
                  </w:r>
                </w:p>
              </w:tc>
              <w:tc>
                <w:tcPr>
                  <w:tcW w:w="1204" w:type="dxa"/>
                  <w:vMerge w:val="restart"/>
                  <w:vAlign w:val="center"/>
                </w:tcPr>
                <w:p w14:paraId="278C2E19">
                  <w:pPr>
                    <w:adjustRightInd w:val="0"/>
                    <w:snapToGrid w:val="0"/>
                    <w:jc w:val="center"/>
                    <w:rPr>
                      <w:color w:val="auto"/>
                    </w:rPr>
                  </w:pPr>
                  <w:r>
                    <w:rPr>
                      <w:rFonts w:hint="eastAsia"/>
                      <w:color w:val="auto"/>
                    </w:rPr>
                    <w:t>调配比例</w:t>
                  </w:r>
                </w:p>
                <w:p w14:paraId="6B25BAD5">
                  <w:pPr>
                    <w:adjustRightInd w:val="0"/>
                    <w:snapToGrid w:val="0"/>
                    <w:jc w:val="center"/>
                    <w:rPr>
                      <w:rFonts w:hint="eastAsia" w:eastAsia="宋体"/>
                      <w:color w:val="auto"/>
                      <w:lang w:eastAsia="zh-CN"/>
                    </w:rPr>
                  </w:pPr>
                  <w:r>
                    <w:rPr>
                      <w:rFonts w:hint="eastAsia"/>
                      <w:color w:val="auto"/>
                    </w:rPr>
                    <w:t>漆：固：稀=3：</w:t>
                  </w:r>
                  <w:r>
                    <w:rPr>
                      <w:color w:val="auto"/>
                    </w:rPr>
                    <w:t>1</w:t>
                  </w:r>
                  <w:r>
                    <w:rPr>
                      <w:rFonts w:hint="eastAsia"/>
                      <w:color w:val="auto"/>
                    </w:rPr>
                    <w:t>：</w:t>
                  </w:r>
                  <w:r>
                    <w:rPr>
                      <w:rFonts w:hint="eastAsia"/>
                      <w:color w:val="auto"/>
                      <w:lang w:val="en-US" w:eastAsia="zh-CN"/>
                    </w:rPr>
                    <w:t>1</w:t>
                  </w:r>
                </w:p>
              </w:tc>
            </w:tr>
            <w:tr w14:paraId="31940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3C7A839">
                  <w:pPr>
                    <w:adjustRightInd w:val="0"/>
                    <w:snapToGrid w:val="0"/>
                    <w:jc w:val="center"/>
                  </w:pPr>
                </w:p>
              </w:tc>
              <w:tc>
                <w:tcPr>
                  <w:tcW w:w="978" w:type="dxa"/>
                  <w:vMerge w:val="continue"/>
                  <w:vAlign w:val="center"/>
                </w:tcPr>
                <w:p w14:paraId="4F81CB96">
                  <w:pPr>
                    <w:adjustRightInd w:val="0"/>
                    <w:snapToGrid w:val="0"/>
                    <w:jc w:val="center"/>
                  </w:pPr>
                </w:p>
              </w:tc>
              <w:tc>
                <w:tcPr>
                  <w:tcW w:w="3811" w:type="dxa"/>
                  <w:vAlign w:val="center"/>
                </w:tcPr>
                <w:p w14:paraId="0D5E6A2D">
                  <w:pPr>
                    <w:adjustRightInd w:val="0"/>
                    <w:snapToGrid w:val="0"/>
                    <w:jc w:val="center"/>
                    <w:rPr>
                      <w:color w:val="FF0000"/>
                    </w:rPr>
                  </w:pPr>
                  <w:r>
                    <w:rPr>
                      <w:rFonts w:hint="eastAsia"/>
                      <w:color w:val="000000" w:themeColor="text1"/>
                      <w14:textFill>
                        <w14:solidFill>
                          <w14:schemeClr w14:val="tx1"/>
                        </w14:solidFill>
                      </w14:textFill>
                    </w:rPr>
                    <w:t>挥发性成分</w:t>
                  </w:r>
                  <w:r>
                    <w:rPr>
                      <w:rFonts w:hint="eastAsia"/>
                      <w:color w:val="000000" w:themeColor="text1"/>
                      <w:lang w:val="en-US" w:eastAsia="zh-CN"/>
                      <w14:textFill>
                        <w14:solidFill>
                          <w14:schemeClr w14:val="tx1"/>
                        </w14:solidFill>
                      </w14:textFill>
                    </w:rPr>
                    <w:t>415</w:t>
                  </w:r>
                  <w:r>
                    <w:rPr>
                      <w:color w:val="000000" w:themeColor="text1"/>
                      <w14:textFill>
                        <w14:solidFill>
                          <w14:schemeClr w14:val="tx1"/>
                        </w14:solidFill>
                      </w14:textFill>
                    </w:rPr>
                    <w:t>g/L</w:t>
                  </w:r>
                </w:p>
              </w:tc>
              <w:tc>
                <w:tcPr>
                  <w:tcW w:w="1969" w:type="dxa"/>
                  <w:vMerge w:val="continue"/>
                  <w:vAlign w:val="center"/>
                </w:tcPr>
                <w:p w14:paraId="7A1A4FA3">
                  <w:pPr>
                    <w:adjustRightInd w:val="0"/>
                    <w:snapToGrid w:val="0"/>
                    <w:jc w:val="center"/>
                  </w:pPr>
                </w:p>
              </w:tc>
              <w:tc>
                <w:tcPr>
                  <w:tcW w:w="1204" w:type="dxa"/>
                  <w:vMerge w:val="continue"/>
                  <w:vAlign w:val="center"/>
                </w:tcPr>
                <w:p w14:paraId="42EFAEF3">
                  <w:pPr>
                    <w:adjustRightInd w:val="0"/>
                    <w:snapToGrid w:val="0"/>
                    <w:jc w:val="center"/>
                  </w:pPr>
                </w:p>
              </w:tc>
            </w:tr>
            <w:tr w14:paraId="518C7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26" w:type="dxa"/>
                  <w:vMerge w:val="continue"/>
                  <w:vAlign w:val="center"/>
                </w:tcPr>
                <w:p w14:paraId="75A587EA">
                  <w:pPr>
                    <w:adjustRightInd w:val="0"/>
                    <w:snapToGrid w:val="0"/>
                    <w:jc w:val="center"/>
                  </w:pPr>
                </w:p>
              </w:tc>
              <w:tc>
                <w:tcPr>
                  <w:tcW w:w="978" w:type="dxa"/>
                  <w:vMerge w:val="restart"/>
                  <w:vAlign w:val="center"/>
                </w:tcPr>
                <w:p w14:paraId="40C90E5A">
                  <w:pPr>
                    <w:adjustRightInd w:val="0"/>
                    <w:snapToGrid w:val="0"/>
                    <w:jc w:val="center"/>
                    <w:rPr>
                      <w:color w:val="FF0000"/>
                    </w:rPr>
                  </w:pPr>
                  <w:r>
                    <w:rPr>
                      <w:rFonts w:hint="eastAsia"/>
                      <w:color w:val="auto"/>
                    </w:rPr>
                    <w:t>稀释剂</w:t>
                  </w:r>
                </w:p>
              </w:tc>
              <w:tc>
                <w:tcPr>
                  <w:tcW w:w="3811" w:type="dxa"/>
                  <w:vAlign w:val="center"/>
                </w:tcPr>
                <w:p w14:paraId="58724FC0">
                  <w:pPr>
                    <w:adjustRightInd w:val="0"/>
                    <w:snapToGrid w:val="0"/>
                    <w:jc w:val="center"/>
                    <w:rPr>
                      <w:color w:val="FF0000"/>
                    </w:rPr>
                  </w:pPr>
                  <w:r>
                    <w:rPr>
                      <w:rFonts w:hint="eastAsia"/>
                      <w:color w:val="auto"/>
                    </w:rPr>
                    <w:t>固体成分约占</w:t>
                  </w:r>
                  <w:r>
                    <w:rPr>
                      <w:rFonts w:hint="eastAsia"/>
                      <w:color w:val="auto"/>
                      <w:lang w:val="en-US" w:eastAsia="zh-CN"/>
                    </w:rPr>
                    <w:t>25</w:t>
                  </w:r>
                  <w:r>
                    <w:rPr>
                      <w:rFonts w:hint="eastAsia"/>
                      <w:color w:val="auto"/>
                    </w:rPr>
                    <w:t>%</w:t>
                  </w:r>
                </w:p>
              </w:tc>
              <w:tc>
                <w:tcPr>
                  <w:tcW w:w="1969" w:type="dxa"/>
                  <w:vMerge w:val="continue"/>
                  <w:vAlign w:val="center"/>
                </w:tcPr>
                <w:p w14:paraId="7A48E27E">
                  <w:pPr>
                    <w:adjustRightInd w:val="0"/>
                    <w:snapToGrid w:val="0"/>
                    <w:jc w:val="center"/>
                  </w:pPr>
                </w:p>
              </w:tc>
              <w:tc>
                <w:tcPr>
                  <w:tcW w:w="1204" w:type="dxa"/>
                  <w:vMerge w:val="continue"/>
                  <w:vAlign w:val="center"/>
                </w:tcPr>
                <w:p w14:paraId="7144FB17">
                  <w:pPr>
                    <w:adjustRightInd w:val="0"/>
                    <w:snapToGrid w:val="0"/>
                    <w:jc w:val="center"/>
                  </w:pPr>
                </w:p>
              </w:tc>
            </w:tr>
            <w:tr w14:paraId="4FA08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434CE084">
                  <w:pPr>
                    <w:adjustRightInd w:val="0"/>
                    <w:snapToGrid w:val="0"/>
                    <w:jc w:val="center"/>
                  </w:pPr>
                </w:p>
              </w:tc>
              <w:tc>
                <w:tcPr>
                  <w:tcW w:w="978" w:type="dxa"/>
                  <w:vMerge w:val="continue"/>
                  <w:vAlign w:val="center"/>
                </w:tcPr>
                <w:p w14:paraId="7C2E0E34">
                  <w:pPr>
                    <w:adjustRightInd w:val="0"/>
                    <w:snapToGrid w:val="0"/>
                    <w:jc w:val="center"/>
                    <w:rPr>
                      <w:color w:val="FF0000"/>
                    </w:rPr>
                  </w:pPr>
                </w:p>
              </w:tc>
              <w:tc>
                <w:tcPr>
                  <w:tcW w:w="3811" w:type="dxa"/>
                  <w:vAlign w:val="center"/>
                </w:tcPr>
                <w:p w14:paraId="768FC2FD">
                  <w:pPr>
                    <w:adjustRightInd w:val="0"/>
                    <w:snapToGrid w:val="0"/>
                    <w:jc w:val="center"/>
                    <w:rPr>
                      <w:color w:val="FF0000"/>
                    </w:rPr>
                  </w:pPr>
                  <w:r>
                    <w:rPr>
                      <w:rFonts w:hint="eastAsia"/>
                      <w:color w:val="auto"/>
                    </w:rPr>
                    <w:t>挥发性成分占</w:t>
                  </w:r>
                  <w:r>
                    <w:rPr>
                      <w:rFonts w:hint="eastAsia"/>
                      <w:color w:val="auto"/>
                      <w:lang w:val="en-US" w:eastAsia="zh-CN"/>
                    </w:rPr>
                    <w:t>75</w:t>
                  </w:r>
                  <w:r>
                    <w:rPr>
                      <w:rFonts w:hint="eastAsia"/>
                      <w:color w:val="auto"/>
                    </w:rPr>
                    <w:t>%</w:t>
                  </w:r>
                </w:p>
              </w:tc>
              <w:tc>
                <w:tcPr>
                  <w:tcW w:w="1969" w:type="dxa"/>
                  <w:vMerge w:val="continue"/>
                  <w:vAlign w:val="center"/>
                </w:tcPr>
                <w:p w14:paraId="0998D8FC">
                  <w:pPr>
                    <w:adjustRightInd w:val="0"/>
                    <w:snapToGrid w:val="0"/>
                    <w:jc w:val="center"/>
                  </w:pPr>
                </w:p>
              </w:tc>
              <w:tc>
                <w:tcPr>
                  <w:tcW w:w="1204" w:type="dxa"/>
                  <w:vMerge w:val="continue"/>
                  <w:vAlign w:val="center"/>
                </w:tcPr>
                <w:p w14:paraId="45FF9393">
                  <w:pPr>
                    <w:adjustRightInd w:val="0"/>
                    <w:snapToGrid w:val="0"/>
                    <w:jc w:val="center"/>
                  </w:pPr>
                </w:p>
              </w:tc>
            </w:tr>
            <w:tr w14:paraId="7547F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616D8CB">
                  <w:pPr>
                    <w:adjustRightInd w:val="0"/>
                    <w:snapToGrid w:val="0"/>
                    <w:jc w:val="center"/>
                  </w:pPr>
                </w:p>
              </w:tc>
              <w:tc>
                <w:tcPr>
                  <w:tcW w:w="978" w:type="dxa"/>
                  <w:vMerge w:val="restart"/>
                  <w:vAlign w:val="center"/>
                </w:tcPr>
                <w:p w14:paraId="7B8A5D7A">
                  <w:pPr>
                    <w:adjustRightInd w:val="0"/>
                    <w:snapToGrid w:val="0"/>
                    <w:jc w:val="center"/>
                    <w:rPr>
                      <w:color w:val="FF0000"/>
                    </w:rPr>
                  </w:pPr>
                  <w:r>
                    <w:rPr>
                      <w:rFonts w:hint="eastAsia"/>
                      <w:color w:val="auto"/>
                    </w:rPr>
                    <w:t>固化剂</w:t>
                  </w:r>
                </w:p>
              </w:tc>
              <w:tc>
                <w:tcPr>
                  <w:tcW w:w="3811" w:type="dxa"/>
                  <w:vAlign w:val="center"/>
                </w:tcPr>
                <w:p w14:paraId="26F4F05F">
                  <w:pPr>
                    <w:adjustRightInd w:val="0"/>
                    <w:snapToGrid w:val="0"/>
                    <w:jc w:val="center"/>
                    <w:rPr>
                      <w:color w:val="FF0000"/>
                    </w:rPr>
                  </w:pPr>
                  <w:r>
                    <w:rPr>
                      <w:rFonts w:hint="eastAsia"/>
                      <w:color w:val="auto"/>
                    </w:rPr>
                    <w:t>固体成分约占</w:t>
                  </w:r>
                  <w:r>
                    <w:rPr>
                      <w:rFonts w:hint="eastAsia"/>
                      <w:color w:val="auto"/>
                      <w:lang w:val="en-US" w:eastAsia="zh-CN"/>
                    </w:rPr>
                    <w:t>60</w:t>
                  </w:r>
                  <w:r>
                    <w:rPr>
                      <w:rFonts w:hint="eastAsia"/>
                      <w:color w:val="auto"/>
                    </w:rPr>
                    <w:t>%</w:t>
                  </w:r>
                </w:p>
              </w:tc>
              <w:tc>
                <w:tcPr>
                  <w:tcW w:w="1969" w:type="dxa"/>
                  <w:vMerge w:val="continue"/>
                  <w:vAlign w:val="center"/>
                </w:tcPr>
                <w:p w14:paraId="50231804">
                  <w:pPr>
                    <w:adjustRightInd w:val="0"/>
                    <w:snapToGrid w:val="0"/>
                    <w:jc w:val="center"/>
                  </w:pPr>
                </w:p>
              </w:tc>
              <w:tc>
                <w:tcPr>
                  <w:tcW w:w="1204" w:type="dxa"/>
                  <w:vMerge w:val="continue"/>
                  <w:vAlign w:val="center"/>
                </w:tcPr>
                <w:p w14:paraId="51AE1956">
                  <w:pPr>
                    <w:adjustRightInd w:val="0"/>
                    <w:snapToGrid w:val="0"/>
                    <w:jc w:val="center"/>
                  </w:pPr>
                </w:p>
              </w:tc>
            </w:tr>
            <w:tr w14:paraId="514C9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647245D">
                  <w:pPr>
                    <w:adjustRightInd w:val="0"/>
                    <w:snapToGrid w:val="0"/>
                    <w:jc w:val="center"/>
                  </w:pPr>
                </w:p>
              </w:tc>
              <w:tc>
                <w:tcPr>
                  <w:tcW w:w="978" w:type="dxa"/>
                  <w:vMerge w:val="continue"/>
                  <w:vAlign w:val="center"/>
                </w:tcPr>
                <w:p w14:paraId="1ADC5352">
                  <w:pPr>
                    <w:adjustRightInd w:val="0"/>
                    <w:snapToGrid w:val="0"/>
                    <w:jc w:val="center"/>
                  </w:pPr>
                </w:p>
              </w:tc>
              <w:tc>
                <w:tcPr>
                  <w:tcW w:w="3811" w:type="dxa"/>
                  <w:vAlign w:val="center"/>
                </w:tcPr>
                <w:p w14:paraId="4D2CF9AD">
                  <w:pPr>
                    <w:adjustRightInd w:val="0"/>
                    <w:snapToGrid w:val="0"/>
                    <w:jc w:val="center"/>
                    <w:rPr>
                      <w:color w:val="FF0000"/>
                    </w:rPr>
                  </w:pPr>
                  <w:r>
                    <w:rPr>
                      <w:rFonts w:hint="eastAsia"/>
                      <w:color w:val="auto"/>
                    </w:rPr>
                    <w:t>挥发性成分约占</w:t>
                  </w:r>
                  <w:r>
                    <w:rPr>
                      <w:rFonts w:hint="eastAsia"/>
                      <w:color w:val="auto"/>
                      <w:lang w:val="en-US" w:eastAsia="zh-CN"/>
                    </w:rPr>
                    <w:t>40</w:t>
                  </w:r>
                  <w:r>
                    <w:rPr>
                      <w:rFonts w:hint="eastAsia"/>
                      <w:color w:val="auto"/>
                    </w:rPr>
                    <w:t>%</w:t>
                  </w:r>
                  <w:r>
                    <w:rPr>
                      <w:rFonts w:hint="eastAsia"/>
                      <w:color w:val="auto"/>
                      <w:lang w:eastAsia="zh-CN"/>
                    </w:rPr>
                    <w:t>（</w:t>
                  </w:r>
                  <w:r>
                    <w:rPr>
                      <w:rFonts w:hint="eastAsia"/>
                      <w:color w:val="auto"/>
                      <w:lang w:val="en-US" w:eastAsia="zh-CN"/>
                    </w:rPr>
                    <w:t>其中二甲苯1%，乙苯0.1%</w:t>
                  </w:r>
                  <w:r>
                    <w:rPr>
                      <w:rFonts w:hint="eastAsia"/>
                      <w:color w:val="auto"/>
                      <w:lang w:eastAsia="zh-CN"/>
                    </w:rPr>
                    <w:t>）</w:t>
                  </w:r>
                </w:p>
              </w:tc>
              <w:tc>
                <w:tcPr>
                  <w:tcW w:w="1969" w:type="dxa"/>
                  <w:vMerge w:val="continue"/>
                  <w:vAlign w:val="center"/>
                </w:tcPr>
                <w:p w14:paraId="19D07618">
                  <w:pPr>
                    <w:adjustRightInd w:val="0"/>
                    <w:snapToGrid w:val="0"/>
                    <w:jc w:val="center"/>
                  </w:pPr>
                </w:p>
              </w:tc>
              <w:tc>
                <w:tcPr>
                  <w:tcW w:w="1204" w:type="dxa"/>
                  <w:vMerge w:val="continue"/>
                  <w:vAlign w:val="center"/>
                </w:tcPr>
                <w:p w14:paraId="3615CC02">
                  <w:pPr>
                    <w:adjustRightInd w:val="0"/>
                    <w:snapToGrid w:val="0"/>
                    <w:jc w:val="center"/>
                  </w:pPr>
                </w:p>
              </w:tc>
            </w:tr>
          </w:tbl>
          <w:p w14:paraId="789333CC">
            <w:pPr>
              <w:bidi w:val="0"/>
              <w:spacing w:line="360" w:lineRule="auto"/>
              <w:ind w:firstLine="422" w:firstLineChars="200"/>
              <w:rPr>
                <w:b/>
                <w:bCs/>
              </w:rPr>
            </w:pPr>
            <w:r>
              <w:rPr>
                <w:rFonts w:hint="eastAsia"/>
                <w:b/>
                <w:bCs/>
                <w:lang w:val="en-US" w:eastAsia="zh-CN"/>
              </w:rPr>
              <w:t>4、</w:t>
            </w:r>
            <w:r>
              <w:rPr>
                <w:b/>
                <w:bCs/>
              </w:rPr>
              <w:t>项目油漆用量核算</w:t>
            </w:r>
          </w:p>
          <w:p w14:paraId="6634707C">
            <w:pPr>
              <w:bidi w:val="0"/>
              <w:spacing w:line="360" w:lineRule="auto"/>
              <w:ind w:firstLine="420" w:firstLineChars="200"/>
            </w:pPr>
            <w:r>
              <w:rPr>
                <w:rFonts w:hint="eastAsia"/>
              </w:rPr>
              <w:t>①喷涂面积核算</w:t>
            </w:r>
          </w:p>
          <w:p w14:paraId="43545BA5">
            <w:pPr>
              <w:keepNext w:val="0"/>
              <w:keepLines w:val="0"/>
              <w:widowControl/>
              <w:suppressLineNumbers w:val="0"/>
              <w:spacing w:line="360" w:lineRule="auto"/>
              <w:ind w:firstLine="420" w:firstLineChars="200"/>
              <w:jc w:val="left"/>
            </w:pPr>
            <w:r>
              <w:rPr>
                <w:rFonts w:hint="default" w:ascii="Times New Roman" w:hAnsi="Times New Roman" w:eastAsia="宋体" w:cs="Times New Roman"/>
              </w:rPr>
              <w:t>本项目实施之后预计年喷漆量为</w:t>
            </w:r>
            <w:r>
              <w:rPr>
                <w:rFonts w:hint="default" w:ascii="Times New Roman" w:hAnsi="Times New Roman" w:eastAsia="宋体" w:cs="Times New Roman"/>
                <w:color w:val="000000"/>
                <w:kern w:val="0"/>
                <w:sz w:val="21"/>
                <w:szCs w:val="21"/>
                <w:lang w:val="en-US" w:eastAsia="zh-CN" w:bidi="ar"/>
              </w:rPr>
              <w:t>车门下护板48万件/年，扰流板25万件/年，轮眉48万件/年，后视镜24万件/年</w:t>
            </w:r>
            <w:r>
              <w:t>。</w:t>
            </w:r>
          </w:p>
          <w:p w14:paraId="1DFD2F12">
            <w:pPr>
              <w:bidi w:val="0"/>
              <w:spacing w:line="240" w:lineRule="auto"/>
              <w:jc w:val="center"/>
              <w:rPr>
                <w:b/>
                <w:bCs/>
              </w:rPr>
            </w:pPr>
            <w:r>
              <w:rPr>
                <w:rFonts w:hint="eastAsia"/>
                <w:b/>
                <w:bCs/>
              </w:rPr>
              <w:t>表2-</w:t>
            </w:r>
            <w:r>
              <w:rPr>
                <w:rFonts w:hint="eastAsia"/>
                <w:b/>
                <w:bCs/>
                <w:lang w:val="en-US" w:eastAsia="zh-CN"/>
              </w:rPr>
              <w:t>7</w:t>
            </w:r>
            <w:r>
              <w:rPr>
                <w:rFonts w:hint="eastAsia"/>
                <w:b/>
                <w:bCs/>
              </w:rPr>
              <w:t>喷涂面积计算</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721"/>
              <w:gridCol w:w="2105"/>
              <w:gridCol w:w="1575"/>
              <w:gridCol w:w="2068"/>
            </w:tblGrid>
            <w:tr w14:paraId="48384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Align w:val="center"/>
                </w:tcPr>
                <w:p w14:paraId="1934891A">
                  <w:pPr>
                    <w:pStyle w:val="81"/>
                    <w:spacing w:line="240" w:lineRule="auto"/>
                    <w:ind w:firstLine="0" w:firstLineChars="0"/>
                    <w:jc w:val="center"/>
                    <w:rPr>
                      <w:b/>
                      <w:sz w:val="21"/>
                      <w:szCs w:val="21"/>
                    </w:rPr>
                  </w:pPr>
                  <w:r>
                    <w:rPr>
                      <w:b/>
                      <w:sz w:val="21"/>
                      <w:szCs w:val="21"/>
                    </w:rPr>
                    <w:t>序号</w:t>
                  </w:r>
                </w:p>
              </w:tc>
              <w:tc>
                <w:tcPr>
                  <w:tcW w:w="1026" w:type="pct"/>
                  <w:vAlign w:val="center"/>
                </w:tcPr>
                <w:p w14:paraId="08895370">
                  <w:pPr>
                    <w:pStyle w:val="81"/>
                    <w:spacing w:line="240" w:lineRule="auto"/>
                    <w:ind w:firstLine="0" w:firstLineChars="0"/>
                    <w:jc w:val="center"/>
                    <w:rPr>
                      <w:rFonts w:hint="default" w:eastAsia="宋体"/>
                      <w:b/>
                      <w:sz w:val="21"/>
                      <w:szCs w:val="21"/>
                      <w:lang w:val="en-US" w:eastAsia="zh-CN"/>
                    </w:rPr>
                  </w:pPr>
                  <w:r>
                    <w:rPr>
                      <w:rFonts w:hint="eastAsia"/>
                      <w:b/>
                      <w:sz w:val="21"/>
                      <w:szCs w:val="21"/>
                      <w:lang w:val="en-US" w:eastAsia="zh-CN"/>
                    </w:rPr>
                    <w:t>产品名称</w:t>
                  </w:r>
                </w:p>
              </w:tc>
              <w:tc>
                <w:tcPr>
                  <w:tcW w:w="1255" w:type="pct"/>
                  <w:vAlign w:val="center"/>
                </w:tcPr>
                <w:p w14:paraId="41F05246">
                  <w:pPr>
                    <w:pStyle w:val="81"/>
                    <w:spacing w:line="240" w:lineRule="auto"/>
                    <w:ind w:firstLine="0" w:firstLineChars="0"/>
                    <w:jc w:val="center"/>
                    <w:rPr>
                      <w:rFonts w:hint="eastAsia" w:eastAsia="宋体"/>
                      <w:b/>
                      <w:sz w:val="21"/>
                      <w:szCs w:val="21"/>
                      <w:lang w:eastAsia="zh-CN"/>
                    </w:rPr>
                  </w:pPr>
                  <w:r>
                    <w:rPr>
                      <w:rFonts w:hint="eastAsia"/>
                      <w:b/>
                      <w:sz w:val="21"/>
                      <w:szCs w:val="21"/>
                      <w:lang w:val="en-US" w:eastAsia="zh-CN"/>
                    </w:rPr>
                    <w:t>产量（万件/年）</w:t>
                  </w:r>
                </w:p>
              </w:tc>
              <w:tc>
                <w:tcPr>
                  <w:tcW w:w="938" w:type="pct"/>
                  <w:vAlign w:val="center"/>
                </w:tcPr>
                <w:p w14:paraId="648497BA">
                  <w:pPr>
                    <w:pStyle w:val="81"/>
                    <w:spacing w:line="240" w:lineRule="auto"/>
                    <w:ind w:firstLine="0" w:firstLineChars="0"/>
                    <w:jc w:val="center"/>
                    <w:rPr>
                      <w:rFonts w:hint="default" w:eastAsia="宋体"/>
                      <w:b/>
                      <w:color w:val="000000" w:themeColor="text1"/>
                      <w:sz w:val="21"/>
                      <w:szCs w:val="21"/>
                      <w:lang w:val="en-US" w:eastAsia="zh-CN"/>
                      <w14:textFill>
                        <w14:solidFill>
                          <w14:schemeClr w14:val="tx1"/>
                        </w14:solidFill>
                      </w14:textFill>
                    </w:rPr>
                  </w:pPr>
                  <w:r>
                    <w:rPr>
                      <w:rFonts w:hint="eastAsia"/>
                      <w:b/>
                      <w:color w:val="000000" w:themeColor="text1"/>
                      <w:sz w:val="21"/>
                      <w:szCs w:val="21"/>
                      <w:lang w:val="en-US" w:eastAsia="zh-CN"/>
                      <w14:textFill>
                        <w14:solidFill>
                          <w14:schemeClr w14:val="tx1"/>
                        </w14:solidFill>
                      </w14:textFill>
                    </w:rPr>
                    <w:t>单个喷涂面积</w:t>
                  </w:r>
                </w:p>
              </w:tc>
              <w:tc>
                <w:tcPr>
                  <w:tcW w:w="1233" w:type="pct"/>
                  <w:vAlign w:val="center"/>
                </w:tcPr>
                <w:p w14:paraId="460800CD">
                  <w:pPr>
                    <w:pStyle w:val="81"/>
                    <w:spacing w:line="240" w:lineRule="auto"/>
                    <w:ind w:firstLine="0" w:firstLineChars="0"/>
                    <w:jc w:val="center"/>
                    <w:rPr>
                      <w:rFonts w:hint="eastAsia"/>
                      <w:b/>
                      <w:sz w:val="21"/>
                      <w:szCs w:val="21"/>
                      <w:lang w:val="en-US" w:eastAsia="zh-CN"/>
                    </w:rPr>
                  </w:pPr>
                  <w:r>
                    <w:rPr>
                      <w:rFonts w:hint="eastAsia"/>
                      <w:b/>
                      <w:sz w:val="21"/>
                      <w:szCs w:val="21"/>
                      <w:lang w:val="en-US" w:eastAsia="zh-CN"/>
                    </w:rPr>
                    <w:t>总喷涂</w:t>
                  </w:r>
                  <w:r>
                    <w:rPr>
                      <w:b/>
                      <w:sz w:val="21"/>
                      <w:szCs w:val="21"/>
                    </w:rPr>
                    <w:t>面积</w:t>
                  </w:r>
                </w:p>
              </w:tc>
            </w:tr>
            <w:tr w14:paraId="69CDF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Align w:val="center"/>
                </w:tcPr>
                <w:p w14:paraId="229527F0">
                  <w:pPr>
                    <w:pStyle w:val="81"/>
                    <w:spacing w:line="240" w:lineRule="auto"/>
                    <w:ind w:firstLine="0" w:firstLineChars="0"/>
                    <w:jc w:val="center"/>
                    <w:rPr>
                      <w:sz w:val="21"/>
                      <w:szCs w:val="21"/>
                    </w:rPr>
                  </w:pPr>
                  <w:r>
                    <w:rPr>
                      <w:rFonts w:hint="eastAsia"/>
                      <w:sz w:val="21"/>
                      <w:szCs w:val="21"/>
                    </w:rPr>
                    <w:t>1</w:t>
                  </w:r>
                </w:p>
              </w:tc>
              <w:tc>
                <w:tcPr>
                  <w:tcW w:w="1026" w:type="pct"/>
                  <w:vAlign w:val="center"/>
                </w:tcPr>
                <w:p w14:paraId="517A71EB">
                  <w:pPr>
                    <w:pStyle w:val="81"/>
                    <w:spacing w:line="240" w:lineRule="auto"/>
                    <w:ind w:firstLine="0" w:firstLineChars="0"/>
                    <w:jc w:val="center"/>
                    <w:rPr>
                      <w:sz w:val="21"/>
                      <w:szCs w:val="21"/>
                    </w:rPr>
                  </w:pPr>
                  <w:r>
                    <w:rPr>
                      <w:rFonts w:hint="default" w:ascii="Times New Roman" w:hAnsi="Times New Roman" w:eastAsia="宋体" w:cs="Times New Roman"/>
                      <w:color w:val="000000"/>
                      <w:kern w:val="0"/>
                      <w:sz w:val="21"/>
                      <w:szCs w:val="21"/>
                      <w:lang w:val="en-US" w:eastAsia="zh-CN" w:bidi="ar"/>
                    </w:rPr>
                    <w:t>车门下护板</w:t>
                  </w:r>
                </w:p>
              </w:tc>
              <w:tc>
                <w:tcPr>
                  <w:tcW w:w="1255" w:type="pct"/>
                  <w:vAlign w:val="center"/>
                </w:tcPr>
                <w:p w14:paraId="475A018B">
                  <w:pPr>
                    <w:pStyle w:val="81"/>
                    <w:spacing w:line="240" w:lineRule="auto"/>
                    <w:ind w:firstLine="0" w:firstLineChars="0"/>
                    <w:jc w:val="center"/>
                    <w:rPr>
                      <w:rFonts w:hint="default" w:eastAsia="宋体"/>
                      <w:sz w:val="21"/>
                      <w:szCs w:val="21"/>
                      <w:vertAlign w:val="superscript"/>
                      <w:lang w:val="en-US" w:eastAsia="zh-CN"/>
                    </w:rPr>
                  </w:pPr>
                  <w:r>
                    <w:rPr>
                      <w:rFonts w:hint="eastAsia"/>
                      <w:sz w:val="21"/>
                      <w:szCs w:val="21"/>
                      <w:lang w:val="en-US" w:eastAsia="zh-CN"/>
                    </w:rPr>
                    <w:t>48</w:t>
                  </w:r>
                </w:p>
              </w:tc>
              <w:tc>
                <w:tcPr>
                  <w:tcW w:w="938" w:type="pct"/>
                  <w:vAlign w:val="center"/>
                </w:tcPr>
                <w:p w14:paraId="6E85F0B1">
                  <w:pPr>
                    <w:pStyle w:val="81"/>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0.0645</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p>
              </w:tc>
              <w:tc>
                <w:tcPr>
                  <w:tcW w:w="1233" w:type="pct"/>
                  <w:vAlign w:val="center"/>
                </w:tcPr>
                <w:p w14:paraId="2081086C">
                  <w:pPr>
                    <w:pStyle w:val="81"/>
                    <w:spacing w:line="240" w:lineRule="auto"/>
                    <w:ind w:firstLine="0" w:firstLineChars="0"/>
                    <w:jc w:val="center"/>
                    <w:rPr>
                      <w:rFonts w:hint="default" w:eastAsia="宋体"/>
                      <w:sz w:val="21"/>
                      <w:szCs w:val="21"/>
                      <w:lang w:val="en-US" w:eastAsia="zh-CN"/>
                    </w:rPr>
                  </w:pPr>
                  <w:r>
                    <w:rPr>
                      <w:rFonts w:hint="eastAsia"/>
                      <w:sz w:val="21"/>
                      <w:szCs w:val="21"/>
                      <w:lang w:val="en-US" w:eastAsia="zh-CN"/>
                    </w:rPr>
                    <w:t>30960</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p>
              </w:tc>
            </w:tr>
            <w:tr w14:paraId="5D413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Align w:val="center"/>
                </w:tcPr>
                <w:p w14:paraId="6354E019">
                  <w:pPr>
                    <w:pStyle w:val="81"/>
                    <w:spacing w:line="240" w:lineRule="auto"/>
                    <w:ind w:firstLine="0" w:firstLineChars="0"/>
                    <w:jc w:val="center"/>
                    <w:rPr>
                      <w:rFonts w:hint="eastAsia" w:eastAsia="宋体"/>
                      <w:sz w:val="21"/>
                      <w:szCs w:val="21"/>
                      <w:lang w:val="en-US" w:eastAsia="zh-CN"/>
                    </w:rPr>
                  </w:pPr>
                  <w:r>
                    <w:rPr>
                      <w:rFonts w:hint="eastAsia"/>
                      <w:sz w:val="21"/>
                      <w:szCs w:val="21"/>
                      <w:lang w:val="en-US" w:eastAsia="zh-CN"/>
                    </w:rPr>
                    <w:t>2</w:t>
                  </w:r>
                </w:p>
              </w:tc>
              <w:tc>
                <w:tcPr>
                  <w:tcW w:w="1026" w:type="pct"/>
                  <w:vAlign w:val="center"/>
                </w:tcPr>
                <w:p w14:paraId="3EE873B1">
                  <w:pPr>
                    <w:pStyle w:val="81"/>
                    <w:spacing w:line="240" w:lineRule="auto"/>
                    <w:ind w:firstLine="0" w:firstLineChars="0"/>
                    <w:jc w:val="center"/>
                    <w:rPr>
                      <w:rFonts w:hint="eastAsia"/>
                      <w:sz w:val="21"/>
                      <w:szCs w:val="21"/>
                    </w:rPr>
                  </w:pPr>
                  <w:r>
                    <w:rPr>
                      <w:rFonts w:hint="default" w:ascii="Times New Roman" w:hAnsi="Times New Roman" w:eastAsia="宋体" w:cs="Times New Roman"/>
                      <w:color w:val="000000"/>
                      <w:kern w:val="0"/>
                      <w:sz w:val="21"/>
                      <w:szCs w:val="21"/>
                      <w:lang w:val="en-US" w:eastAsia="zh-CN" w:bidi="ar"/>
                    </w:rPr>
                    <w:t>扰流板</w:t>
                  </w:r>
                </w:p>
              </w:tc>
              <w:tc>
                <w:tcPr>
                  <w:tcW w:w="1255" w:type="pct"/>
                  <w:vAlign w:val="center"/>
                </w:tcPr>
                <w:p w14:paraId="62E27F1C">
                  <w:pPr>
                    <w:pStyle w:val="81"/>
                    <w:spacing w:line="240" w:lineRule="auto"/>
                    <w:ind w:firstLine="0" w:firstLineChars="0"/>
                    <w:jc w:val="center"/>
                    <w:rPr>
                      <w:rFonts w:hint="default" w:eastAsia="宋体"/>
                      <w:sz w:val="21"/>
                      <w:szCs w:val="21"/>
                      <w:lang w:val="en-US" w:eastAsia="zh-CN"/>
                    </w:rPr>
                  </w:pPr>
                  <w:r>
                    <w:rPr>
                      <w:rFonts w:hint="eastAsia"/>
                      <w:sz w:val="21"/>
                      <w:szCs w:val="21"/>
                      <w:lang w:val="en-US" w:eastAsia="zh-CN"/>
                    </w:rPr>
                    <w:t>25</w:t>
                  </w:r>
                </w:p>
              </w:tc>
              <w:tc>
                <w:tcPr>
                  <w:tcW w:w="938" w:type="pct"/>
                  <w:vAlign w:val="center"/>
                </w:tcPr>
                <w:p w14:paraId="2726DA57">
                  <w:pPr>
                    <w:pStyle w:val="81"/>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0.057</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p>
              </w:tc>
              <w:tc>
                <w:tcPr>
                  <w:tcW w:w="1233" w:type="pct"/>
                  <w:vAlign w:val="center"/>
                </w:tcPr>
                <w:p w14:paraId="556774D7">
                  <w:pPr>
                    <w:pStyle w:val="81"/>
                    <w:spacing w:line="240" w:lineRule="auto"/>
                    <w:ind w:firstLine="0" w:firstLineChars="0"/>
                    <w:jc w:val="center"/>
                    <w:rPr>
                      <w:rFonts w:hint="default" w:eastAsia="宋体"/>
                      <w:sz w:val="21"/>
                      <w:szCs w:val="21"/>
                      <w:lang w:val="en-US" w:eastAsia="zh-CN"/>
                    </w:rPr>
                  </w:pPr>
                  <w:r>
                    <w:rPr>
                      <w:rFonts w:hint="eastAsia"/>
                      <w:sz w:val="21"/>
                      <w:szCs w:val="21"/>
                      <w:lang w:val="en-US" w:eastAsia="zh-CN"/>
                    </w:rPr>
                    <w:t>14250</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p>
              </w:tc>
            </w:tr>
            <w:tr w14:paraId="01370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Align w:val="center"/>
                </w:tcPr>
                <w:p w14:paraId="57005851">
                  <w:pPr>
                    <w:pStyle w:val="81"/>
                    <w:spacing w:line="240" w:lineRule="auto"/>
                    <w:ind w:firstLine="0" w:firstLineChars="0"/>
                    <w:jc w:val="center"/>
                    <w:rPr>
                      <w:rFonts w:hint="eastAsia" w:eastAsia="宋体"/>
                      <w:sz w:val="21"/>
                      <w:szCs w:val="21"/>
                      <w:lang w:val="en-US" w:eastAsia="zh-CN"/>
                    </w:rPr>
                  </w:pPr>
                  <w:r>
                    <w:rPr>
                      <w:rFonts w:hint="eastAsia"/>
                      <w:sz w:val="21"/>
                      <w:szCs w:val="21"/>
                      <w:lang w:val="en-US" w:eastAsia="zh-CN"/>
                    </w:rPr>
                    <w:t>3</w:t>
                  </w:r>
                </w:p>
              </w:tc>
              <w:tc>
                <w:tcPr>
                  <w:tcW w:w="1026" w:type="pct"/>
                  <w:vAlign w:val="center"/>
                </w:tcPr>
                <w:p w14:paraId="559E8C72">
                  <w:pPr>
                    <w:pStyle w:val="81"/>
                    <w:spacing w:line="240" w:lineRule="auto"/>
                    <w:ind w:firstLine="0" w:firstLineChars="0"/>
                    <w:jc w:val="center"/>
                    <w:rPr>
                      <w:rFonts w:hint="eastAsia"/>
                      <w:sz w:val="21"/>
                      <w:szCs w:val="21"/>
                    </w:rPr>
                  </w:pPr>
                  <w:r>
                    <w:rPr>
                      <w:rFonts w:hint="default" w:ascii="Times New Roman" w:hAnsi="Times New Roman" w:eastAsia="宋体" w:cs="Times New Roman"/>
                      <w:color w:val="000000"/>
                      <w:kern w:val="0"/>
                      <w:sz w:val="21"/>
                      <w:szCs w:val="21"/>
                      <w:lang w:val="en-US" w:eastAsia="zh-CN" w:bidi="ar"/>
                    </w:rPr>
                    <w:t>轮眉</w:t>
                  </w:r>
                </w:p>
              </w:tc>
              <w:tc>
                <w:tcPr>
                  <w:tcW w:w="1255" w:type="pct"/>
                  <w:vAlign w:val="center"/>
                </w:tcPr>
                <w:p w14:paraId="6446FE7C">
                  <w:pPr>
                    <w:pStyle w:val="81"/>
                    <w:spacing w:line="240" w:lineRule="auto"/>
                    <w:ind w:firstLine="0" w:firstLineChars="0"/>
                    <w:jc w:val="center"/>
                    <w:rPr>
                      <w:rFonts w:hint="default" w:eastAsia="宋体"/>
                      <w:sz w:val="21"/>
                      <w:szCs w:val="21"/>
                      <w:lang w:val="en-US" w:eastAsia="zh-CN"/>
                    </w:rPr>
                  </w:pPr>
                  <w:r>
                    <w:rPr>
                      <w:rFonts w:hint="eastAsia"/>
                      <w:sz w:val="21"/>
                      <w:szCs w:val="21"/>
                      <w:lang w:val="en-US" w:eastAsia="zh-CN"/>
                    </w:rPr>
                    <w:t>48</w:t>
                  </w:r>
                </w:p>
              </w:tc>
              <w:tc>
                <w:tcPr>
                  <w:tcW w:w="938" w:type="pct"/>
                  <w:vAlign w:val="center"/>
                </w:tcPr>
                <w:p w14:paraId="446F064E">
                  <w:pPr>
                    <w:pStyle w:val="81"/>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0.047</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p>
              </w:tc>
              <w:tc>
                <w:tcPr>
                  <w:tcW w:w="1233" w:type="pct"/>
                  <w:vAlign w:val="center"/>
                </w:tcPr>
                <w:p w14:paraId="7016545C">
                  <w:pPr>
                    <w:pStyle w:val="81"/>
                    <w:spacing w:line="240" w:lineRule="auto"/>
                    <w:ind w:firstLine="0" w:firstLineChars="0"/>
                    <w:jc w:val="center"/>
                    <w:rPr>
                      <w:rFonts w:hint="eastAsia"/>
                      <w:sz w:val="21"/>
                      <w:szCs w:val="21"/>
                    </w:rPr>
                  </w:pPr>
                  <w:r>
                    <w:rPr>
                      <w:rFonts w:hint="eastAsia"/>
                      <w:color w:val="000000" w:themeColor="text1"/>
                      <w:sz w:val="21"/>
                      <w:szCs w:val="21"/>
                      <w:lang w:val="en-US" w:eastAsia="zh-CN"/>
                      <w14:textFill>
                        <w14:solidFill>
                          <w14:schemeClr w14:val="tx1"/>
                        </w14:solidFill>
                      </w14:textFill>
                    </w:rPr>
                    <w:t>22560</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p>
              </w:tc>
            </w:tr>
            <w:tr w14:paraId="53F88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vAlign w:val="center"/>
                </w:tcPr>
                <w:p w14:paraId="653FC9F1">
                  <w:pPr>
                    <w:pStyle w:val="81"/>
                    <w:spacing w:line="240" w:lineRule="auto"/>
                    <w:ind w:firstLine="0" w:firstLineChars="0"/>
                    <w:jc w:val="center"/>
                    <w:rPr>
                      <w:rFonts w:hint="eastAsia" w:eastAsia="宋体"/>
                      <w:sz w:val="21"/>
                      <w:szCs w:val="21"/>
                      <w:lang w:val="en-US" w:eastAsia="zh-CN"/>
                    </w:rPr>
                  </w:pPr>
                  <w:r>
                    <w:rPr>
                      <w:rFonts w:hint="eastAsia"/>
                      <w:sz w:val="21"/>
                      <w:szCs w:val="21"/>
                      <w:lang w:val="en-US" w:eastAsia="zh-CN"/>
                    </w:rPr>
                    <w:t>4</w:t>
                  </w:r>
                </w:p>
              </w:tc>
              <w:tc>
                <w:tcPr>
                  <w:tcW w:w="1026" w:type="pct"/>
                  <w:vAlign w:val="center"/>
                </w:tcPr>
                <w:p w14:paraId="1E40C1B4">
                  <w:pPr>
                    <w:pStyle w:val="81"/>
                    <w:spacing w:line="240" w:lineRule="auto"/>
                    <w:ind w:firstLine="0" w:firstLineChars="0"/>
                    <w:jc w:val="center"/>
                    <w:rPr>
                      <w:rFonts w:hint="eastAsia"/>
                      <w:sz w:val="21"/>
                      <w:szCs w:val="21"/>
                    </w:rPr>
                  </w:pPr>
                  <w:r>
                    <w:rPr>
                      <w:rFonts w:hint="default" w:ascii="Times New Roman" w:hAnsi="Times New Roman" w:eastAsia="宋体" w:cs="Times New Roman"/>
                      <w:color w:val="000000"/>
                      <w:kern w:val="0"/>
                      <w:sz w:val="21"/>
                      <w:szCs w:val="21"/>
                      <w:lang w:val="en-US" w:eastAsia="zh-CN" w:bidi="ar"/>
                    </w:rPr>
                    <w:t>后视镜</w:t>
                  </w:r>
                </w:p>
              </w:tc>
              <w:tc>
                <w:tcPr>
                  <w:tcW w:w="1255" w:type="pct"/>
                  <w:vAlign w:val="center"/>
                </w:tcPr>
                <w:p w14:paraId="6F6BB46B">
                  <w:pPr>
                    <w:pStyle w:val="81"/>
                    <w:spacing w:line="240" w:lineRule="auto"/>
                    <w:ind w:firstLine="0" w:firstLineChars="0"/>
                    <w:jc w:val="center"/>
                    <w:rPr>
                      <w:rFonts w:hint="default" w:eastAsia="宋体"/>
                      <w:sz w:val="21"/>
                      <w:szCs w:val="21"/>
                      <w:lang w:val="en-US" w:eastAsia="zh-CN"/>
                    </w:rPr>
                  </w:pPr>
                  <w:r>
                    <w:rPr>
                      <w:rFonts w:hint="eastAsia"/>
                      <w:sz w:val="21"/>
                      <w:szCs w:val="21"/>
                      <w:lang w:val="en-US" w:eastAsia="zh-CN"/>
                    </w:rPr>
                    <w:t>24</w:t>
                  </w:r>
                </w:p>
              </w:tc>
              <w:tc>
                <w:tcPr>
                  <w:tcW w:w="938" w:type="pct"/>
                  <w:vAlign w:val="center"/>
                </w:tcPr>
                <w:p w14:paraId="678EEF00">
                  <w:pPr>
                    <w:pStyle w:val="81"/>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0.023</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p>
              </w:tc>
              <w:tc>
                <w:tcPr>
                  <w:tcW w:w="1233" w:type="pct"/>
                  <w:vAlign w:val="center"/>
                </w:tcPr>
                <w:p w14:paraId="0DAEFCC8">
                  <w:pPr>
                    <w:pStyle w:val="81"/>
                    <w:spacing w:line="240" w:lineRule="auto"/>
                    <w:ind w:firstLine="0" w:firstLineChars="0"/>
                    <w:jc w:val="center"/>
                    <w:rPr>
                      <w:rFonts w:hint="eastAsia"/>
                      <w:sz w:val="21"/>
                      <w:szCs w:val="21"/>
                    </w:rPr>
                  </w:pPr>
                  <w:r>
                    <w:rPr>
                      <w:rFonts w:hint="eastAsia"/>
                      <w:color w:val="000000" w:themeColor="text1"/>
                      <w:sz w:val="21"/>
                      <w:szCs w:val="21"/>
                      <w:lang w:val="en-US" w:eastAsia="zh-CN"/>
                      <w14:textFill>
                        <w14:solidFill>
                          <w14:schemeClr w14:val="tx1"/>
                        </w14:solidFill>
                      </w14:textFill>
                    </w:rPr>
                    <w:t>9660</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p>
              </w:tc>
            </w:tr>
            <w:tr w14:paraId="112BC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66" w:type="pct"/>
                  <w:gridSpan w:val="4"/>
                  <w:vAlign w:val="center"/>
                </w:tcPr>
                <w:p w14:paraId="52E8197F">
                  <w:pPr>
                    <w:pStyle w:val="81"/>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合计</w:t>
                  </w:r>
                </w:p>
              </w:tc>
              <w:tc>
                <w:tcPr>
                  <w:tcW w:w="1233" w:type="pct"/>
                  <w:vAlign w:val="center"/>
                </w:tcPr>
                <w:p w14:paraId="0800CD4B">
                  <w:pPr>
                    <w:pStyle w:val="81"/>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77430</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p>
              </w:tc>
            </w:tr>
          </w:tbl>
          <w:p w14:paraId="5E20D174">
            <w:pPr>
              <w:wordWrap/>
              <w:autoSpaceDE w:val="0"/>
              <w:autoSpaceDN w:val="0"/>
              <w:adjustRightInd w:val="0"/>
              <w:snapToGrid w:val="0"/>
              <w:spacing w:line="360" w:lineRule="auto"/>
              <w:ind w:firstLine="422" w:firstLineChars="200"/>
              <w:outlineLvl w:val="9"/>
              <w:rPr>
                <w:rFonts w:ascii="Times New Roman" w:hAnsi="Times New Roman" w:eastAsia="宋体"/>
                <w:b/>
                <w:color w:val="auto"/>
                <w:sz w:val="21"/>
                <w:szCs w:val="21"/>
              </w:rPr>
            </w:pPr>
            <w:r>
              <w:rPr>
                <w:rFonts w:hint="eastAsia" w:ascii="Times New Roman" w:hAnsi="Times New Roman" w:eastAsia="宋体"/>
                <w:b/>
                <w:color w:val="auto"/>
                <w:sz w:val="21"/>
                <w:szCs w:val="21"/>
              </w:rPr>
              <w:t>②油漆用量</w:t>
            </w:r>
          </w:p>
          <w:p w14:paraId="5631BD9A">
            <w:pPr>
              <w:wordWrap/>
              <w:autoSpaceDE w:val="0"/>
              <w:autoSpaceDN w:val="0"/>
              <w:adjustRightInd w:val="0"/>
              <w:snapToGrid w:val="0"/>
              <w:spacing w:line="360" w:lineRule="auto"/>
              <w:ind w:firstLine="420" w:firstLineChars="200"/>
              <w:outlineLvl w:val="9"/>
              <w:rPr>
                <w:rFonts w:ascii="Times New Roman" w:hAnsi="Times New Roman" w:eastAsia="宋体"/>
                <w:b w:val="0"/>
                <w:color w:val="auto"/>
                <w:sz w:val="21"/>
                <w:szCs w:val="21"/>
              </w:rPr>
            </w:pPr>
            <w:r>
              <w:rPr>
                <w:rFonts w:hint="eastAsia" w:ascii="Times New Roman" w:hAnsi="Times New Roman" w:eastAsia="宋体"/>
                <w:b w:val="0"/>
                <w:color w:val="auto"/>
                <w:sz w:val="21"/>
                <w:szCs w:val="21"/>
              </w:rPr>
              <w:t>根据建设单位提供的资料</w:t>
            </w:r>
            <w:r>
              <w:rPr>
                <w:rFonts w:hint="eastAsia" w:ascii="Times New Roman" w:hAnsi="Times New Roman" w:eastAsia="宋体"/>
                <w:b w:val="0"/>
                <w:color w:val="000000" w:themeColor="text1"/>
                <w:sz w:val="21"/>
                <w:szCs w:val="21"/>
                <w14:textFill>
                  <w14:solidFill>
                    <w14:schemeClr w14:val="tx1"/>
                  </w14:solidFill>
                </w14:textFill>
              </w:rPr>
              <w:t>，底漆</w:t>
            </w:r>
            <w:r>
              <w:rPr>
                <w:rFonts w:hint="eastAsia"/>
                <w:b w:val="0"/>
                <w:color w:val="000000" w:themeColor="text1"/>
                <w:sz w:val="21"/>
                <w:szCs w:val="21"/>
                <w:lang w:eastAsia="zh-CN"/>
                <w14:textFill>
                  <w14:solidFill>
                    <w14:schemeClr w14:val="tx1"/>
                  </w14:solidFill>
                </w14:textFill>
              </w:rPr>
              <w:t>（</w:t>
            </w:r>
            <w:r>
              <w:rPr>
                <w:rFonts w:hint="eastAsia"/>
                <w:b w:val="0"/>
                <w:color w:val="000000" w:themeColor="text1"/>
                <w:sz w:val="21"/>
                <w:szCs w:val="21"/>
                <w:lang w:val="en-US" w:eastAsia="zh-CN"/>
                <w14:textFill>
                  <w14:solidFill>
                    <w14:schemeClr w14:val="tx1"/>
                  </w14:solidFill>
                </w14:textFill>
              </w:rPr>
              <w:t>色漆</w:t>
            </w:r>
            <w:r>
              <w:rPr>
                <w:rFonts w:hint="eastAsia"/>
                <w:b w:val="0"/>
                <w:color w:val="000000" w:themeColor="text1"/>
                <w:sz w:val="21"/>
                <w:szCs w:val="21"/>
                <w:lang w:eastAsia="zh-CN"/>
                <w14:textFill>
                  <w14:solidFill>
                    <w14:schemeClr w14:val="tx1"/>
                  </w14:solidFill>
                </w14:textFill>
              </w:rPr>
              <w:t>）</w:t>
            </w:r>
            <w:r>
              <w:rPr>
                <w:rFonts w:hint="eastAsia" w:ascii="Times New Roman" w:hAnsi="Times New Roman" w:eastAsia="宋体"/>
                <w:b w:val="0"/>
                <w:color w:val="000000" w:themeColor="text1"/>
                <w:sz w:val="21"/>
                <w:szCs w:val="21"/>
                <w14:textFill>
                  <w14:solidFill>
                    <w14:schemeClr w14:val="tx1"/>
                  </w14:solidFill>
                </w14:textFill>
              </w:rPr>
              <w:t>漆膜厚度约为0.0</w:t>
            </w:r>
            <w:r>
              <w:rPr>
                <w:rFonts w:hint="eastAsia"/>
                <w:b w:val="0"/>
                <w:color w:val="000000" w:themeColor="text1"/>
                <w:sz w:val="21"/>
                <w:szCs w:val="21"/>
                <w:lang w:val="en-US" w:eastAsia="zh-CN"/>
                <w14:textFill>
                  <w14:solidFill>
                    <w14:schemeClr w14:val="tx1"/>
                  </w14:solidFill>
                </w14:textFill>
              </w:rPr>
              <w:t>1</w:t>
            </w:r>
            <w:r>
              <w:rPr>
                <w:rFonts w:hint="eastAsia" w:ascii="Times New Roman" w:hAnsi="Times New Roman" w:eastAsia="宋体"/>
                <w:b w:val="0"/>
                <w:color w:val="000000" w:themeColor="text1"/>
                <w:sz w:val="21"/>
                <w:szCs w:val="21"/>
                <w14:textFill>
                  <w14:solidFill>
                    <w14:schemeClr w14:val="tx1"/>
                  </w14:solidFill>
                </w14:textFill>
              </w:rPr>
              <w:t>mm，</w:t>
            </w:r>
            <w:r>
              <w:rPr>
                <w:rFonts w:hint="eastAsia"/>
                <w:b w:val="0"/>
                <w:color w:val="000000" w:themeColor="text1"/>
                <w:sz w:val="21"/>
                <w:szCs w:val="21"/>
                <w:lang w:val="en-US" w:eastAsia="zh-CN"/>
                <w14:textFill>
                  <w14:solidFill>
                    <w14:schemeClr w14:val="tx1"/>
                  </w14:solidFill>
                </w14:textFill>
              </w:rPr>
              <w:t>面</w:t>
            </w:r>
            <w:r>
              <w:rPr>
                <w:rFonts w:hint="eastAsia" w:ascii="Times New Roman" w:hAnsi="Times New Roman" w:eastAsia="宋体"/>
                <w:b w:val="0"/>
                <w:color w:val="000000" w:themeColor="text1"/>
                <w:sz w:val="21"/>
                <w:szCs w:val="21"/>
                <w14:textFill>
                  <w14:solidFill>
                    <w14:schemeClr w14:val="tx1"/>
                  </w14:solidFill>
                </w14:textFill>
              </w:rPr>
              <w:t>漆漆膜厚度约为0.0</w:t>
            </w:r>
            <w:r>
              <w:rPr>
                <w:rFonts w:hint="eastAsia"/>
                <w:b w:val="0"/>
                <w:color w:val="000000" w:themeColor="text1"/>
                <w:sz w:val="21"/>
                <w:szCs w:val="21"/>
                <w:lang w:val="en-US" w:eastAsia="zh-CN"/>
                <w14:textFill>
                  <w14:solidFill>
                    <w14:schemeClr w14:val="tx1"/>
                  </w14:solidFill>
                </w14:textFill>
              </w:rPr>
              <w:t>15</w:t>
            </w:r>
            <w:r>
              <w:rPr>
                <w:rFonts w:hint="eastAsia" w:ascii="Times New Roman" w:hAnsi="Times New Roman" w:eastAsia="宋体"/>
                <w:b w:val="0"/>
                <w:color w:val="000000" w:themeColor="text1"/>
                <w:sz w:val="21"/>
                <w:szCs w:val="21"/>
                <w14:textFill>
                  <w14:solidFill>
                    <w14:schemeClr w14:val="tx1"/>
                  </w14:solidFill>
                </w14:textFill>
              </w:rPr>
              <w:t>mm</w:t>
            </w:r>
            <w:r>
              <w:rPr>
                <w:rFonts w:hint="eastAsia"/>
                <w:b w:val="0"/>
                <w:color w:val="000000" w:themeColor="text1"/>
                <w:sz w:val="21"/>
                <w:szCs w:val="21"/>
                <w:lang w:eastAsia="zh-CN"/>
                <w14:textFill>
                  <w14:solidFill>
                    <w14:schemeClr w14:val="tx1"/>
                  </w14:solidFill>
                </w14:textFill>
              </w:rPr>
              <w:t>，</w:t>
            </w:r>
            <w:r>
              <w:rPr>
                <w:rFonts w:hint="eastAsia" w:ascii="Times New Roman" w:hAnsi="Times New Roman" w:eastAsia="宋体"/>
                <w:b w:val="0"/>
                <w:color w:val="000000" w:themeColor="text1"/>
                <w:sz w:val="21"/>
                <w:szCs w:val="21"/>
                <w14:textFill>
                  <w14:solidFill>
                    <w14:schemeClr w14:val="tx1"/>
                  </w14:solidFill>
                </w14:textFill>
              </w:rPr>
              <w:t>清漆漆膜厚度约为0.02mm，此外，</w:t>
            </w:r>
            <w:r>
              <w:rPr>
                <w:rFonts w:hint="eastAsia" w:ascii="Times New Roman" w:hAnsi="Times New Roman" w:eastAsia="宋体"/>
                <w:b w:val="0"/>
                <w:color w:val="auto"/>
                <w:sz w:val="21"/>
                <w:szCs w:val="21"/>
              </w:rPr>
              <w:t>根据本项目使用的底漆、面漆与清漆的组分信息可知，调和后底漆</w:t>
            </w:r>
            <w:r>
              <w:rPr>
                <w:rFonts w:hint="eastAsia"/>
                <w:b w:val="0"/>
                <w:color w:val="auto"/>
                <w:sz w:val="21"/>
                <w:szCs w:val="21"/>
                <w:lang w:eastAsia="zh-CN"/>
              </w:rPr>
              <w:t>（</w:t>
            </w:r>
            <w:r>
              <w:rPr>
                <w:rFonts w:hint="eastAsia"/>
                <w:b w:val="0"/>
                <w:color w:val="auto"/>
                <w:sz w:val="21"/>
                <w:szCs w:val="21"/>
                <w:lang w:val="en-US" w:eastAsia="zh-CN"/>
              </w:rPr>
              <w:t>色漆</w:t>
            </w:r>
            <w:r>
              <w:rPr>
                <w:rFonts w:hint="eastAsia"/>
                <w:b w:val="0"/>
                <w:color w:val="auto"/>
                <w:sz w:val="21"/>
                <w:szCs w:val="21"/>
                <w:lang w:eastAsia="zh-CN"/>
              </w:rPr>
              <w:t>）</w:t>
            </w:r>
            <w:r>
              <w:rPr>
                <w:rFonts w:hint="eastAsia" w:ascii="Times New Roman" w:hAnsi="Times New Roman" w:eastAsia="宋体"/>
                <w:b w:val="0"/>
                <w:color w:val="auto"/>
                <w:sz w:val="21"/>
                <w:szCs w:val="21"/>
              </w:rPr>
              <w:t>的固体成分含量约为</w:t>
            </w:r>
            <w:r>
              <w:rPr>
                <w:rFonts w:hint="eastAsia"/>
                <w:b w:val="0"/>
                <w:color w:val="auto"/>
                <w:sz w:val="21"/>
                <w:szCs w:val="21"/>
                <w:lang w:val="en-US" w:eastAsia="zh-CN"/>
              </w:rPr>
              <w:t>37.5</w:t>
            </w:r>
            <w:r>
              <w:rPr>
                <w:rFonts w:hint="eastAsia" w:ascii="Times New Roman" w:hAnsi="Times New Roman" w:eastAsia="宋体"/>
                <w:b w:val="0"/>
                <w:color w:val="auto"/>
                <w:sz w:val="21"/>
                <w:szCs w:val="21"/>
              </w:rPr>
              <w:t>%，面漆的固体成分含量约为</w:t>
            </w:r>
            <w:r>
              <w:rPr>
                <w:rFonts w:hint="eastAsia"/>
                <w:b w:val="0"/>
                <w:color w:val="auto"/>
                <w:sz w:val="21"/>
                <w:szCs w:val="21"/>
                <w:lang w:val="en-US" w:eastAsia="zh-CN"/>
              </w:rPr>
              <w:t>68.9</w:t>
            </w:r>
            <w:r>
              <w:rPr>
                <w:rFonts w:hint="eastAsia" w:ascii="Times New Roman" w:hAnsi="Times New Roman" w:eastAsia="宋体"/>
                <w:b w:val="0"/>
                <w:color w:val="auto"/>
                <w:sz w:val="21"/>
                <w:szCs w:val="21"/>
              </w:rPr>
              <w:t>%，清漆的固体成分含量约为</w:t>
            </w:r>
            <w:r>
              <w:rPr>
                <w:rFonts w:hint="eastAsia"/>
                <w:b w:val="0"/>
                <w:color w:val="auto"/>
                <w:sz w:val="21"/>
                <w:szCs w:val="21"/>
                <w:lang w:val="en-US" w:eastAsia="zh-CN"/>
              </w:rPr>
              <w:t>75</w:t>
            </w:r>
            <w:r>
              <w:rPr>
                <w:rFonts w:hint="eastAsia" w:ascii="Times New Roman" w:hAnsi="Times New Roman" w:eastAsia="宋体"/>
                <w:b w:val="0"/>
                <w:color w:val="auto"/>
                <w:sz w:val="21"/>
                <w:szCs w:val="21"/>
              </w:rPr>
              <w:t>%，漆膜附着率均按70%计算。涂料用量采用以下公式计算：</w:t>
            </w:r>
          </w:p>
          <w:p w14:paraId="6F3F15D5">
            <w:pPr>
              <w:widowControl/>
              <w:wordWrap/>
              <w:adjustRightInd w:val="0"/>
              <w:snapToGrid w:val="0"/>
              <w:spacing w:line="360" w:lineRule="auto"/>
              <w:ind w:firstLine="0" w:firstLineChars="0"/>
              <w:jc w:val="center"/>
              <w:outlineLvl w:val="9"/>
              <w:rPr>
                <w:rFonts w:ascii="宋体" w:hAnsi="宋体" w:eastAsia="宋体" w:cs="宋体"/>
                <w:b w:val="0"/>
                <w:color w:val="auto"/>
                <w:kern w:val="0"/>
                <w:sz w:val="21"/>
                <w:szCs w:val="21"/>
              </w:rPr>
            </w:pPr>
            <w:r>
              <w:rPr>
                <w:rFonts w:ascii="宋体" w:hAnsi="宋体" w:eastAsia="宋体" w:cs="宋体"/>
                <w:b w:val="0"/>
                <w:color w:val="auto"/>
                <w:kern w:val="0"/>
                <w:sz w:val="21"/>
                <w:szCs w:val="21"/>
              </w:rPr>
              <w:drawing>
                <wp:inline distT="0" distB="0" distL="114300" distR="114300">
                  <wp:extent cx="1562100" cy="590550"/>
                  <wp:effectExtent l="0" t="0" r="7620" b="3810"/>
                  <wp:docPr id="5" name="图片 10" descr="C:\Users\admin\AppData\Roaming\Tencent\Users\619696082\QQ\WinTemp\RichOle\MCUURL5HYT25JGL{G9@F$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C:\Users\admin\AppData\Roaming\Tencent\Users\619696082\QQ\WinTemp\RichOle\MCUURL5HYT25JGL{G9@F$UT.png"/>
                          <pic:cNvPicPr>
                            <a:picLocks noChangeAspect="1"/>
                          </pic:cNvPicPr>
                        </pic:nvPicPr>
                        <pic:blipFill>
                          <a:blip r:embed="rId12"/>
                          <a:stretch>
                            <a:fillRect/>
                          </a:stretch>
                        </pic:blipFill>
                        <pic:spPr>
                          <a:xfrm>
                            <a:off x="0" y="0"/>
                            <a:ext cx="1562100" cy="590550"/>
                          </a:xfrm>
                          <a:prstGeom prst="rect">
                            <a:avLst/>
                          </a:prstGeom>
                          <a:noFill/>
                          <a:ln>
                            <a:noFill/>
                          </a:ln>
                        </pic:spPr>
                      </pic:pic>
                    </a:graphicData>
                  </a:graphic>
                </wp:inline>
              </w:drawing>
            </w:r>
          </w:p>
          <w:p w14:paraId="68EE9D43">
            <w:pPr>
              <w:wordWrap/>
              <w:autoSpaceDE w:val="0"/>
              <w:autoSpaceDN w:val="0"/>
              <w:adjustRightInd w:val="0"/>
              <w:snapToGrid w:val="0"/>
              <w:spacing w:line="360" w:lineRule="auto"/>
              <w:ind w:firstLine="420" w:firstLineChars="20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其中：m—漆用量（t）；</w:t>
            </w:r>
          </w:p>
          <w:p w14:paraId="5F23D67E">
            <w:pPr>
              <w:wordWrap/>
              <w:autoSpaceDE w:val="0"/>
              <w:autoSpaceDN w:val="0"/>
              <w:adjustRightInd w:val="0"/>
              <w:snapToGrid w:val="0"/>
              <w:spacing w:line="360" w:lineRule="auto"/>
              <w:ind w:firstLine="420" w:firstLineChars="20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ρ—漆密度（g/cm</w:t>
            </w:r>
            <w:r>
              <w:rPr>
                <w:rFonts w:ascii="Times New Roman" w:hAnsi="Times New Roman" w:eastAsia="宋体"/>
                <w:b w:val="0"/>
                <w:color w:val="auto"/>
                <w:sz w:val="21"/>
                <w:szCs w:val="21"/>
                <w:vertAlign w:val="superscript"/>
              </w:rPr>
              <w:t>3</w:t>
            </w:r>
            <w:r>
              <w:rPr>
                <w:rFonts w:ascii="Times New Roman" w:hAnsi="Times New Roman" w:eastAsia="宋体"/>
                <w:b w:val="0"/>
                <w:color w:val="auto"/>
                <w:sz w:val="21"/>
                <w:szCs w:val="21"/>
              </w:rPr>
              <w:t>）；</w:t>
            </w:r>
          </w:p>
          <w:p w14:paraId="137B6677">
            <w:pPr>
              <w:wordWrap/>
              <w:autoSpaceDE w:val="0"/>
              <w:autoSpaceDN w:val="0"/>
              <w:adjustRightInd w:val="0"/>
              <w:snapToGrid w:val="0"/>
              <w:spacing w:line="360" w:lineRule="auto"/>
              <w:ind w:firstLine="420" w:firstLineChars="20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δ—涂层厚度（μm）；</w:t>
            </w:r>
          </w:p>
          <w:p w14:paraId="71BE3651">
            <w:pPr>
              <w:wordWrap/>
              <w:autoSpaceDE w:val="0"/>
              <w:autoSpaceDN w:val="0"/>
              <w:adjustRightInd w:val="0"/>
              <w:snapToGrid w:val="0"/>
              <w:spacing w:line="360" w:lineRule="auto"/>
              <w:ind w:firstLine="420" w:firstLineChars="20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s—涂装面积（m</w:t>
            </w:r>
            <w:r>
              <w:rPr>
                <w:rFonts w:ascii="Times New Roman" w:hAnsi="Times New Roman" w:eastAsia="宋体"/>
                <w:b w:val="0"/>
                <w:color w:val="auto"/>
                <w:sz w:val="21"/>
                <w:szCs w:val="21"/>
                <w:vertAlign w:val="superscript"/>
              </w:rPr>
              <w:t>2</w:t>
            </w:r>
            <w:r>
              <w:rPr>
                <w:rFonts w:ascii="Times New Roman" w:hAnsi="Times New Roman" w:eastAsia="宋体"/>
                <w:b w:val="0"/>
                <w:color w:val="auto"/>
                <w:sz w:val="21"/>
                <w:szCs w:val="21"/>
              </w:rPr>
              <w:t>）；</w:t>
            </w:r>
          </w:p>
          <w:p w14:paraId="661A24EA">
            <w:pPr>
              <w:wordWrap/>
              <w:autoSpaceDE w:val="0"/>
              <w:autoSpaceDN w:val="0"/>
              <w:adjustRightInd w:val="0"/>
              <w:snapToGrid w:val="0"/>
              <w:spacing w:line="360" w:lineRule="auto"/>
              <w:ind w:firstLine="420" w:firstLineChars="20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η—该油漆占用漆的比例（%）</w:t>
            </w:r>
          </w:p>
          <w:p w14:paraId="70484F3F">
            <w:pPr>
              <w:wordWrap/>
              <w:autoSpaceDE w:val="0"/>
              <w:autoSpaceDN w:val="0"/>
              <w:adjustRightInd w:val="0"/>
              <w:snapToGrid w:val="0"/>
              <w:spacing w:line="360" w:lineRule="auto"/>
              <w:ind w:firstLine="420" w:firstLineChars="20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NV—质量</w:t>
            </w:r>
            <w:r>
              <w:rPr>
                <w:rFonts w:hint="eastAsia" w:ascii="Times New Roman" w:hAnsi="Times New Roman" w:eastAsia="宋体"/>
                <w:b w:val="0"/>
                <w:color w:val="auto"/>
                <w:sz w:val="21"/>
                <w:szCs w:val="21"/>
              </w:rPr>
              <w:t>固体分</w:t>
            </w:r>
            <w:r>
              <w:rPr>
                <w:rFonts w:ascii="Times New Roman" w:hAnsi="Times New Roman" w:eastAsia="宋体"/>
                <w:b w:val="0"/>
                <w:color w:val="auto"/>
                <w:sz w:val="21"/>
                <w:szCs w:val="21"/>
              </w:rPr>
              <w:t>（%）；</w:t>
            </w:r>
          </w:p>
          <w:p w14:paraId="4942F470">
            <w:pPr>
              <w:wordWrap/>
              <w:autoSpaceDE w:val="0"/>
              <w:autoSpaceDN w:val="0"/>
              <w:adjustRightInd w:val="0"/>
              <w:snapToGrid w:val="0"/>
              <w:spacing w:line="360" w:lineRule="auto"/>
              <w:ind w:firstLine="420" w:firstLineChars="20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ε—上漆率。</w:t>
            </w:r>
          </w:p>
          <w:p w14:paraId="7502F921">
            <w:pPr>
              <w:wordWrap/>
              <w:autoSpaceDE w:val="0"/>
              <w:autoSpaceDN w:val="0"/>
              <w:adjustRightInd w:val="0"/>
              <w:snapToGrid w:val="0"/>
              <w:spacing w:line="360" w:lineRule="auto"/>
              <w:ind w:firstLine="420" w:firstLineChars="20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项目油漆量核算见下表2-</w:t>
            </w:r>
            <w:r>
              <w:rPr>
                <w:rFonts w:hint="eastAsia"/>
                <w:b w:val="0"/>
                <w:color w:val="auto"/>
                <w:sz w:val="21"/>
                <w:szCs w:val="21"/>
                <w:lang w:val="en-US" w:eastAsia="zh-CN"/>
              </w:rPr>
              <w:t>8</w:t>
            </w:r>
            <w:r>
              <w:rPr>
                <w:rFonts w:ascii="Times New Roman" w:hAnsi="Times New Roman" w:eastAsia="宋体"/>
                <w:b w:val="0"/>
                <w:color w:val="auto"/>
                <w:sz w:val="21"/>
                <w:szCs w:val="21"/>
              </w:rPr>
              <w:t>所示。</w:t>
            </w:r>
          </w:p>
          <w:p w14:paraId="776F36DC">
            <w:pPr>
              <w:wordWrap/>
              <w:autoSpaceDE w:val="0"/>
              <w:autoSpaceDN w:val="0"/>
              <w:adjustRightInd w:val="0"/>
              <w:snapToGrid w:val="0"/>
              <w:spacing w:line="240" w:lineRule="auto"/>
              <w:ind w:firstLine="422" w:firstLineChars="200"/>
              <w:jc w:val="center"/>
              <w:outlineLvl w:val="9"/>
              <w:rPr>
                <w:rFonts w:ascii="Times New Roman" w:hAnsi="Times New Roman" w:eastAsia="宋体"/>
                <w:b/>
                <w:color w:val="auto"/>
                <w:sz w:val="21"/>
                <w:szCs w:val="21"/>
              </w:rPr>
            </w:pPr>
            <w:r>
              <w:rPr>
                <w:rFonts w:hint="eastAsia" w:ascii="Times New Roman" w:hAnsi="Times New Roman" w:eastAsia="宋体"/>
                <w:b/>
                <w:color w:val="auto"/>
                <w:sz w:val="21"/>
                <w:szCs w:val="21"/>
              </w:rPr>
              <w:t>表2-</w:t>
            </w:r>
            <w:r>
              <w:rPr>
                <w:rFonts w:hint="eastAsia"/>
                <w:b/>
                <w:color w:val="auto"/>
                <w:sz w:val="21"/>
                <w:szCs w:val="21"/>
                <w:lang w:val="en-US" w:eastAsia="zh-CN"/>
              </w:rPr>
              <w:t>8</w:t>
            </w:r>
            <w:r>
              <w:rPr>
                <w:rFonts w:ascii="Times New Roman" w:hAnsi="Times New Roman" w:eastAsia="宋体"/>
                <w:b/>
                <w:color w:val="auto"/>
                <w:sz w:val="21"/>
                <w:szCs w:val="21"/>
              </w:rPr>
              <w:t>项目油漆喷涂量核算一览表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124"/>
              <w:gridCol w:w="1081"/>
              <w:gridCol w:w="1059"/>
              <w:gridCol w:w="1039"/>
              <w:gridCol w:w="1039"/>
              <w:gridCol w:w="1039"/>
              <w:gridCol w:w="1046"/>
            </w:tblGrid>
            <w:tr w14:paraId="2D884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Align w:val="center"/>
                </w:tcPr>
                <w:p w14:paraId="510EA757">
                  <w:pPr>
                    <w:autoSpaceDE w:val="0"/>
                    <w:autoSpaceDN w:val="0"/>
                    <w:adjustRightInd w:val="0"/>
                    <w:snapToGrid w:val="0"/>
                    <w:jc w:val="center"/>
                    <w:rPr>
                      <w:szCs w:val="21"/>
                    </w:rPr>
                  </w:pPr>
                  <w:r>
                    <w:rPr>
                      <w:szCs w:val="21"/>
                    </w:rPr>
                    <w:t>涂料类别</w:t>
                  </w:r>
                </w:p>
              </w:tc>
              <w:tc>
                <w:tcPr>
                  <w:tcW w:w="1097" w:type="dxa"/>
                  <w:vAlign w:val="center"/>
                </w:tcPr>
                <w:p w14:paraId="6086E11F">
                  <w:pPr>
                    <w:autoSpaceDE w:val="0"/>
                    <w:autoSpaceDN w:val="0"/>
                    <w:adjustRightInd w:val="0"/>
                    <w:snapToGrid w:val="0"/>
                    <w:jc w:val="center"/>
                    <w:rPr>
                      <w:szCs w:val="21"/>
                    </w:rPr>
                  </w:pPr>
                  <w:r>
                    <w:rPr>
                      <w:szCs w:val="21"/>
                    </w:rPr>
                    <w:t>油漆密度（g/cm</w:t>
                  </w:r>
                  <w:r>
                    <w:rPr>
                      <w:szCs w:val="21"/>
                      <w:vertAlign w:val="superscript"/>
                    </w:rPr>
                    <w:t>3</w:t>
                  </w:r>
                  <w:r>
                    <w:rPr>
                      <w:szCs w:val="21"/>
                    </w:rPr>
                    <w:t>）</w:t>
                  </w:r>
                </w:p>
              </w:tc>
              <w:tc>
                <w:tcPr>
                  <w:tcW w:w="1097" w:type="dxa"/>
                  <w:vAlign w:val="center"/>
                </w:tcPr>
                <w:p w14:paraId="6E470315">
                  <w:pPr>
                    <w:autoSpaceDE w:val="0"/>
                    <w:autoSpaceDN w:val="0"/>
                    <w:adjustRightInd w:val="0"/>
                    <w:snapToGrid w:val="0"/>
                    <w:jc w:val="center"/>
                    <w:rPr>
                      <w:szCs w:val="21"/>
                    </w:rPr>
                  </w:pPr>
                  <w:r>
                    <w:rPr>
                      <w:szCs w:val="21"/>
                    </w:rPr>
                    <w:t>喷涂面积（m</w:t>
                  </w:r>
                  <w:r>
                    <w:rPr>
                      <w:szCs w:val="21"/>
                      <w:vertAlign w:val="superscript"/>
                    </w:rPr>
                    <w:t>2</w:t>
                  </w:r>
                  <w:r>
                    <w:rPr>
                      <w:rFonts w:hint="eastAsia"/>
                      <w:szCs w:val="21"/>
                    </w:rPr>
                    <w:t>/a</w:t>
                  </w:r>
                  <w:r>
                    <w:rPr>
                      <w:szCs w:val="21"/>
                    </w:rPr>
                    <w:t>）</w:t>
                  </w:r>
                </w:p>
              </w:tc>
              <w:tc>
                <w:tcPr>
                  <w:tcW w:w="1097" w:type="dxa"/>
                  <w:vAlign w:val="center"/>
                </w:tcPr>
                <w:p w14:paraId="38D16E13">
                  <w:pPr>
                    <w:autoSpaceDE w:val="0"/>
                    <w:autoSpaceDN w:val="0"/>
                    <w:adjustRightInd w:val="0"/>
                    <w:snapToGrid w:val="0"/>
                    <w:jc w:val="center"/>
                    <w:rPr>
                      <w:szCs w:val="21"/>
                    </w:rPr>
                  </w:pPr>
                  <w:r>
                    <w:rPr>
                      <w:szCs w:val="21"/>
                    </w:rPr>
                    <w:t>干漆膜厚度（μm）</w:t>
                  </w:r>
                </w:p>
              </w:tc>
              <w:tc>
                <w:tcPr>
                  <w:tcW w:w="1097" w:type="dxa"/>
                  <w:vAlign w:val="center"/>
                </w:tcPr>
                <w:p w14:paraId="3CBDC441">
                  <w:pPr>
                    <w:autoSpaceDE w:val="0"/>
                    <w:autoSpaceDN w:val="0"/>
                    <w:adjustRightInd w:val="0"/>
                    <w:snapToGrid w:val="0"/>
                    <w:jc w:val="center"/>
                    <w:rPr>
                      <w:szCs w:val="21"/>
                    </w:rPr>
                  </w:pPr>
                  <w:r>
                    <w:rPr>
                      <w:szCs w:val="21"/>
                    </w:rPr>
                    <w:t>油漆占比（</w:t>
                  </w:r>
                  <w:r>
                    <w:rPr>
                      <w:rFonts w:hint="eastAsia"/>
                      <w:szCs w:val="21"/>
                    </w:rPr>
                    <w:t>%</w:t>
                  </w:r>
                  <w:r>
                    <w:rPr>
                      <w:szCs w:val="21"/>
                    </w:rPr>
                    <w:t>）</w:t>
                  </w:r>
                </w:p>
              </w:tc>
              <w:tc>
                <w:tcPr>
                  <w:tcW w:w="1097" w:type="dxa"/>
                  <w:vAlign w:val="center"/>
                </w:tcPr>
                <w:p w14:paraId="1CE98729">
                  <w:pPr>
                    <w:autoSpaceDE w:val="0"/>
                    <w:autoSpaceDN w:val="0"/>
                    <w:adjustRightInd w:val="0"/>
                    <w:snapToGrid w:val="0"/>
                    <w:jc w:val="center"/>
                    <w:rPr>
                      <w:szCs w:val="21"/>
                    </w:rPr>
                  </w:pPr>
                  <w:r>
                    <w:rPr>
                      <w:szCs w:val="21"/>
                    </w:rPr>
                    <w:t>上漆率（</w:t>
                  </w:r>
                  <w:r>
                    <w:rPr>
                      <w:rFonts w:hint="eastAsia"/>
                      <w:szCs w:val="21"/>
                    </w:rPr>
                    <w:t>%</w:t>
                  </w:r>
                  <w:r>
                    <w:rPr>
                      <w:szCs w:val="21"/>
                    </w:rPr>
                    <w:t>）</w:t>
                  </w:r>
                </w:p>
              </w:tc>
              <w:tc>
                <w:tcPr>
                  <w:tcW w:w="1097" w:type="dxa"/>
                  <w:vAlign w:val="center"/>
                </w:tcPr>
                <w:p w14:paraId="4A332829">
                  <w:pPr>
                    <w:autoSpaceDE w:val="0"/>
                    <w:autoSpaceDN w:val="0"/>
                    <w:adjustRightInd w:val="0"/>
                    <w:snapToGrid w:val="0"/>
                    <w:jc w:val="center"/>
                    <w:rPr>
                      <w:szCs w:val="21"/>
                    </w:rPr>
                  </w:pPr>
                  <w:r>
                    <w:rPr>
                      <w:rFonts w:hint="eastAsia"/>
                      <w:szCs w:val="21"/>
                    </w:rPr>
                    <w:t>固体分</w:t>
                  </w:r>
                  <w:r>
                    <w:rPr>
                      <w:szCs w:val="21"/>
                    </w:rPr>
                    <w:t>含量（</w:t>
                  </w:r>
                  <w:r>
                    <w:rPr>
                      <w:rFonts w:hint="eastAsia"/>
                      <w:szCs w:val="21"/>
                    </w:rPr>
                    <w:t>%</w:t>
                  </w:r>
                  <w:r>
                    <w:rPr>
                      <w:szCs w:val="21"/>
                    </w:rPr>
                    <w:t>）</w:t>
                  </w:r>
                </w:p>
              </w:tc>
              <w:tc>
                <w:tcPr>
                  <w:tcW w:w="1097" w:type="dxa"/>
                  <w:vAlign w:val="center"/>
                </w:tcPr>
                <w:p w14:paraId="0EE2A55D">
                  <w:pPr>
                    <w:autoSpaceDE w:val="0"/>
                    <w:autoSpaceDN w:val="0"/>
                    <w:adjustRightInd w:val="0"/>
                    <w:snapToGrid w:val="0"/>
                    <w:jc w:val="center"/>
                    <w:rPr>
                      <w:szCs w:val="21"/>
                    </w:rPr>
                  </w:pPr>
                  <w:r>
                    <w:rPr>
                      <w:szCs w:val="21"/>
                    </w:rPr>
                    <w:t>油漆用量（</w:t>
                  </w:r>
                  <w:r>
                    <w:rPr>
                      <w:rFonts w:hint="eastAsia"/>
                      <w:szCs w:val="21"/>
                    </w:rPr>
                    <w:t>t/a</w:t>
                  </w:r>
                  <w:r>
                    <w:rPr>
                      <w:szCs w:val="21"/>
                    </w:rPr>
                    <w:t>）</w:t>
                  </w:r>
                </w:p>
              </w:tc>
            </w:tr>
            <w:tr w14:paraId="2C2E1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Align w:val="center"/>
                </w:tcPr>
                <w:p w14:paraId="48BE2881">
                  <w:pPr>
                    <w:autoSpaceDE w:val="0"/>
                    <w:autoSpaceDN w:val="0"/>
                    <w:adjustRightInd w:val="0"/>
                    <w:snapToGrid w:val="0"/>
                    <w:jc w:val="center"/>
                    <w:rPr>
                      <w:szCs w:val="21"/>
                    </w:rPr>
                  </w:pPr>
                  <w:r>
                    <w:rPr>
                      <w:szCs w:val="21"/>
                    </w:rPr>
                    <w:t>底漆</w:t>
                  </w:r>
                </w:p>
              </w:tc>
              <w:tc>
                <w:tcPr>
                  <w:tcW w:w="1097" w:type="dxa"/>
                  <w:vAlign w:val="center"/>
                </w:tcPr>
                <w:p w14:paraId="353690A0">
                  <w:pPr>
                    <w:autoSpaceDE w:val="0"/>
                    <w:autoSpaceDN w:val="0"/>
                    <w:adjustRightInd w:val="0"/>
                    <w:snapToGrid w:val="0"/>
                    <w:jc w:val="center"/>
                    <w:rPr>
                      <w:rFonts w:hint="default" w:eastAsia="宋体"/>
                      <w:szCs w:val="21"/>
                      <w:lang w:val="en-US" w:eastAsia="zh-CN"/>
                    </w:rPr>
                  </w:pPr>
                  <w:r>
                    <w:rPr>
                      <w:rFonts w:hint="eastAsia"/>
                      <w:szCs w:val="21"/>
                      <w:lang w:val="en-US" w:eastAsia="zh-CN"/>
                    </w:rPr>
                    <w:t>0.93</w:t>
                  </w:r>
                </w:p>
              </w:tc>
              <w:tc>
                <w:tcPr>
                  <w:tcW w:w="1097" w:type="dxa"/>
                  <w:vAlign w:val="center"/>
                </w:tcPr>
                <w:p w14:paraId="557E0846">
                  <w:pPr>
                    <w:autoSpaceDE w:val="0"/>
                    <w:autoSpaceDN w:val="0"/>
                    <w:adjustRightInd w:val="0"/>
                    <w:snapToGrid w:val="0"/>
                    <w:jc w:val="center"/>
                    <w:rPr>
                      <w:color w:val="FF0000"/>
                      <w:szCs w:val="21"/>
                    </w:rPr>
                  </w:pPr>
                  <w:r>
                    <w:rPr>
                      <w:rFonts w:hint="eastAsia"/>
                      <w:color w:val="auto"/>
                      <w:sz w:val="21"/>
                      <w:szCs w:val="21"/>
                      <w:lang w:val="en-US" w:eastAsia="zh-CN"/>
                    </w:rPr>
                    <w:t>77430</w:t>
                  </w:r>
                </w:p>
              </w:tc>
              <w:tc>
                <w:tcPr>
                  <w:tcW w:w="1097" w:type="dxa"/>
                  <w:vAlign w:val="center"/>
                </w:tcPr>
                <w:p w14:paraId="3BADD453">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20</w:t>
                  </w:r>
                </w:p>
              </w:tc>
              <w:tc>
                <w:tcPr>
                  <w:tcW w:w="1097" w:type="dxa"/>
                  <w:vAlign w:val="center"/>
                </w:tcPr>
                <w:p w14:paraId="3806C03C">
                  <w:pPr>
                    <w:autoSpaceDE w:val="0"/>
                    <w:autoSpaceDN w:val="0"/>
                    <w:adjustRightInd w:val="0"/>
                    <w:snapToGrid w:val="0"/>
                    <w:jc w:val="center"/>
                    <w:rPr>
                      <w:szCs w:val="21"/>
                    </w:rPr>
                  </w:pPr>
                  <w:r>
                    <w:rPr>
                      <w:rFonts w:hint="eastAsia"/>
                      <w:szCs w:val="21"/>
                    </w:rPr>
                    <w:t>100</w:t>
                  </w:r>
                </w:p>
              </w:tc>
              <w:tc>
                <w:tcPr>
                  <w:tcW w:w="1097" w:type="dxa"/>
                  <w:vAlign w:val="center"/>
                </w:tcPr>
                <w:p w14:paraId="1A20ADEE">
                  <w:pPr>
                    <w:autoSpaceDE w:val="0"/>
                    <w:autoSpaceDN w:val="0"/>
                    <w:adjustRightInd w:val="0"/>
                    <w:snapToGrid w:val="0"/>
                    <w:jc w:val="center"/>
                    <w:rPr>
                      <w:szCs w:val="21"/>
                    </w:rPr>
                  </w:pPr>
                  <w:r>
                    <w:rPr>
                      <w:rFonts w:hint="eastAsia"/>
                      <w:szCs w:val="21"/>
                      <w:lang w:val="en-US" w:eastAsia="zh-CN"/>
                    </w:rPr>
                    <w:t>7</w:t>
                  </w:r>
                  <w:r>
                    <w:rPr>
                      <w:rFonts w:hint="eastAsia"/>
                      <w:szCs w:val="21"/>
                    </w:rPr>
                    <w:t>0</w:t>
                  </w:r>
                </w:p>
              </w:tc>
              <w:tc>
                <w:tcPr>
                  <w:tcW w:w="1097" w:type="dxa"/>
                  <w:vAlign w:val="center"/>
                </w:tcPr>
                <w:p w14:paraId="5AA1F2E0">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37.5</w:t>
                  </w:r>
                </w:p>
              </w:tc>
              <w:tc>
                <w:tcPr>
                  <w:tcW w:w="1097" w:type="dxa"/>
                  <w:vAlign w:val="center"/>
                </w:tcPr>
                <w:p w14:paraId="462BAD0A">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5.49</w:t>
                  </w:r>
                </w:p>
              </w:tc>
            </w:tr>
            <w:tr w14:paraId="5318A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Align w:val="center"/>
                </w:tcPr>
                <w:p w14:paraId="7976E87C">
                  <w:pPr>
                    <w:autoSpaceDE w:val="0"/>
                    <w:autoSpaceDN w:val="0"/>
                    <w:adjustRightInd w:val="0"/>
                    <w:snapToGrid w:val="0"/>
                    <w:jc w:val="center"/>
                    <w:rPr>
                      <w:szCs w:val="21"/>
                    </w:rPr>
                  </w:pPr>
                  <w:r>
                    <w:rPr>
                      <w:rFonts w:hint="eastAsia"/>
                      <w:szCs w:val="21"/>
                      <w:lang w:val="en-US" w:eastAsia="zh-CN"/>
                    </w:rPr>
                    <w:t>面</w:t>
                  </w:r>
                  <w:r>
                    <w:rPr>
                      <w:szCs w:val="21"/>
                    </w:rPr>
                    <w:t>漆</w:t>
                  </w:r>
                </w:p>
              </w:tc>
              <w:tc>
                <w:tcPr>
                  <w:tcW w:w="1097" w:type="dxa"/>
                  <w:vAlign w:val="center"/>
                </w:tcPr>
                <w:p w14:paraId="4D8A0613">
                  <w:pPr>
                    <w:autoSpaceDE w:val="0"/>
                    <w:autoSpaceDN w:val="0"/>
                    <w:adjustRightInd w:val="0"/>
                    <w:snapToGrid w:val="0"/>
                    <w:jc w:val="center"/>
                    <w:rPr>
                      <w:rFonts w:hint="default" w:eastAsia="宋体"/>
                      <w:szCs w:val="21"/>
                      <w:lang w:val="en-US" w:eastAsia="zh-CN"/>
                    </w:rPr>
                  </w:pPr>
                  <w:r>
                    <w:rPr>
                      <w:rFonts w:hint="eastAsia"/>
                      <w:szCs w:val="21"/>
                      <w:lang w:val="en-US" w:eastAsia="zh-CN"/>
                    </w:rPr>
                    <w:t>0.96</w:t>
                  </w:r>
                </w:p>
              </w:tc>
              <w:tc>
                <w:tcPr>
                  <w:tcW w:w="1097" w:type="dxa"/>
                  <w:vAlign w:val="center"/>
                </w:tcPr>
                <w:p w14:paraId="3681EAD0">
                  <w:pPr>
                    <w:autoSpaceDE w:val="0"/>
                    <w:autoSpaceDN w:val="0"/>
                    <w:adjustRightInd w:val="0"/>
                    <w:snapToGrid w:val="0"/>
                    <w:jc w:val="center"/>
                    <w:rPr>
                      <w:color w:val="FF0000"/>
                      <w:szCs w:val="21"/>
                    </w:rPr>
                  </w:pPr>
                  <w:r>
                    <w:rPr>
                      <w:rFonts w:hint="eastAsia"/>
                      <w:color w:val="auto"/>
                      <w:sz w:val="21"/>
                      <w:szCs w:val="21"/>
                      <w:lang w:val="en-US" w:eastAsia="zh-CN"/>
                    </w:rPr>
                    <w:t>77430</w:t>
                  </w:r>
                </w:p>
              </w:tc>
              <w:tc>
                <w:tcPr>
                  <w:tcW w:w="1097" w:type="dxa"/>
                  <w:vAlign w:val="center"/>
                </w:tcPr>
                <w:p w14:paraId="2CAEE818">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15</w:t>
                  </w:r>
                </w:p>
              </w:tc>
              <w:tc>
                <w:tcPr>
                  <w:tcW w:w="1097" w:type="dxa"/>
                  <w:vAlign w:val="center"/>
                </w:tcPr>
                <w:p w14:paraId="0CEBA23F">
                  <w:pPr>
                    <w:autoSpaceDE w:val="0"/>
                    <w:autoSpaceDN w:val="0"/>
                    <w:adjustRightInd w:val="0"/>
                    <w:snapToGrid w:val="0"/>
                    <w:jc w:val="center"/>
                    <w:rPr>
                      <w:szCs w:val="21"/>
                    </w:rPr>
                  </w:pPr>
                  <w:r>
                    <w:rPr>
                      <w:rFonts w:hint="eastAsia"/>
                      <w:szCs w:val="21"/>
                    </w:rPr>
                    <w:t>100</w:t>
                  </w:r>
                </w:p>
              </w:tc>
              <w:tc>
                <w:tcPr>
                  <w:tcW w:w="1097" w:type="dxa"/>
                  <w:vAlign w:val="center"/>
                </w:tcPr>
                <w:p w14:paraId="1DAD75E6">
                  <w:pPr>
                    <w:autoSpaceDE w:val="0"/>
                    <w:autoSpaceDN w:val="0"/>
                    <w:adjustRightInd w:val="0"/>
                    <w:snapToGrid w:val="0"/>
                    <w:jc w:val="center"/>
                    <w:rPr>
                      <w:szCs w:val="21"/>
                    </w:rPr>
                  </w:pPr>
                  <w:r>
                    <w:rPr>
                      <w:rFonts w:hint="eastAsia"/>
                      <w:szCs w:val="21"/>
                    </w:rPr>
                    <w:t>70</w:t>
                  </w:r>
                </w:p>
              </w:tc>
              <w:tc>
                <w:tcPr>
                  <w:tcW w:w="1097" w:type="dxa"/>
                  <w:vAlign w:val="center"/>
                </w:tcPr>
                <w:p w14:paraId="0FFACEDE">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68.9</w:t>
                  </w:r>
                </w:p>
              </w:tc>
              <w:tc>
                <w:tcPr>
                  <w:tcW w:w="1097" w:type="dxa"/>
                  <w:vAlign w:val="center"/>
                </w:tcPr>
                <w:p w14:paraId="454560F9">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2.31</w:t>
                  </w:r>
                </w:p>
              </w:tc>
            </w:tr>
            <w:tr w14:paraId="02945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Align w:val="center"/>
                </w:tcPr>
                <w:p w14:paraId="30500D66">
                  <w:pPr>
                    <w:autoSpaceDE w:val="0"/>
                    <w:autoSpaceDN w:val="0"/>
                    <w:adjustRightInd w:val="0"/>
                    <w:snapToGrid w:val="0"/>
                    <w:jc w:val="center"/>
                    <w:rPr>
                      <w:szCs w:val="21"/>
                    </w:rPr>
                  </w:pPr>
                  <w:r>
                    <w:rPr>
                      <w:rFonts w:hint="eastAsia"/>
                      <w:szCs w:val="21"/>
                    </w:rPr>
                    <w:t>清漆</w:t>
                  </w:r>
                </w:p>
              </w:tc>
              <w:tc>
                <w:tcPr>
                  <w:tcW w:w="1097" w:type="dxa"/>
                  <w:vAlign w:val="center"/>
                </w:tcPr>
                <w:p w14:paraId="712D98C0">
                  <w:pPr>
                    <w:autoSpaceDE w:val="0"/>
                    <w:autoSpaceDN w:val="0"/>
                    <w:adjustRightInd w:val="0"/>
                    <w:snapToGrid w:val="0"/>
                    <w:jc w:val="center"/>
                    <w:rPr>
                      <w:rFonts w:hint="eastAsia" w:eastAsia="宋体"/>
                      <w:szCs w:val="21"/>
                      <w:lang w:eastAsia="zh-CN"/>
                    </w:rPr>
                  </w:pPr>
                  <w:r>
                    <w:rPr>
                      <w:rFonts w:hint="eastAsia"/>
                      <w:szCs w:val="21"/>
                    </w:rPr>
                    <w:t>0.9</w:t>
                  </w:r>
                  <w:r>
                    <w:rPr>
                      <w:rFonts w:hint="eastAsia"/>
                      <w:szCs w:val="21"/>
                      <w:lang w:val="en-US" w:eastAsia="zh-CN"/>
                    </w:rPr>
                    <w:t>8</w:t>
                  </w:r>
                </w:p>
              </w:tc>
              <w:tc>
                <w:tcPr>
                  <w:tcW w:w="1097" w:type="dxa"/>
                  <w:vAlign w:val="center"/>
                </w:tcPr>
                <w:p w14:paraId="119EB3EA">
                  <w:pPr>
                    <w:autoSpaceDE w:val="0"/>
                    <w:autoSpaceDN w:val="0"/>
                    <w:adjustRightInd w:val="0"/>
                    <w:snapToGrid w:val="0"/>
                    <w:jc w:val="center"/>
                    <w:rPr>
                      <w:color w:val="FF0000"/>
                      <w:szCs w:val="21"/>
                    </w:rPr>
                  </w:pPr>
                  <w:r>
                    <w:rPr>
                      <w:rFonts w:hint="eastAsia"/>
                      <w:color w:val="auto"/>
                      <w:sz w:val="21"/>
                      <w:szCs w:val="21"/>
                      <w:lang w:val="en-US" w:eastAsia="zh-CN"/>
                    </w:rPr>
                    <w:t>77430</w:t>
                  </w:r>
                </w:p>
              </w:tc>
              <w:tc>
                <w:tcPr>
                  <w:tcW w:w="1097" w:type="dxa"/>
                  <w:vAlign w:val="center"/>
                </w:tcPr>
                <w:p w14:paraId="70767E18">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10</w:t>
                  </w:r>
                </w:p>
              </w:tc>
              <w:tc>
                <w:tcPr>
                  <w:tcW w:w="1097" w:type="dxa"/>
                  <w:vAlign w:val="center"/>
                </w:tcPr>
                <w:p w14:paraId="1E15A679">
                  <w:pPr>
                    <w:autoSpaceDE w:val="0"/>
                    <w:autoSpaceDN w:val="0"/>
                    <w:adjustRightInd w:val="0"/>
                    <w:snapToGrid w:val="0"/>
                    <w:jc w:val="center"/>
                    <w:rPr>
                      <w:szCs w:val="21"/>
                    </w:rPr>
                  </w:pPr>
                  <w:r>
                    <w:rPr>
                      <w:rFonts w:hint="eastAsia"/>
                      <w:szCs w:val="21"/>
                    </w:rPr>
                    <w:t>100</w:t>
                  </w:r>
                </w:p>
              </w:tc>
              <w:tc>
                <w:tcPr>
                  <w:tcW w:w="1097" w:type="dxa"/>
                  <w:vAlign w:val="center"/>
                </w:tcPr>
                <w:p w14:paraId="37D59B5F">
                  <w:pPr>
                    <w:autoSpaceDE w:val="0"/>
                    <w:autoSpaceDN w:val="0"/>
                    <w:adjustRightInd w:val="0"/>
                    <w:snapToGrid w:val="0"/>
                    <w:jc w:val="center"/>
                    <w:rPr>
                      <w:szCs w:val="21"/>
                    </w:rPr>
                  </w:pPr>
                  <w:r>
                    <w:rPr>
                      <w:rFonts w:hint="eastAsia"/>
                      <w:szCs w:val="21"/>
                    </w:rPr>
                    <w:t>70</w:t>
                  </w:r>
                </w:p>
              </w:tc>
              <w:tc>
                <w:tcPr>
                  <w:tcW w:w="1097" w:type="dxa"/>
                  <w:vAlign w:val="center"/>
                </w:tcPr>
                <w:p w14:paraId="5E100BBB">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75</w:t>
                  </w:r>
                </w:p>
              </w:tc>
              <w:tc>
                <w:tcPr>
                  <w:tcW w:w="1097" w:type="dxa"/>
                  <w:vAlign w:val="center"/>
                </w:tcPr>
                <w:p w14:paraId="59B9C6E9">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1.45</w:t>
                  </w:r>
                </w:p>
              </w:tc>
            </w:tr>
          </w:tbl>
          <w:p w14:paraId="43CFAEBD">
            <w:pPr>
              <w:bidi w:val="0"/>
              <w:spacing w:line="360" w:lineRule="auto"/>
              <w:ind w:firstLine="420" w:firstLineChars="200"/>
              <w:rPr>
                <w:rFonts w:hint="default"/>
                <w:lang w:val="en-US" w:eastAsia="zh-CN"/>
              </w:rPr>
            </w:pPr>
            <w:r>
              <w:rPr>
                <w:rFonts w:hint="eastAsia"/>
                <w:lang w:val="en-US" w:eastAsia="zh-CN"/>
              </w:rPr>
              <w:t>根据业主提供的资料，考虑到油漆的合理损耗，本项目底漆年消耗量为6t/a，面漆年消耗量为2.7t/a，清漆年消耗量为1.5t/a。</w:t>
            </w:r>
          </w:p>
          <w:p w14:paraId="6EFDB36B">
            <w:pPr>
              <w:bidi w:val="0"/>
              <w:spacing w:line="360" w:lineRule="auto"/>
              <w:ind w:firstLine="422" w:firstLineChars="200"/>
              <w:rPr>
                <w:rFonts w:hint="default"/>
                <w:b/>
                <w:bCs/>
              </w:rPr>
            </w:pPr>
            <w:r>
              <w:rPr>
                <w:rFonts w:hint="eastAsia"/>
                <w:b/>
                <w:bCs/>
                <w:lang w:val="en-US" w:eastAsia="zh-CN"/>
              </w:rPr>
              <w:t>六</w:t>
            </w:r>
            <w:r>
              <w:rPr>
                <w:rFonts w:hint="default"/>
                <w:b/>
                <w:bCs/>
              </w:rPr>
              <w:t>、产品方案</w:t>
            </w:r>
          </w:p>
          <w:p w14:paraId="02CAF5E4">
            <w:pPr>
              <w:bidi w:val="0"/>
              <w:spacing w:line="360" w:lineRule="auto"/>
              <w:ind w:firstLine="420" w:firstLineChars="200"/>
              <w:rPr>
                <w:rFonts w:hint="default"/>
              </w:rPr>
            </w:pPr>
            <w:r>
              <w:rPr>
                <w:rFonts w:hint="default"/>
              </w:rPr>
              <w:t>本项</w:t>
            </w:r>
            <w:r>
              <w:t>目</w:t>
            </w:r>
            <w:r>
              <w:rPr>
                <w:rFonts w:hint="eastAsia"/>
                <w:lang w:val="en-US" w:eastAsia="zh-CN"/>
              </w:rPr>
              <w:t>主要从事汽车零配件生产，项目</w:t>
            </w:r>
            <w:r>
              <w:rPr>
                <w:rFonts w:hint="default"/>
              </w:rPr>
              <w:t>产量如下表所示：</w:t>
            </w:r>
          </w:p>
          <w:p w14:paraId="510D3818">
            <w:pPr>
              <w:bidi w:val="0"/>
              <w:spacing w:line="240" w:lineRule="auto"/>
              <w:jc w:val="center"/>
              <w:rPr>
                <w:rFonts w:hint="default"/>
                <w:b/>
                <w:bCs/>
              </w:rPr>
            </w:pPr>
            <w:r>
              <w:rPr>
                <w:rFonts w:hint="default"/>
                <w:b/>
                <w:bCs/>
              </w:rPr>
              <w:t>表2-</w:t>
            </w:r>
            <w:r>
              <w:rPr>
                <w:rFonts w:hint="eastAsia"/>
                <w:b/>
                <w:bCs/>
                <w:lang w:val="en-US" w:eastAsia="zh-CN"/>
              </w:rPr>
              <w:t>9</w:t>
            </w:r>
            <w:r>
              <w:rPr>
                <w:rFonts w:hint="default"/>
                <w:b/>
                <w:bCs/>
              </w:rPr>
              <w:t>本项目产品方案表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2434"/>
              <w:gridCol w:w="3113"/>
              <w:gridCol w:w="1820"/>
            </w:tblGrid>
            <w:tr w14:paraId="42CC1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1" w:type="dxa"/>
                  <w:noWrap w:val="0"/>
                  <w:vAlign w:val="center"/>
                </w:tcPr>
                <w:p w14:paraId="05B50B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序号</w:t>
                  </w:r>
                </w:p>
              </w:tc>
              <w:tc>
                <w:tcPr>
                  <w:tcW w:w="2434" w:type="dxa"/>
                  <w:noWrap w:val="0"/>
                  <w:vAlign w:val="center"/>
                </w:tcPr>
                <w:p w14:paraId="0BD786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产品名称</w:t>
                  </w:r>
                </w:p>
              </w:tc>
              <w:tc>
                <w:tcPr>
                  <w:tcW w:w="3113" w:type="dxa"/>
                  <w:noWrap w:val="0"/>
                  <w:vAlign w:val="center"/>
                </w:tcPr>
                <w:p w14:paraId="4A721D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eastAsia="zh-CN"/>
                    </w:rPr>
                  </w:pPr>
                  <w:r>
                    <w:rPr>
                      <w:rFonts w:hint="eastAsia"/>
                      <w:sz w:val="21"/>
                      <w:szCs w:val="21"/>
                    </w:rPr>
                    <w:t>年产量</w:t>
                  </w:r>
                  <w:r>
                    <w:rPr>
                      <w:rFonts w:hint="eastAsia"/>
                      <w:sz w:val="21"/>
                      <w:szCs w:val="21"/>
                      <w:lang w:eastAsia="zh-CN"/>
                    </w:rPr>
                    <w:t>（</w:t>
                  </w:r>
                  <w:r>
                    <w:rPr>
                      <w:rFonts w:hint="eastAsia"/>
                      <w:sz w:val="21"/>
                      <w:szCs w:val="21"/>
                      <w:lang w:val="en-US" w:eastAsia="zh-CN"/>
                    </w:rPr>
                    <w:t>万/件</w:t>
                  </w:r>
                  <w:r>
                    <w:rPr>
                      <w:rFonts w:hint="eastAsia"/>
                      <w:sz w:val="21"/>
                      <w:szCs w:val="21"/>
                      <w:lang w:eastAsia="zh-CN"/>
                    </w:rPr>
                    <w:t>）</w:t>
                  </w:r>
                </w:p>
              </w:tc>
              <w:tc>
                <w:tcPr>
                  <w:tcW w:w="1820" w:type="dxa"/>
                  <w:noWrap w:val="0"/>
                  <w:vAlign w:val="center"/>
                </w:tcPr>
                <w:p w14:paraId="305C91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备注</w:t>
                  </w:r>
                </w:p>
              </w:tc>
            </w:tr>
            <w:tr w14:paraId="4A029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1" w:type="dxa"/>
                  <w:noWrap w:val="0"/>
                  <w:vAlign w:val="center"/>
                </w:tcPr>
                <w:p w14:paraId="3737B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c>
                <w:tcPr>
                  <w:tcW w:w="2434" w:type="dxa"/>
                  <w:noWrap w:val="0"/>
                  <w:vAlign w:val="center"/>
                </w:tcPr>
                <w:p w14:paraId="629891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车门下护板</w:t>
                  </w:r>
                </w:p>
              </w:tc>
              <w:tc>
                <w:tcPr>
                  <w:tcW w:w="3113" w:type="dxa"/>
                  <w:noWrap w:val="0"/>
                  <w:vAlign w:val="center"/>
                </w:tcPr>
                <w:p w14:paraId="57ECB1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48</w:t>
                  </w:r>
                </w:p>
              </w:tc>
              <w:tc>
                <w:tcPr>
                  <w:tcW w:w="1820" w:type="dxa"/>
                  <w:noWrap w:val="0"/>
                  <w:vAlign w:val="center"/>
                </w:tcPr>
                <w:p w14:paraId="12C28C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汽车塑料零部件</w:t>
                  </w:r>
                </w:p>
              </w:tc>
            </w:tr>
            <w:tr w14:paraId="4BBAD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1" w:type="dxa"/>
                  <w:noWrap w:val="0"/>
                  <w:vAlign w:val="center"/>
                </w:tcPr>
                <w:p w14:paraId="31C1C9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sz w:val="21"/>
                      <w:szCs w:val="21"/>
                      <w:lang w:val="en-US" w:eastAsia="zh-CN"/>
                    </w:rPr>
                    <w:t>2</w:t>
                  </w:r>
                </w:p>
              </w:tc>
              <w:tc>
                <w:tcPr>
                  <w:tcW w:w="2434" w:type="dxa"/>
                  <w:noWrap w:val="0"/>
                  <w:vAlign w:val="center"/>
                </w:tcPr>
                <w:p w14:paraId="7A7F2A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扰流板</w:t>
                  </w:r>
                </w:p>
              </w:tc>
              <w:tc>
                <w:tcPr>
                  <w:tcW w:w="3113" w:type="dxa"/>
                  <w:noWrap w:val="0"/>
                  <w:vAlign w:val="center"/>
                </w:tcPr>
                <w:p w14:paraId="2F7BD9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25</w:t>
                  </w:r>
                </w:p>
              </w:tc>
              <w:tc>
                <w:tcPr>
                  <w:tcW w:w="1820" w:type="dxa"/>
                  <w:noWrap w:val="0"/>
                  <w:vAlign w:val="center"/>
                </w:tcPr>
                <w:p w14:paraId="494732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汽车塑料零部件</w:t>
                  </w:r>
                </w:p>
              </w:tc>
            </w:tr>
            <w:tr w14:paraId="05117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1" w:type="dxa"/>
                  <w:noWrap w:val="0"/>
                  <w:vAlign w:val="center"/>
                </w:tcPr>
                <w:p w14:paraId="40ACAE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sz w:val="21"/>
                      <w:szCs w:val="21"/>
                      <w:lang w:val="en-US" w:eastAsia="zh-CN"/>
                    </w:rPr>
                    <w:t>3</w:t>
                  </w:r>
                </w:p>
              </w:tc>
              <w:tc>
                <w:tcPr>
                  <w:tcW w:w="2434" w:type="dxa"/>
                  <w:noWrap w:val="0"/>
                  <w:vAlign w:val="center"/>
                </w:tcPr>
                <w:p w14:paraId="583C57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轮眉</w:t>
                  </w:r>
                </w:p>
              </w:tc>
              <w:tc>
                <w:tcPr>
                  <w:tcW w:w="3113" w:type="dxa"/>
                  <w:noWrap w:val="0"/>
                  <w:vAlign w:val="center"/>
                </w:tcPr>
                <w:p w14:paraId="583919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48</w:t>
                  </w:r>
                </w:p>
              </w:tc>
              <w:tc>
                <w:tcPr>
                  <w:tcW w:w="1820" w:type="dxa"/>
                  <w:noWrap w:val="0"/>
                  <w:vAlign w:val="center"/>
                </w:tcPr>
                <w:p w14:paraId="7DF105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汽车塑料零部件</w:t>
                  </w:r>
                </w:p>
              </w:tc>
            </w:tr>
            <w:tr w14:paraId="36F65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1" w:type="dxa"/>
                  <w:noWrap w:val="0"/>
                  <w:vAlign w:val="center"/>
                </w:tcPr>
                <w:p w14:paraId="0B81B6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sz w:val="21"/>
                      <w:szCs w:val="21"/>
                      <w:lang w:val="en-US" w:eastAsia="zh-CN"/>
                    </w:rPr>
                    <w:t>4</w:t>
                  </w:r>
                </w:p>
              </w:tc>
              <w:tc>
                <w:tcPr>
                  <w:tcW w:w="2434" w:type="dxa"/>
                  <w:noWrap w:val="0"/>
                  <w:vAlign w:val="center"/>
                </w:tcPr>
                <w:p w14:paraId="10CCE7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后视镜</w:t>
                  </w:r>
                </w:p>
              </w:tc>
              <w:tc>
                <w:tcPr>
                  <w:tcW w:w="3113" w:type="dxa"/>
                  <w:noWrap w:val="0"/>
                  <w:vAlign w:val="center"/>
                </w:tcPr>
                <w:p w14:paraId="7AB672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24</w:t>
                  </w:r>
                </w:p>
              </w:tc>
              <w:tc>
                <w:tcPr>
                  <w:tcW w:w="1820" w:type="dxa"/>
                  <w:noWrap w:val="0"/>
                  <w:vAlign w:val="center"/>
                </w:tcPr>
                <w:p w14:paraId="4FE12B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汽车塑料零部件</w:t>
                  </w:r>
                </w:p>
              </w:tc>
            </w:tr>
          </w:tbl>
          <w:p w14:paraId="5B0703DE">
            <w:pPr>
              <w:bidi w:val="0"/>
              <w:spacing w:line="360" w:lineRule="auto"/>
              <w:ind w:firstLine="422" w:firstLineChars="200"/>
              <w:rPr>
                <w:rFonts w:hint="default"/>
                <w:b/>
                <w:bCs/>
              </w:rPr>
            </w:pPr>
            <w:r>
              <w:rPr>
                <w:rFonts w:hint="eastAsia"/>
                <w:b/>
                <w:bCs/>
                <w:lang w:val="en-US" w:eastAsia="zh-CN"/>
              </w:rPr>
              <w:t>七</w:t>
            </w:r>
            <w:r>
              <w:rPr>
                <w:rFonts w:hint="default"/>
                <w:b/>
                <w:bCs/>
              </w:rPr>
              <w:t>、劳动定员</w:t>
            </w:r>
          </w:p>
          <w:p w14:paraId="1768954D">
            <w:pPr>
              <w:bidi w:val="0"/>
              <w:spacing w:line="360" w:lineRule="auto"/>
              <w:ind w:firstLine="420" w:firstLineChars="200"/>
              <w:rPr>
                <w:rFonts w:hint="default"/>
              </w:rPr>
            </w:pPr>
            <w:r>
              <w:rPr>
                <w:rFonts w:hint="default"/>
              </w:rPr>
              <w:t>本项劳动定员</w:t>
            </w:r>
            <w:r>
              <w:rPr>
                <w:rFonts w:hint="eastAsia"/>
                <w:lang w:val="en-US" w:eastAsia="zh-CN"/>
              </w:rPr>
              <w:t>40人，不涉及食宿，工作时间300天，8小时两班倒</w:t>
            </w:r>
            <w:r>
              <w:rPr>
                <w:rFonts w:hint="default"/>
              </w:rPr>
              <w:t>。</w:t>
            </w:r>
          </w:p>
          <w:p w14:paraId="70A731DA">
            <w:pPr>
              <w:bidi w:val="0"/>
              <w:spacing w:line="360" w:lineRule="auto"/>
              <w:ind w:firstLine="422" w:firstLineChars="200"/>
              <w:rPr>
                <w:rFonts w:hint="default"/>
                <w:b/>
                <w:bCs/>
              </w:rPr>
            </w:pPr>
            <w:r>
              <w:rPr>
                <w:rFonts w:hint="eastAsia"/>
                <w:b/>
                <w:bCs/>
                <w:lang w:val="en-US" w:eastAsia="zh-CN"/>
              </w:rPr>
              <w:t>八</w:t>
            </w:r>
            <w:r>
              <w:rPr>
                <w:rFonts w:hint="default"/>
                <w:b/>
                <w:bCs/>
              </w:rPr>
              <w:t>、公用工程及辅助工程</w:t>
            </w:r>
          </w:p>
          <w:p w14:paraId="4EAF1536">
            <w:pPr>
              <w:bidi w:val="0"/>
              <w:spacing w:line="360" w:lineRule="auto"/>
              <w:ind w:firstLine="420" w:firstLineChars="200"/>
              <w:rPr>
                <w:rFonts w:hint="default"/>
              </w:rPr>
            </w:pPr>
            <w:r>
              <w:rPr>
                <w:rFonts w:hint="default"/>
              </w:rPr>
              <w:t>（1）给水</w:t>
            </w:r>
          </w:p>
          <w:p w14:paraId="7EBB11A4">
            <w:pPr>
              <w:bidi w:val="0"/>
              <w:spacing w:line="360" w:lineRule="auto"/>
              <w:ind w:firstLine="420" w:firstLineChars="200"/>
              <w:rPr>
                <w:rFonts w:hint="default"/>
              </w:rPr>
            </w:pPr>
            <w:r>
              <w:rPr>
                <w:rFonts w:hint="default"/>
              </w:rPr>
              <w:t>本项目生活用水依托蓬溪县上游工业园现有的市政管网供给。</w:t>
            </w:r>
          </w:p>
          <w:p w14:paraId="0B17CB32">
            <w:pPr>
              <w:bidi w:val="0"/>
              <w:spacing w:line="360" w:lineRule="auto"/>
              <w:ind w:firstLine="420" w:firstLineChars="200"/>
              <w:rPr>
                <w:rFonts w:hint="default"/>
              </w:rPr>
            </w:pPr>
            <w:r>
              <w:rPr>
                <w:rFonts w:hint="default"/>
              </w:rPr>
              <w:t>（2）排水</w:t>
            </w:r>
          </w:p>
          <w:p w14:paraId="016A27DF">
            <w:pPr>
              <w:bidi w:val="0"/>
              <w:spacing w:line="360" w:lineRule="auto"/>
              <w:ind w:firstLine="420" w:firstLineChars="200"/>
              <w:rPr>
                <w:rFonts w:hint="default"/>
                <w:lang w:val="en-US" w:eastAsia="zh-CN"/>
              </w:rPr>
            </w:pPr>
            <w:r>
              <w:rPr>
                <w:rFonts w:hint="default"/>
              </w:rPr>
              <w:t>本项目</w:t>
            </w:r>
            <w:r>
              <w:rPr>
                <w:rFonts w:hint="eastAsia"/>
                <w:lang w:eastAsia="zh-CN"/>
              </w:rPr>
              <w:t>生活污水</w:t>
            </w:r>
            <w:r>
              <w:rPr>
                <w:rFonts w:hint="eastAsia"/>
                <w:lang w:val="en-US" w:eastAsia="zh-CN"/>
              </w:rPr>
              <w:t>依托万象壹品门业既有预处理池处理后</w:t>
            </w:r>
            <w:r>
              <w:rPr>
                <w:rFonts w:hint="default"/>
              </w:rPr>
              <w:t>排入污水管网送蓬溪县经开区污水处理厂处理达标后排入芝溪河；雨水排入蓬溪县上游工业园市政雨水管网排放。</w:t>
            </w:r>
            <w:r>
              <w:rPr>
                <w:rFonts w:hint="default"/>
                <w:lang w:val="en-US" w:eastAsia="zh-CN"/>
              </w:rPr>
              <w:t>项目生产废水</w:t>
            </w:r>
            <w:r>
              <w:rPr>
                <w:rFonts w:hint="eastAsia"/>
                <w:lang w:val="en-US" w:eastAsia="zh-CN"/>
              </w:rPr>
              <w:t>处理后回用，注塑冷却水和生活废水经园区预处理池达标后排入</w:t>
            </w:r>
            <w:r>
              <w:rPr>
                <w:rFonts w:hint="default"/>
              </w:rPr>
              <w:t>蓬溪县经济开发区</w:t>
            </w:r>
            <w:r>
              <w:rPr>
                <w:rFonts w:hint="eastAsia"/>
                <w:lang w:val="en-US" w:eastAsia="zh-CN"/>
              </w:rPr>
              <w:t>污</w:t>
            </w:r>
            <w:r>
              <w:rPr>
                <w:rFonts w:hint="default"/>
              </w:rPr>
              <w:t>水处理厂</w:t>
            </w:r>
            <w:r>
              <w:rPr>
                <w:rFonts w:hint="eastAsia"/>
                <w:lang w:val="en-US" w:eastAsia="zh-CN"/>
              </w:rPr>
              <w:t>。</w:t>
            </w:r>
          </w:p>
          <w:p w14:paraId="5295EDD7">
            <w:pPr>
              <w:bidi w:val="0"/>
              <w:spacing w:line="360" w:lineRule="auto"/>
              <w:ind w:firstLine="420" w:firstLineChars="200"/>
              <w:rPr>
                <w:rFonts w:hint="default"/>
              </w:rPr>
            </w:pPr>
            <w:r>
              <w:rPr>
                <w:rFonts w:hint="default"/>
              </w:rPr>
              <w:t>（3）供电</w:t>
            </w:r>
          </w:p>
          <w:p w14:paraId="1CAE620F">
            <w:pPr>
              <w:bidi w:val="0"/>
              <w:spacing w:line="360" w:lineRule="auto"/>
              <w:ind w:firstLine="420" w:firstLineChars="200"/>
              <w:rPr>
                <w:rFonts w:hint="default"/>
              </w:rPr>
            </w:pPr>
            <w:r>
              <w:rPr>
                <w:rFonts w:hint="default"/>
              </w:rPr>
              <w:t>本项目依托蓬溪县上游工业园已建设的市政供电设施供电。</w:t>
            </w:r>
          </w:p>
          <w:p w14:paraId="035E7D72">
            <w:pPr>
              <w:numPr>
                <w:ilvl w:val="0"/>
                <w:numId w:val="0"/>
              </w:numPr>
              <w:adjustRightInd w:val="0"/>
              <w:snapToGrid w:val="0"/>
              <w:spacing w:line="360" w:lineRule="auto"/>
              <w:ind w:firstLine="422" w:firstLineChars="200"/>
              <w:rPr>
                <w:rFonts w:ascii="Times New Roman" w:hAnsi="Times New Roman" w:eastAsia="宋体"/>
                <w:b/>
                <w:color w:val="auto"/>
              </w:rPr>
            </w:pPr>
            <w:r>
              <w:rPr>
                <w:rFonts w:hint="eastAsia"/>
                <w:b/>
                <w:color w:val="auto"/>
                <w:lang w:val="en-US" w:eastAsia="zh-CN"/>
              </w:rPr>
              <w:t>九</w:t>
            </w:r>
            <w:r>
              <w:rPr>
                <w:rFonts w:hint="eastAsia" w:ascii="Times New Roman" w:hAnsi="Times New Roman" w:eastAsia="宋体"/>
                <w:b/>
                <w:color w:val="auto"/>
                <w:lang w:val="en-US" w:eastAsia="zh-CN"/>
              </w:rPr>
              <w:t>、项目水平衡分析</w:t>
            </w:r>
          </w:p>
          <w:p w14:paraId="1577F277">
            <w:pPr>
              <w:wordWrap/>
              <w:autoSpaceDE w:val="0"/>
              <w:autoSpaceDN w:val="0"/>
              <w:adjustRightInd w:val="0"/>
              <w:snapToGrid w:val="0"/>
              <w:spacing w:line="360" w:lineRule="auto"/>
              <w:ind w:firstLine="422" w:firstLineChars="200"/>
              <w:outlineLvl w:val="9"/>
              <w:rPr>
                <w:rFonts w:ascii="Times New Roman" w:hAnsi="Times New Roman" w:eastAsia="宋体"/>
                <w:b/>
                <w:bCs/>
                <w:color w:val="auto"/>
                <w:sz w:val="21"/>
                <w:szCs w:val="21"/>
                <w:highlight w:val="yellow"/>
              </w:rPr>
            </w:pPr>
            <w:r>
              <w:rPr>
                <w:rFonts w:hint="eastAsia" w:ascii="宋体" w:hAnsi="宋体" w:eastAsia="宋体"/>
                <w:b/>
                <w:bCs/>
                <w:color w:val="auto"/>
                <w:sz w:val="21"/>
                <w:szCs w:val="21"/>
              </w:rPr>
              <w:t>（1）</w:t>
            </w:r>
            <w:r>
              <w:rPr>
                <w:rFonts w:hint="eastAsia" w:ascii="Times New Roman" w:hAnsi="Times New Roman" w:eastAsia="宋体"/>
                <w:b/>
                <w:bCs/>
                <w:color w:val="auto"/>
                <w:sz w:val="21"/>
                <w:szCs w:val="21"/>
              </w:rPr>
              <w:t>给水</w:t>
            </w:r>
          </w:p>
          <w:p w14:paraId="63E873C0">
            <w:pPr>
              <w:wordWrap/>
              <w:autoSpaceDE w:val="0"/>
              <w:autoSpaceDN w:val="0"/>
              <w:adjustRightInd/>
              <w:snapToGrid/>
              <w:spacing w:line="360" w:lineRule="auto"/>
              <w:ind w:firstLine="420" w:firstLineChars="20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项目用水主要包括生活用水、</w:t>
            </w:r>
            <w:r>
              <w:rPr>
                <w:rFonts w:hint="eastAsia" w:ascii="Times New Roman" w:hAnsi="Times New Roman" w:eastAsia="宋体"/>
                <w:b w:val="0"/>
                <w:color w:val="auto"/>
                <w:sz w:val="21"/>
                <w:szCs w:val="21"/>
                <w:lang w:val="en-US" w:eastAsia="zh-CN"/>
              </w:rPr>
              <w:t>注塑循环冷却水</w:t>
            </w:r>
            <w:r>
              <w:rPr>
                <w:rFonts w:hint="eastAsia"/>
                <w:b w:val="0"/>
                <w:color w:val="auto"/>
                <w:sz w:val="21"/>
                <w:szCs w:val="21"/>
                <w:lang w:val="en-US" w:eastAsia="zh-CN"/>
              </w:rPr>
              <w:t>、地面清洗用水、喷漆废水</w:t>
            </w:r>
            <w:r>
              <w:rPr>
                <w:rFonts w:ascii="Times New Roman" w:hAnsi="Times New Roman" w:eastAsia="宋体"/>
                <w:b w:val="0"/>
                <w:color w:val="auto"/>
                <w:sz w:val="21"/>
                <w:szCs w:val="21"/>
              </w:rPr>
              <w:t>。</w:t>
            </w:r>
          </w:p>
          <w:p w14:paraId="433E5FE0">
            <w:pPr>
              <w:wordWrap/>
              <w:autoSpaceDE w:val="0"/>
              <w:autoSpaceDN w:val="0"/>
              <w:adjustRightInd/>
              <w:snapToGrid/>
              <w:spacing w:line="360" w:lineRule="auto"/>
              <w:ind w:firstLine="422" w:firstLineChars="200"/>
              <w:outlineLvl w:val="9"/>
              <w:rPr>
                <w:rFonts w:ascii="Times New Roman" w:hAnsi="Times New Roman" w:eastAsia="宋体"/>
                <w:b/>
                <w:color w:val="auto"/>
                <w:sz w:val="21"/>
                <w:szCs w:val="21"/>
              </w:rPr>
            </w:pPr>
            <w:r>
              <w:rPr>
                <w:rFonts w:hint="eastAsia" w:ascii="Times New Roman" w:hAnsi="Times New Roman" w:eastAsia="宋体"/>
                <w:b/>
                <w:color w:val="auto"/>
                <w:sz w:val="21"/>
                <w:szCs w:val="21"/>
              </w:rPr>
              <w:t>①生活用水</w:t>
            </w:r>
          </w:p>
          <w:p w14:paraId="4F8C7F19">
            <w:pPr>
              <w:keepNext w:val="0"/>
              <w:keepLines w:val="0"/>
              <w:widowControl/>
              <w:suppressLineNumbers w:val="0"/>
              <w:spacing w:line="360" w:lineRule="auto"/>
              <w:ind w:firstLine="420" w:firstLineChars="200"/>
              <w:jc w:val="left"/>
              <w:rPr>
                <w:rFonts w:ascii="Times New Roman" w:hAnsi="Times New Roman" w:eastAsia="宋体"/>
                <w:b w:val="0"/>
                <w:color w:val="auto"/>
                <w:sz w:val="21"/>
                <w:szCs w:val="21"/>
              </w:rPr>
            </w:pPr>
            <w:r>
              <w:rPr>
                <w:rFonts w:hint="eastAsia" w:ascii="Times New Roman" w:hAnsi="Times New Roman" w:eastAsia="宋体"/>
                <w:b w:val="0"/>
                <w:color w:val="auto"/>
                <w:sz w:val="21"/>
                <w:szCs w:val="21"/>
              </w:rPr>
              <w:t>本项目劳动定员</w:t>
            </w:r>
            <w:r>
              <w:rPr>
                <w:rFonts w:hint="eastAsia" w:ascii="Times New Roman" w:hAnsi="Times New Roman" w:eastAsia="宋体"/>
                <w:b w:val="0"/>
                <w:color w:val="auto"/>
                <w:sz w:val="21"/>
                <w:szCs w:val="21"/>
                <w:lang w:val="en-US" w:eastAsia="zh-CN"/>
              </w:rPr>
              <w:t>40</w:t>
            </w:r>
            <w:r>
              <w:rPr>
                <w:rFonts w:hint="eastAsia" w:ascii="Times New Roman" w:hAnsi="Times New Roman" w:eastAsia="宋体"/>
                <w:b w:val="0"/>
                <w:color w:val="auto"/>
                <w:sz w:val="21"/>
                <w:szCs w:val="21"/>
              </w:rPr>
              <w:t>人</w:t>
            </w:r>
            <w:r>
              <w:rPr>
                <w:rFonts w:hint="eastAsia" w:ascii="Times New Roman" w:hAnsi="Times New Roman" w:eastAsia="宋体"/>
                <w:b w:val="0"/>
                <w:color w:val="auto"/>
                <w:sz w:val="21"/>
                <w:szCs w:val="21"/>
                <w:lang w:eastAsia="zh-CN"/>
              </w:rPr>
              <w:t>，</w:t>
            </w:r>
            <w:r>
              <w:rPr>
                <w:rFonts w:hint="eastAsia"/>
                <w:b w:val="0"/>
                <w:color w:val="auto"/>
                <w:sz w:val="21"/>
                <w:szCs w:val="21"/>
                <w:lang w:val="en-US" w:eastAsia="zh-CN"/>
              </w:rPr>
              <w:t>不设食堂和宿舍，</w:t>
            </w:r>
            <w:r>
              <w:rPr>
                <w:rFonts w:hint="eastAsia" w:ascii="Times New Roman" w:hAnsi="Times New Roman" w:eastAsia="宋体"/>
                <w:b w:val="0"/>
                <w:color w:val="auto"/>
                <w:sz w:val="21"/>
                <w:szCs w:val="21"/>
              </w:rPr>
              <w:t>根据</w:t>
            </w:r>
            <w:r>
              <w:rPr>
                <w:rFonts w:hint="eastAsia" w:ascii="宋体" w:hAnsi="宋体" w:eastAsia="宋体" w:cs="宋体"/>
                <w:color w:val="000000"/>
                <w:kern w:val="0"/>
                <w:sz w:val="21"/>
                <w:szCs w:val="21"/>
                <w:lang w:val="en-US" w:eastAsia="zh-CN" w:bidi="ar"/>
              </w:rPr>
              <w:t>《四川省用水定额》（川府函〔</w:t>
            </w:r>
            <w:r>
              <w:rPr>
                <w:rFonts w:hint="default" w:ascii="Times New Roman" w:hAnsi="Times New Roman" w:eastAsia="宋体" w:cs="Times New Roman"/>
                <w:color w:val="000000"/>
                <w:kern w:val="0"/>
                <w:sz w:val="21"/>
                <w:szCs w:val="21"/>
                <w:lang w:val="en-US" w:eastAsia="zh-CN" w:bidi="ar"/>
              </w:rPr>
              <w:t>2021</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号）和</w:t>
            </w:r>
            <w:r>
              <w:rPr>
                <w:rFonts w:hint="eastAsia" w:ascii="Times New Roman" w:hAnsi="Times New Roman" w:eastAsia="宋体"/>
                <w:b w:val="0"/>
                <w:color w:val="auto"/>
                <w:sz w:val="21"/>
                <w:szCs w:val="21"/>
              </w:rPr>
              <w:t>《建筑给水排水设计标准(2019年版)》(GB50015-2019)</w:t>
            </w:r>
            <w:r>
              <w:rPr>
                <w:rFonts w:ascii="Times New Roman" w:hAnsi="Times New Roman" w:eastAsia="宋体"/>
                <w:b w:val="0"/>
                <w:color w:val="auto"/>
                <w:sz w:val="21"/>
                <w:szCs w:val="21"/>
              </w:rPr>
              <w:t>用水定额按</w:t>
            </w:r>
            <w:r>
              <w:rPr>
                <w:rFonts w:hint="eastAsia" w:ascii="Times New Roman" w:hAnsi="Times New Roman" w:eastAsia="宋体"/>
                <w:b w:val="0"/>
                <w:color w:val="auto"/>
                <w:sz w:val="21"/>
                <w:szCs w:val="21"/>
              </w:rPr>
              <w:t>50L/人.d计，</w:t>
            </w:r>
            <w:r>
              <w:rPr>
                <w:rFonts w:hint="eastAsia" w:ascii="Times New Roman" w:hAnsi="Times New Roman" w:eastAsia="宋体"/>
                <w:b w:val="0"/>
                <w:color w:val="auto"/>
                <w:sz w:val="21"/>
                <w:szCs w:val="21"/>
                <w:lang w:val="en-US" w:eastAsia="zh-CN"/>
              </w:rPr>
              <w:t>项目建成后，</w:t>
            </w:r>
            <w:r>
              <w:rPr>
                <w:rFonts w:ascii="Times New Roman" w:hAnsi="Times New Roman" w:eastAsia="宋体"/>
                <w:b w:val="0"/>
                <w:color w:val="auto"/>
                <w:sz w:val="21"/>
                <w:szCs w:val="21"/>
              </w:rPr>
              <w:t>员工生活用水</w:t>
            </w:r>
            <w:r>
              <w:rPr>
                <w:rFonts w:hint="eastAsia" w:ascii="Times New Roman" w:hAnsi="Times New Roman" w:eastAsia="宋体"/>
                <w:b w:val="0"/>
                <w:color w:val="auto"/>
                <w:sz w:val="21"/>
                <w:szCs w:val="21"/>
                <w:lang w:val="en-US" w:eastAsia="zh-CN"/>
              </w:rPr>
              <w:t>2</w:t>
            </w:r>
            <w:r>
              <w:rPr>
                <w:rFonts w:ascii="Times New Roman" w:hAnsi="Times New Roman" w:eastAsia="宋体"/>
                <w:b w:val="0"/>
                <w:color w:val="auto"/>
                <w:sz w:val="21"/>
                <w:szCs w:val="21"/>
              </w:rPr>
              <w:t>m</w:t>
            </w:r>
            <w:r>
              <w:rPr>
                <w:rFonts w:ascii="Times New Roman" w:hAnsi="Times New Roman" w:eastAsia="宋体"/>
                <w:b w:val="0"/>
                <w:color w:val="auto"/>
                <w:sz w:val="21"/>
                <w:szCs w:val="21"/>
                <w:vertAlign w:val="superscript"/>
              </w:rPr>
              <w:t>3</w:t>
            </w:r>
            <w:r>
              <w:rPr>
                <w:rFonts w:ascii="Times New Roman" w:hAnsi="Times New Roman" w:eastAsia="宋体"/>
                <w:b w:val="0"/>
                <w:color w:val="auto"/>
                <w:sz w:val="21"/>
                <w:szCs w:val="21"/>
              </w:rPr>
              <w:t>/</w:t>
            </w:r>
            <w:r>
              <w:rPr>
                <w:rFonts w:hint="eastAsia" w:ascii="Times New Roman" w:hAnsi="Times New Roman" w:eastAsia="宋体"/>
                <w:b w:val="0"/>
                <w:color w:val="auto"/>
                <w:sz w:val="21"/>
                <w:szCs w:val="21"/>
              </w:rPr>
              <w:t>d，</w:t>
            </w:r>
            <w:r>
              <w:rPr>
                <w:rFonts w:hint="eastAsia" w:ascii="Times New Roman" w:hAnsi="Times New Roman" w:eastAsia="宋体"/>
                <w:b w:val="0"/>
                <w:color w:val="auto"/>
                <w:sz w:val="21"/>
                <w:szCs w:val="21"/>
                <w:lang w:val="en-US" w:eastAsia="zh-CN"/>
              </w:rPr>
              <w:t>600</w:t>
            </w:r>
            <w:r>
              <w:rPr>
                <w:rFonts w:ascii="Times New Roman" w:hAnsi="Times New Roman" w:eastAsia="宋体"/>
                <w:b w:val="0"/>
                <w:color w:val="auto"/>
                <w:sz w:val="21"/>
                <w:szCs w:val="21"/>
              </w:rPr>
              <w:t>m</w:t>
            </w:r>
            <w:r>
              <w:rPr>
                <w:rFonts w:ascii="Times New Roman" w:hAnsi="Times New Roman" w:eastAsia="宋体"/>
                <w:b w:val="0"/>
                <w:color w:val="auto"/>
                <w:sz w:val="21"/>
                <w:szCs w:val="21"/>
                <w:vertAlign w:val="superscript"/>
              </w:rPr>
              <w:t>3</w:t>
            </w:r>
            <w:r>
              <w:rPr>
                <w:rFonts w:ascii="Times New Roman" w:hAnsi="Times New Roman" w:eastAsia="宋体"/>
                <w:b w:val="0"/>
                <w:color w:val="auto"/>
                <w:sz w:val="21"/>
                <w:szCs w:val="21"/>
              </w:rPr>
              <w:t>/</w:t>
            </w:r>
            <w:r>
              <w:rPr>
                <w:rFonts w:hint="eastAsia" w:ascii="Times New Roman" w:hAnsi="Times New Roman" w:eastAsia="宋体"/>
                <w:b w:val="0"/>
                <w:color w:val="auto"/>
                <w:sz w:val="21"/>
                <w:szCs w:val="21"/>
              </w:rPr>
              <w:t>a。污水排水量按</w:t>
            </w:r>
            <w:r>
              <w:rPr>
                <w:rFonts w:ascii="Times New Roman" w:hAnsi="Times New Roman" w:eastAsia="宋体"/>
                <w:b w:val="0"/>
                <w:color w:val="auto"/>
                <w:sz w:val="21"/>
                <w:szCs w:val="21"/>
              </w:rPr>
              <w:t>85%</w:t>
            </w:r>
            <w:r>
              <w:rPr>
                <w:rFonts w:hint="eastAsia" w:ascii="Times New Roman" w:hAnsi="Times New Roman" w:eastAsia="宋体"/>
                <w:b w:val="0"/>
                <w:color w:val="auto"/>
                <w:sz w:val="21"/>
                <w:szCs w:val="21"/>
              </w:rPr>
              <w:t>计，则每天产生生活污水</w:t>
            </w:r>
            <w:r>
              <w:rPr>
                <w:rFonts w:hint="eastAsia" w:ascii="Times New Roman" w:hAnsi="Times New Roman" w:eastAsia="宋体"/>
                <w:b w:val="0"/>
                <w:color w:val="auto"/>
                <w:sz w:val="21"/>
                <w:szCs w:val="21"/>
                <w:lang w:val="en-US" w:eastAsia="zh-CN"/>
              </w:rPr>
              <w:t>1.7</w:t>
            </w:r>
            <w:r>
              <w:rPr>
                <w:rFonts w:ascii="Times New Roman" w:hAnsi="Times New Roman" w:eastAsia="宋体"/>
                <w:b w:val="0"/>
                <w:color w:val="auto"/>
                <w:sz w:val="21"/>
                <w:szCs w:val="21"/>
              </w:rPr>
              <w:t>m</w:t>
            </w:r>
            <w:r>
              <w:rPr>
                <w:rFonts w:ascii="Times New Roman" w:hAnsi="Times New Roman" w:eastAsia="宋体"/>
                <w:b w:val="0"/>
                <w:color w:val="auto"/>
                <w:sz w:val="21"/>
                <w:szCs w:val="21"/>
                <w:vertAlign w:val="superscript"/>
              </w:rPr>
              <w:t>3</w:t>
            </w:r>
            <w:r>
              <w:rPr>
                <w:rFonts w:ascii="Times New Roman" w:hAnsi="Times New Roman" w:eastAsia="宋体"/>
                <w:b w:val="0"/>
                <w:color w:val="auto"/>
                <w:sz w:val="21"/>
                <w:szCs w:val="21"/>
              </w:rPr>
              <w:t>/</w:t>
            </w:r>
            <w:r>
              <w:rPr>
                <w:rFonts w:hint="eastAsia" w:ascii="Times New Roman" w:hAnsi="Times New Roman" w:eastAsia="宋体"/>
                <w:b w:val="0"/>
                <w:color w:val="auto"/>
                <w:sz w:val="21"/>
                <w:szCs w:val="21"/>
              </w:rPr>
              <w:t>d，年排放量</w:t>
            </w:r>
            <w:r>
              <w:rPr>
                <w:rFonts w:hint="eastAsia" w:ascii="Times New Roman" w:hAnsi="Times New Roman" w:eastAsia="宋体"/>
                <w:b w:val="0"/>
                <w:color w:val="auto"/>
                <w:sz w:val="21"/>
                <w:szCs w:val="21"/>
                <w:lang w:val="en-US" w:eastAsia="zh-CN"/>
              </w:rPr>
              <w:t>510</w:t>
            </w:r>
            <w:r>
              <w:rPr>
                <w:rFonts w:ascii="Times New Roman" w:hAnsi="Times New Roman" w:eastAsia="宋体"/>
                <w:b w:val="0"/>
                <w:color w:val="auto"/>
                <w:sz w:val="21"/>
                <w:szCs w:val="21"/>
              </w:rPr>
              <w:t>m</w:t>
            </w:r>
            <w:r>
              <w:rPr>
                <w:rFonts w:ascii="Times New Roman" w:hAnsi="Times New Roman" w:eastAsia="宋体"/>
                <w:b w:val="0"/>
                <w:color w:val="auto"/>
                <w:sz w:val="21"/>
                <w:szCs w:val="21"/>
                <w:vertAlign w:val="superscript"/>
              </w:rPr>
              <w:t>3</w:t>
            </w:r>
            <w:r>
              <w:rPr>
                <w:rFonts w:ascii="Times New Roman" w:hAnsi="Times New Roman" w:eastAsia="宋体"/>
                <w:b w:val="0"/>
                <w:color w:val="auto"/>
                <w:sz w:val="21"/>
                <w:szCs w:val="21"/>
              </w:rPr>
              <w:t>。</w:t>
            </w:r>
          </w:p>
          <w:p w14:paraId="05E7D753">
            <w:pPr>
              <w:wordWrap/>
              <w:autoSpaceDE w:val="0"/>
              <w:autoSpaceDN w:val="0"/>
              <w:adjustRightInd/>
              <w:snapToGrid/>
              <w:spacing w:line="360" w:lineRule="auto"/>
              <w:ind w:firstLine="422" w:firstLineChars="200"/>
              <w:outlineLvl w:val="9"/>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②</w:t>
            </w:r>
            <w:r>
              <w:rPr>
                <w:rFonts w:hint="eastAsia" w:ascii="Times New Roman" w:hAnsi="Times New Roman" w:eastAsia="宋体"/>
                <w:b/>
                <w:color w:val="auto"/>
                <w:sz w:val="21"/>
                <w:szCs w:val="21"/>
                <w:highlight w:val="none"/>
                <w:lang w:val="en-US" w:eastAsia="zh-CN"/>
              </w:rPr>
              <w:t>注塑循环冷却</w:t>
            </w:r>
            <w:r>
              <w:rPr>
                <w:rFonts w:hint="eastAsia" w:ascii="Times New Roman" w:hAnsi="Times New Roman" w:eastAsia="宋体"/>
                <w:b/>
                <w:color w:val="auto"/>
                <w:sz w:val="21"/>
                <w:szCs w:val="21"/>
                <w:highlight w:val="none"/>
              </w:rPr>
              <w:t>水</w:t>
            </w:r>
          </w:p>
          <w:p w14:paraId="40E40A18">
            <w:pPr>
              <w:keepNext w:val="0"/>
              <w:keepLines w:val="0"/>
              <w:widowControl/>
              <w:suppressLineNumbers w:val="0"/>
              <w:spacing w:line="360" w:lineRule="auto"/>
              <w:ind w:firstLine="420" w:firstLineChars="200"/>
              <w:jc w:val="left"/>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项目在塑料热熔注塑时需要用冷却水将产品进行冷却成型。</w:t>
            </w:r>
            <w:r>
              <w:rPr>
                <w:rFonts w:hint="eastAsia" w:ascii="宋体" w:hAnsi="宋体" w:eastAsia="宋体" w:cs="宋体"/>
                <w:color w:val="auto"/>
                <w:kern w:val="0"/>
                <w:sz w:val="21"/>
                <w:szCs w:val="21"/>
                <w:highlight w:val="none"/>
                <w:lang w:val="en-US" w:eastAsia="zh-CN" w:bidi="ar"/>
              </w:rPr>
              <w:t>注塑循环冷却用水循环使用，需定期</w:t>
            </w:r>
            <w:r>
              <w:rPr>
                <w:rFonts w:hint="eastAsia" w:ascii="宋体" w:hAnsi="宋体" w:cs="宋体"/>
                <w:color w:val="auto"/>
                <w:kern w:val="0"/>
                <w:sz w:val="21"/>
                <w:szCs w:val="21"/>
                <w:highlight w:val="none"/>
                <w:lang w:val="en-US" w:eastAsia="zh-CN" w:bidi="ar"/>
              </w:rPr>
              <w:t>注水新水</w:t>
            </w:r>
            <w:r>
              <w:rPr>
                <w:rFonts w:hint="eastAsia" w:ascii="宋体" w:hAnsi="宋体" w:eastAsia="宋体" w:cs="宋体"/>
                <w:color w:val="auto"/>
                <w:kern w:val="0"/>
                <w:sz w:val="21"/>
                <w:szCs w:val="21"/>
                <w:highlight w:val="none"/>
                <w:lang w:val="en-US" w:eastAsia="zh-CN" w:bidi="ar"/>
              </w:rPr>
              <w:t>，预计每两个月更</w:t>
            </w:r>
            <w:r>
              <w:rPr>
                <w:rFonts w:hint="eastAsia" w:ascii="宋体" w:hAnsi="宋体" w:cs="宋体"/>
                <w:color w:val="auto"/>
                <w:kern w:val="0"/>
                <w:sz w:val="21"/>
                <w:szCs w:val="21"/>
                <w:highlight w:val="none"/>
                <w:lang w:val="en-US" w:eastAsia="zh-CN" w:bidi="ar"/>
              </w:rPr>
              <w:t>新</w:t>
            </w:r>
            <w:r>
              <w:rPr>
                <w:rFonts w:hint="eastAsia" w:ascii="宋体" w:hAnsi="宋体" w:eastAsia="宋体" w:cs="宋体"/>
                <w:color w:val="auto"/>
                <w:kern w:val="0"/>
                <w:sz w:val="21"/>
                <w:szCs w:val="21"/>
                <w:highlight w:val="none"/>
                <w:lang w:val="en-US" w:eastAsia="zh-CN" w:bidi="ar"/>
              </w:rPr>
              <w:t>一次。根据建设单位提供的资料，</w:t>
            </w:r>
            <w:r>
              <w:rPr>
                <w:rFonts w:hint="eastAsia" w:ascii="Times New Roman" w:hAnsi="Times New Roman" w:eastAsia="宋体" w:cs="Times New Roman"/>
                <w:color w:val="auto"/>
                <w:kern w:val="0"/>
                <w:sz w:val="21"/>
                <w:szCs w:val="21"/>
                <w:highlight w:val="none"/>
                <w:lang w:val="en-US" w:eastAsia="zh-CN" w:bidi="ar"/>
              </w:rPr>
              <w:t>项目</w:t>
            </w:r>
            <w:r>
              <w:rPr>
                <w:rFonts w:hint="eastAsia" w:ascii="宋体" w:hAnsi="宋体" w:eastAsia="宋体" w:cs="宋体"/>
                <w:color w:val="auto"/>
                <w:kern w:val="0"/>
                <w:sz w:val="21"/>
                <w:szCs w:val="21"/>
                <w:highlight w:val="none"/>
                <w:lang w:val="en-US" w:eastAsia="zh-CN" w:bidi="ar"/>
              </w:rPr>
              <w:t>注塑循环冷却用水约</w:t>
            </w:r>
            <w:r>
              <w:rPr>
                <w:rFonts w:hint="default" w:ascii="Times New Roman" w:hAnsi="Times New Roman" w:eastAsia="宋体" w:cs="Times New Roman"/>
                <w:color w:val="auto"/>
                <w:kern w:val="0"/>
                <w:sz w:val="21"/>
                <w:szCs w:val="21"/>
                <w:highlight w:val="none"/>
                <w:lang w:val="en-US" w:eastAsia="zh-CN" w:bidi="ar"/>
              </w:rPr>
              <w:t>0.08m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/d（</w:t>
            </w:r>
            <w:r>
              <w:rPr>
                <w:rFonts w:hint="eastAsia" w:ascii="Times New Roman" w:hAnsi="Times New Roman" w:eastAsia="宋体" w:cs="Times New Roman"/>
                <w:color w:val="auto"/>
                <w:kern w:val="0"/>
                <w:sz w:val="21"/>
                <w:szCs w:val="21"/>
                <w:highlight w:val="none"/>
                <w:lang w:val="en-US" w:eastAsia="zh-CN" w:bidi="ar"/>
              </w:rPr>
              <w:t>24</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/a），产污系数按0.85计，则注塑循环冷却废水产生量约</w:t>
            </w:r>
            <w:r>
              <w:rPr>
                <w:rFonts w:hint="default" w:ascii="Times New Roman" w:hAnsi="Times New Roman" w:cs="Times New Roman"/>
                <w:color w:val="auto"/>
                <w:kern w:val="0"/>
                <w:sz w:val="21"/>
                <w:szCs w:val="21"/>
                <w:highlight w:val="none"/>
                <w:lang w:val="en-US" w:eastAsia="zh-CN" w:bidi="ar"/>
              </w:rPr>
              <w:t>0.068</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/d（</w:t>
            </w:r>
            <w:r>
              <w:rPr>
                <w:rFonts w:hint="default" w:ascii="Times New Roman" w:hAnsi="Times New Roman" w:cs="Times New Roman"/>
                <w:color w:val="auto"/>
                <w:kern w:val="0"/>
                <w:sz w:val="21"/>
                <w:szCs w:val="21"/>
                <w:highlight w:val="none"/>
                <w:lang w:val="en-US" w:eastAsia="zh-CN" w:bidi="ar"/>
              </w:rPr>
              <w:t>20.4</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/a）。新水为园区供水管网接入的自来水</w:t>
            </w:r>
            <w:r>
              <w:rPr>
                <w:rFonts w:hint="default" w:ascii="Times New Roman" w:hAnsi="Times New Roman" w:eastAsia="宋体" w:cs="Times New Roman"/>
                <w:b w:val="0"/>
                <w:color w:val="auto"/>
                <w:sz w:val="21"/>
                <w:szCs w:val="21"/>
                <w:highlight w:val="none"/>
              </w:rPr>
              <w:t>。</w:t>
            </w:r>
          </w:p>
          <w:p w14:paraId="5F16BE2D">
            <w:pPr>
              <w:wordWrap/>
              <w:autoSpaceDE w:val="0"/>
              <w:autoSpaceDN w:val="0"/>
              <w:adjustRightInd/>
              <w:snapToGrid/>
              <w:spacing w:line="360" w:lineRule="auto"/>
              <w:ind w:firstLine="422" w:firstLineChars="200"/>
              <w:outlineLvl w:val="9"/>
              <w:rPr>
                <w:rFonts w:ascii="Times New Roman" w:hAnsi="Times New Roman" w:eastAsia="宋体"/>
                <w:b/>
                <w:color w:val="auto"/>
                <w:sz w:val="21"/>
                <w:szCs w:val="21"/>
              </w:rPr>
            </w:pPr>
            <w:r>
              <w:rPr>
                <w:rFonts w:hint="eastAsia" w:ascii="Times New Roman" w:hAnsi="Times New Roman" w:eastAsia="宋体"/>
                <w:b/>
                <w:color w:val="auto"/>
                <w:sz w:val="21"/>
                <w:szCs w:val="21"/>
              </w:rPr>
              <w:t>③地面清洗用水</w:t>
            </w:r>
          </w:p>
          <w:p w14:paraId="2E836DA5">
            <w:pPr>
              <w:bidi w:val="0"/>
              <w:spacing w:line="360" w:lineRule="auto"/>
              <w:ind w:firstLine="420" w:firstLineChars="200"/>
              <w:rPr>
                <w:rFonts w:hint="eastAsia" w:ascii="Times New Roman" w:hAnsi="Times New Roman" w:eastAsia="宋体"/>
                <w:b w:val="0"/>
                <w:color w:val="auto"/>
                <w:sz w:val="21"/>
                <w:szCs w:val="21"/>
              </w:rPr>
            </w:pPr>
            <w:r>
              <w:rPr>
                <w:rFonts w:hint="eastAsia" w:ascii="Times New Roman" w:hAnsi="Times New Roman" w:eastAsia="宋体"/>
                <w:b w:val="0"/>
                <w:color w:val="auto"/>
                <w:sz w:val="21"/>
                <w:szCs w:val="21"/>
              </w:rPr>
              <w:t>根据《建筑给水排水设计标准（2019版）》(GB50015-2019)，地面清洗用水每次以2L/</w:t>
            </w:r>
            <w:r>
              <w:rPr>
                <w:rFonts w:ascii="Times New Roman" w:hAnsi="Times New Roman" w:eastAsia="宋体"/>
                <w:b w:val="0"/>
                <w:color w:val="auto"/>
                <w:sz w:val="21"/>
                <w:szCs w:val="21"/>
              </w:rPr>
              <w:t>m</w:t>
            </w:r>
            <w:r>
              <w:rPr>
                <w:rFonts w:hint="eastAsia" w:ascii="Times New Roman" w:hAnsi="Times New Roman" w:eastAsia="宋体"/>
                <w:b w:val="0"/>
                <w:color w:val="auto"/>
                <w:sz w:val="21"/>
                <w:szCs w:val="21"/>
                <w:vertAlign w:val="superscript"/>
              </w:rPr>
              <w:t>2</w:t>
            </w:r>
            <w:r>
              <w:rPr>
                <w:rFonts w:hint="eastAsia" w:ascii="Times New Roman" w:hAnsi="Times New Roman" w:eastAsia="宋体"/>
                <w:b w:val="0"/>
                <w:color w:val="auto"/>
                <w:sz w:val="21"/>
                <w:szCs w:val="21"/>
              </w:rPr>
              <w:t>.次计，频次为1次/</w:t>
            </w:r>
            <w:r>
              <w:rPr>
                <w:rFonts w:hint="eastAsia"/>
                <w:b w:val="0"/>
                <w:color w:val="auto"/>
                <w:sz w:val="21"/>
                <w:szCs w:val="21"/>
                <w:lang w:val="en-US" w:eastAsia="zh-CN"/>
              </w:rPr>
              <w:t>10</w:t>
            </w:r>
            <w:r>
              <w:rPr>
                <w:rFonts w:hint="eastAsia" w:ascii="Times New Roman" w:hAnsi="Times New Roman" w:eastAsia="宋体"/>
                <w:b w:val="0"/>
                <w:color w:val="auto"/>
                <w:sz w:val="21"/>
                <w:szCs w:val="21"/>
              </w:rPr>
              <w:t>d。项目总建筑面积</w:t>
            </w:r>
            <w:r>
              <w:rPr>
                <w:rFonts w:hint="eastAsia"/>
                <w:b w:val="0"/>
                <w:color w:val="auto"/>
                <w:sz w:val="21"/>
                <w:szCs w:val="21"/>
                <w:lang w:val="en-US" w:eastAsia="zh-CN"/>
              </w:rPr>
              <w:t>9</w:t>
            </w:r>
            <w:r>
              <w:rPr>
                <w:rFonts w:hint="eastAsia" w:ascii="Times New Roman" w:hAnsi="Times New Roman" w:eastAsia="宋体"/>
                <w:b w:val="0"/>
                <w:color w:val="auto"/>
                <w:sz w:val="21"/>
                <w:szCs w:val="21"/>
                <w:lang w:val="en-US" w:eastAsia="zh-CN"/>
              </w:rPr>
              <w:t>320</w:t>
            </w:r>
            <w:r>
              <w:rPr>
                <w:rFonts w:hint="eastAsia" w:ascii="Times New Roman" w:hAnsi="Times New Roman" w:eastAsia="宋体"/>
                <w:b w:val="0"/>
                <w:color w:val="auto"/>
                <w:sz w:val="21"/>
                <w:szCs w:val="21"/>
                <w:shd w:val="clear" w:color="auto" w:fill="FFFFFF"/>
              </w:rPr>
              <w:t>m</w:t>
            </w:r>
            <w:r>
              <w:rPr>
                <w:rFonts w:hint="eastAsia" w:ascii="Times New Roman" w:hAnsi="Times New Roman" w:eastAsia="宋体"/>
                <w:b w:val="0"/>
                <w:color w:val="auto"/>
                <w:sz w:val="21"/>
                <w:szCs w:val="21"/>
                <w:shd w:val="clear" w:color="auto" w:fill="FFFFFF"/>
                <w:vertAlign w:val="superscript"/>
              </w:rPr>
              <w:t>2</w:t>
            </w:r>
            <w:r>
              <w:rPr>
                <w:rFonts w:hint="eastAsia" w:ascii="Times New Roman" w:hAnsi="Times New Roman" w:eastAsia="宋体"/>
                <w:b w:val="0"/>
                <w:color w:val="auto"/>
                <w:sz w:val="21"/>
                <w:szCs w:val="21"/>
              </w:rPr>
              <w:t>，保洁区域按总面积的70%计，则地面清洗最大用水量为</w:t>
            </w:r>
            <w:r>
              <w:rPr>
                <w:rFonts w:hint="eastAsia" w:ascii="Times New Roman" w:hAnsi="Times New Roman" w:eastAsia="宋体"/>
                <w:b w:val="0"/>
                <w:color w:val="auto"/>
                <w:sz w:val="21"/>
                <w:szCs w:val="21"/>
                <w:lang w:val="en-US" w:eastAsia="zh-CN"/>
              </w:rPr>
              <w:t>1</w:t>
            </w:r>
            <w:r>
              <w:rPr>
                <w:rFonts w:hint="eastAsia"/>
                <w:b w:val="0"/>
                <w:color w:val="auto"/>
                <w:sz w:val="21"/>
                <w:szCs w:val="21"/>
                <w:lang w:val="en-US" w:eastAsia="zh-CN"/>
              </w:rPr>
              <w:t>3.048</w:t>
            </w:r>
            <w:r>
              <w:rPr>
                <w:rFonts w:hint="eastAsia" w:ascii="Times New Roman" w:hAnsi="Times New Roman" w:eastAsia="宋体"/>
                <w:b w:val="0"/>
                <w:color w:val="auto"/>
                <w:sz w:val="21"/>
                <w:szCs w:val="21"/>
                <w:shd w:val="clear" w:color="auto" w:fill="FFFFFF"/>
              </w:rPr>
              <w:t>m</w:t>
            </w:r>
            <w:r>
              <w:rPr>
                <w:rFonts w:hint="eastAsia" w:ascii="Times New Roman" w:hAnsi="Times New Roman" w:eastAsia="宋体"/>
                <w:b w:val="0"/>
                <w:color w:val="auto"/>
                <w:sz w:val="21"/>
                <w:szCs w:val="21"/>
                <w:shd w:val="clear" w:color="auto" w:fill="FFFFFF"/>
                <w:vertAlign w:val="superscript"/>
              </w:rPr>
              <w:t>3</w:t>
            </w:r>
            <w:r>
              <w:rPr>
                <w:rFonts w:hint="eastAsia" w:ascii="Times New Roman" w:hAnsi="Times New Roman" w:eastAsia="宋体"/>
                <w:b w:val="0"/>
                <w:color w:val="auto"/>
                <w:sz w:val="21"/>
                <w:szCs w:val="21"/>
                <w:shd w:val="clear" w:color="auto" w:fill="FFFFFF"/>
              </w:rPr>
              <w:t>/次，</w:t>
            </w:r>
            <w:r>
              <w:rPr>
                <w:rFonts w:hint="eastAsia" w:ascii="Times New Roman" w:hAnsi="Times New Roman" w:eastAsia="宋体"/>
                <w:b w:val="0"/>
                <w:color w:val="auto"/>
                <w:sz w:val="21"/>
                <w:szCs w:val="21"/>
              </w:rPr>
              <w:t>平均折算日用水量为</w:t>
            </w:r>
            <w:r>
              <w:rPr>
                <w:rFonts w:hint="eastAsia"/>
                <w:b w:val="0"/>
                <w:color w:val="auto"/>
                <w:sz w:val="21"/>
                <w:szCs w:val="21"/>
                <w:lang w:val="en-US" w:eastAsia="zh-CN"/>
              </w:rPr>
              <w:t>1.305</w:t>
            </w:r>
            <w:r>
              <w:rPr>
                <w:rFonts w:ascii="Times New Roman" w:hAnsi="Times New Roman" w:eastAsia="宋体"/>
                <w:b w:val="0"/>
                <w:color w:val="auto"/>
                <w:sz w:val="21"/>
                <w:szCs w:val="21"/>
              </w:rPr>
              <w:t>m</w:t>
            </w:r>
            <w:r>
              <w:rPr>
                <w:rFonts w:hint="eastAsia" w:ascii="Times New Roman" w:hAnsi="Times New Roman" w:eastAsia="宋体"/>
                <w:b w:val="0"/>
                <w:color w:val="auto"/>
                <w:sz w:val="21"/>
                <w:szCs w:val="21"/>
                <w:vertAlign w:val="superscript"/>
              </w:rPr>
              <w:t>3</w:t>
            </w:r>
            <w:r>
              <w:rPr>
                <w:rFonts w:hint="eastAsia" w:ascii="Times New Roman" w:hAnsi="Times New Roman" w:eastAsia="宋体"/>
                <w:b w:val="0"/>
                <w:color w:val="auto"/>
                <w:sz w:val="21"/>
                <w:szCs w:val="21"/>
              </w:rPr>
              <w:t>/d，</w:t>
            </w:r>
            <w:r>
              <w:rPr>
                <w:rFonts w:hint="eastAsia"/>
                <w:b w:val="0"/>
                <w:color w:val="auto"/>
                <w:sz w:val="21"/>
                <w:szCs w:val="21"/>
                <w:lang w:val="en-US" w:eastAsia="zh-CN"/>
              </w:rPr>
              <w:t>391.44</w:t>
            </w:r>
            <w:r>
              <w:rPr>
                <w:rFonts w:ascii="Times New Roman" w:hAnsi="Times New Roman" w:eastAsia="宋体"/>
                <w:b w:val="0"/>
                <w:color w:val="auto"/>
                <w:sz w:val="21"/>
                <w:szCs w:val="21"/>
              </w:rPr>
              <w:t>m</w:t>
            </w:r>
            <w:r>
              <w:rPr>
                <w:rFonts w:hint="eastAsia" w:ascii="Times New Roman" w:hAnsi="Times New Roman" w:eastAsia="宋体"/>
                <w:b w:val="0"/>
                <w:color w:val="auto"/>
                <w:sz w:val="21"/>
                <w:szCs w:val="21"/>
                <w:vertAlign w:val="superscript"/>
              </w:rPr>
              <w:t>3</w:t>
            </w:r>
            <w:r>
              <w:rPr>
                <w:rFonts w:hint="eastAsia" w:ascii="Times New Roman" w:hAnsi="Times New Roman" w:eastAsia="宋体"/>
                <w:b w:val="0"/>
                <w:color w:val="auto"/>
                <w:sz w:val="21"/>
                <w:szCs w:val="21"/>
              </w:rPr>
              <w:t>/a。</w:t>
            </w:r>
            <w:r>
              <w:rPr>
                <w:rFonts w:ascii="Times New Roman" w:hAnsi="Times New Roman" w:eastAsia="宋体"/>
                <w:b w:val="0"/>
                <w:color w:val="auto"/>
                <w:sz w:val="21"/>
                <w:szCs w:val="21"/>
              </w:rPr>
              <w:t>废水排放量按用水量的85%计，则地面清洗废水排放量</w:t>
            </w:r>
            <w:r>
              <w:rPr>
                <w:rFonts w:hint="eastAsia" w:ascii="Times New Roman" w:hAnsi="Times New Roman" w:eastAsia="宋体"/>
                <w:b w:val="0"/>
                <w:color w:val="auto"/>
                <w:sz w:val="21"/>
                <w:szCs w:val="21"/>
                <w:lang w:val="en-US" w:eastAsia="zh-CN"/>
              </w:rPr>
              <w:t>1.</w:t>
            </w:r>
            <w:r>
              <w:rPr>
                <w:rFonts w:hint="eastAsia"/>
                <w:b w:val="0"/>
                <w:color w:val="auto"/>
                <w:sz w:val="21"/>
                <w:szCs w:val="21"/>
                <w:lang w:val="en-US" w:eastAsia="zh-CN"/>
              </w:rPr>
              <w:t>1</w:t>
            </w:r>
            <w:r>
              <w:rPr>
                <w:rFonts w:hint="eastAsia" w:ascii="Times New Roman" w:hAnsi="Times New Roman" w:eastAsia="宋体"/>
                <w:b w:val="0"/>
                <w:color w:val="auto"/>
                <w:sz w:val="21"/>
                <w:szCs w:val="21"/>
                <w:lang w:val="en-US" w:eastAsia="zh-CN"/>
              </w:rPr>
              <w:t>1</w:t>
            </w:r>
            <w:r>
              <w:rPr>
                <w:rFonts w:ascii="Times New Roman" w:hAnsi="Times New Roman" w:eastAsia="宋体"/>
                <w:b w:val="0"/>
                <w:color w:val="auto"/>
                <w:sz w:val="21"/>
                <w:szCs w:val="21"/>
              </w:rPr>
              <w:t>m</w:t>
            </w:r>
            <w:r>
              <w:rPr>
                <w:rFonts w:hint="eastAsia" w:ascii="Times New Roman" w:hAnsi="Times New Roman" w:eastAsia="宋体"/>
                <w:b w:val="0"/>
                <w:color w:val="auto"/>
                <w:sz w:val="21"/>
                <w:szCs w:val="21"/>
                <w:vertAlign w:val="superscript"/>
              </w:rPr>
              <w:t>3</w:t>
            </w:r>
            <w:r>
              <w:rPr>
                <w:rFonts w:hint="eastAsia" w:ascii="Times New Roman" w:hAnsi="Times New Roman" w:eastAsia="宋体"/>
                <w:b w:val="0"/>
                <w:color w:val="auto"/>
                <w:sz w:val="21"/>
                <w:szCs w:val="21"/>
              </w:rPr>
              <w:t>/d，</w:t>
            </w:r>
            <w:r>
              <w:rPr>
                <w:rFonts w:hint="eastAsia"/>
                <w:b w:val="0"/>
                <w:color w:val="auto"/>
                <w:sz w:val="21"/>
                <w:szCs w:val="21"/>
                <w:lang w:val="en-US" w:eastAsia="zh-CN"/>
              </w:rPr>
              <w:t>332.72</w:t>
            </w:r>
            <w:r>
              <w:rPr>
                <w:rFonts w:ascii="Times New Roman" w:hAnsi="Times New Roman" w:eastAsia="宋体"/>
                <w:b w:val="0"/>
                <w:color w:val="auto"/>
                <w:sz w:val="21"/>
                <w:szCs w:val="21"/>
              </w:rPr>
              <w:t>m</w:t>
            </w:r>
            <w:r>
              <w:rPr>
                <w:rFonts w:hint="eastAsia" w:ascii="Times New Roman" w:hAnsi="Times New Roman" w:eastAsia="宋体"/>
                <w:b w:val="0"/>
                <w:color w:val="auto"/>
                <w:sz w:val="21"/>
                <w:szCs w:val="21"/>
                <w:vertAlign w:val="superscript"/>
              </w:rPr>
              <w:t>3</w:t>
            </w:r>
            <w:r>
              <w:rPr>
                <w:rFonts w:hint="eastAsia" w:ascii="Times New Roman" w:hAnsi="Times New Roman" w:eastAsia="宋体"/>
                <w:b w:val="0"/>
                <w:color w:val="auto"/>
                <w:sz w:val="21"/>
                <w:szCs w:val="21"/>
              </w:rPr>
              <w:t>/a。</w:t>
            </w:r>
          </w:p>
          <w:p w14:paraId="691AE28B">
            <w:pPr>
              <w:pStyle w:val="5"/>
              <w:tabs>
                <w:tab w:val="left" w:pos="914"/>
              </w:tabs>
              <w:spacing w:line="360" w:lineRule="auto"/>
              <w:ind w:left="0" w:leftChars="0" w:firstLine="422" w:firstLineChars="200"/>
              <w:rPr>
                <w:rFonts w:hint="eastAsia"/>
                <w:color w:val="auto"/>
                <w:sz w:val="21"/>
                <w:szCs w:val="21"/>
                <w:highlight w:val="none"/>
                <w:lang w:val="en-US" w:eastAsia="zh-CN"/>
              </w:rPr>
            </w:pPr>
            <w:r>
              <w:rPr>
                <w:rFonts w:hint="eastAsia"/>
                <w:color w:val="auto"/>
                <w:sz w:val="21"/>
                <w:szCs w:val="21"/>
                <w:highlight w:val="none"/>
                <w:lang w:val="en-US" w:eastAsia="zh-CN"/>
              </w:rPr>
              <w:t>④喷漆用水</w:t>
            </w:r>
          </w:p>
          <w:p w14:paraId="121AC7E5">
            <w:pPr>
              <w:keepNext w:val="0"/>
              <w:keepLines w:val="0"/>
              <w:widowControl/>
              <w:suppressLineNumbers w:val="0"/>
              <w:spacing w:line="360" w:lineRule="auto"/>
              <w:ind w:firstLine="420" w:firstLineChars="200"/>
              <w:jc w:val="left"/>
              <w:rPr>
                <w:rFonts w:hint="default"/>
                <w:color w:val="auto"/>
                <w:sz w:val="21"/>
                <w:szCs w:val="21"/>
                <w:lang w:val="en-US"/>
              </w:rPr>
            </w:pPr>
            <w:r>
              <w:rPr>
                <w:rFonts w:hint="eastAsia" w:ascii="宋体" w:hAnsi="宋体" w:eastAsia="宋体" w:cs="宋体"/>
                <w:color w:val="auto"/>
                <w:kern w:val="0"/>
                <w:sz w:val="21"/>
                <w:szCs w:val="21"/>
                <w:lang w:val="en-US" w:eastAsia="zh-CN" w:bidi="ar"/>
              </w:rPr>
              <w:t>项目使用</w:t>
            </w:r>
            <w:r>
              <w:rPr>
                <w:rFonts w:hint="eastAsia" w:ascii="宋体" w:hAnsi="宋体" w:cs="宋体"/>
                <w:color w:val="auto"/>
                <w:kern w:val="0"/>
                <w:sz w:val="21"/>
                <w:szCs w:val="21"/>
                <w:lang w:val="en-US" w:eastAsia="zh-CN" w:bidi="ar"/>
              </w:rPr>
              <w:t>水帘</w:t>
            </w:r>
            <w:r>
              <w:rPr>
                <w:rFonts w:hint="eastAsia" w:ascii="宋体" w:hAnsi="宋体" w:eastAsia="宋体" w:cs="宋体"/>
                <w:color w:val="auto"/>
                <w:kern w:val="0"/>
                <w:sz w:val="21"/>
                <w:szCs w:val="21"/>
                <w:lang w:val="en-US" w:eastAsia="zh-CN" w:bidi="ar"/>
              </w:rPr>
              <w:t>喷漆房，漆房为上送风下抽风式，将喷漆作业中产生的含有漆雾的废气迅速引至地板格栅以下的水旋器内，将其中的大部分漆雾带到水中，喷漆房下方设有循环过滤池，喷漆废水在过滤池内絮凝沉淀（加絮凝剂）处理后循环使用（</w:t>
            </w:r>
            <w:r>
              <w:rPr>
                <w:rFonts w:hint="eastAsia" w:ascii="宋体" w:hAnsi="宋体" w:cs="宋体"/>
                <w:color w:val="auto"/>
                <w:kern w:val="0"/>
                <w:sz w:val="21"/>
                <w:szCs w:val="21"/>
                <w:lang w:val="en-US" w:eastAsia="zh-CN" w:bidi="ar"/>
              </w:rPr>
              <w:t>每个漆房循环水量</w:t>
            </w:r>
            <w:r>
              <w:rPr>
                <w:rFonts w:hint="eastAsia" w:cs="Times New Roman"/>
                <w:color w:val="auto"/>
                <w:kern w:val="0"/>
                <w:sz w:val="21"/>
                <w:szCs w:val="21"/>
                <w:lang w:val="en-US" w:eastAsia="zh-CN" w:bidi="ar"/>
              </w:rPr>
              <w:t>1.5</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highlight w:val="none"/>
                <w:lang w:val="en-US" w:eastAsia="zh-CN" w:bidi="ar"/>
              </w:rPr>
              <w:t>需定期更换，预计每</w:t>
            </w:r>
            <w:r>
              <w:rPr>
                <w:rFonts w:hint="eastAsia" w:ascii="宋体" w:hAnsi="宋体" w:cs="宋体"/>
                <w:color w:val="auto"/>
                <w:kern w:val="0"/>
                <w:sz w:val="21"/>
                <w:szCs w:val="21"/>
                <w:highlight w:val="none"/>
                <w:lang w:val="en-US" w:eastAsia="zh-CN" w:bidi="ar"/>
              </w:rPr>
              <w:t>三</w:t>
            </w:r>
            <w:r>
              <w:rPr>
                <w:rFonts w:hint="eastAsia" w:ascii="宋体" w:hAnsi="宋体" w:eastAsia="宋体" w:cs="宋体"/>
                <w:color w:val="auto"/>
                <w:kern w:val="0"/>
                <w:sz w:val="21"/>
                <w:szCs w:val="21"/>
                <w:highlight w:val="none"/>
                <w:lang w:val="en-US" w:eastAsia="zh-CN" w:bidi="ar"/>
              </w:rPr>
              <w:t>个月更换一次</w:t>
            </w:r>
            <w:r>
              <w:rPr>
                <w:rFonts w:hint="eastAsia" w:ascii="宋体" w:hAnsi="宋体" w:cs="宋体"/>
                <w:color w:val="auto"/>
                <w:kern w:val="0"/>
                <w:sz w:val="21"/>
                <w:szCs w:val="21"/>
                <w:highlight w:val="none"/>
                <w:lang w:val="en-US" w:eastAsia="zh-CN" w:bidi="ar"/>
              </w:rPr>
              <w:t>，更换下的喷漆废水为危废，暂存危废间，由有资质的公司处置</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highlight w:val="none"/>
                <w:lang w:val="en-US" w:eastAsia="zh-CN" w:bidi="ar"/>
              </w:rPr>
              <w:t>根据建设单位提供的资料，</w:t>
            </w:r>
            <w:r>
              <w:rPr>
                <w:rFonts w:hint="eastAsia" w:ascii="宋体" w:hAnsi="宋体" w:cs="宋体"/>
                <w:color w:val="auto"/>
                <w:kern w:val="0"/>
                <w:sz w:val="21"/>
                <w:szCs w:val="21"/>
                <w:highlight w:val="none"/>
                <w:lang w:val="en-US" w:eastAsia="zh-CN" w:bidi="ar"/>
              </w:rPr>
              <w:t>项目</w:t>
            </w:r>
            <w:r>
              <w:rPr>
                <w:rFonts w:hint="eastAsia" w:ascii="宋体" w:hAnsi="宋体" w:eastAsia="宋体" w:cs="宋体"/>
                <w:color w:val="auto"/>
                <w:kern w:val="0"/>
                <w:sz w:val="21"/>
                <w:szCs w:val="21"/>
                <w:lang w:val="en-US" w:eastAsia="zh-CN" w:bidi="ar"/>
              </w:rPr>
              <w:t>每个过滤池循环水量预计</w:t>
            </w:r>
            <w:r>
              <w:rPr>
                <w:rFonts w:hint="default" w:ascii="Times New Roman" w:hAnsi="Times New Roman" w:eastAsia="宋体" w:cs="Times New Roman"/>
                <w:color w:val="auto"/>
                <w:kern w:val="0"/>
                <w:sz w:val="21"/>
                <w:szCs w:val="21"/>
                <w:lang w:val="en-US" w:eastAsia="zh-CN" w:bidi="ar"/>
              </w:rPr>
              <w:t>20天</w:t>
            </w:r>
            <w:r>
              <w:rPr>
                <w:rFonts w:hint="eastAsia" w:ascii="宋体" w:hAnsi="宋体" w:eastAsia="宋体" w:cs="宋体"/>
                <w:color w:val="auto"/>
                <w:kern w:val="0"/>
                <w:sz w:val="21"/>
                <w:szCs w:val="21"/>
                <w:lang w:val="en-US" w:eastAsia="zh-CN" w:bidi="ar"/>
              </w:rPr>
              <w:t>完全换新一次，项目</w:t>
            </w:r>
            <w:r>
              <w:rPr>
                <w:rFonts w:hint="eastAsia" w:cs="Times New Roman"/>
                <w:color w:val="auto"/>
                <w:kern w:val="0"/>
                <w:sz w:val="21"/>
                <w:szCs w:val="21"/>
                <w:lang w:val="en-US" w:eastAsia="zh-CN" w:bidi="ar"/>
              </w:rPr>
              <w:t>10</w:t>
            </w:r>
            <w:r>
              <w:rPr>
                <w:rFonts w:hint="eastAsia" w:ascii="宋体" w:hAnsi="宋体" w:eastAsia="宋体" w:cs="宋体"/>
                <w:color w:val="auto"/>
                <w:kern w:val="0"/>
                <w:sz w:val="21"/>
                <w:szCs w:val="21"/>
                <w:lang w:val="en-US" w:eastAsia="zh-CN" w:bidi="ar"/>
              </w:rPr>
              <w:t>个水帘喷房</w:t>
            </w:r>
            <w:r>
              <w:rPr>
                <w:rFonts w:hint="eastAsia" w:ascii="宋体" w:hAnsi="宋体" w:cs="宋体"/>
                <w:color w:val="auto"/>
                <w:kern w:val="0"/>
                <w:sz w:val="21"/>
                <w:szCs w:val="21"/>
                <w:lang w:val="en-US" w:eastAsia="zh-CN" w:bidi="ar"/>
              </w:rPr>
              <w:t>过滤池</w:t>
            </w:r>
            <w:r>
              <w:rPr>
                <w:rFonts w:hint="eastAsia" w:ascii="宋体" w:hAnsi="宋体" w:eastAsia="宋体" w:cs="宋体"/>
                <w:color w:val="auto"/>
                <w:kern w:val="0"/>
                <w:sz w:val="21"/>
                <w:szCs w:val="21"/>
                <w:lang w:val="en-US" w:eastAsia="zh-CN" w:bidi="ar"/>
              </w:rPr>
              <w:t>循环水年</w:t>
            </w:r>
            <w:r>
              <w:rPr>
                <w:rFonts w:hint="eastAsia" w:ascii="宋体" w:hAnsi="宋体" w:cs="宋体"/>
                <w:color w:val="auto"/>
                <w:kern w:val="0"/>
                <w:sz w:val="21"/>
                <w:szCs w:val="21"/>
                <w:lang w:val="en-US" w:eastAsia="zh-CN" w:bidi="ar"/>
              </w:rPr>
              <w:t>用水</w:t>
            </w:r>
            <w:r>
              <w:rPr>
                <w:rFonts w:hint="eastAsia" w:ascii="宋体" w:hAnsi="宋体" w:eastAsia="宋体" w:cs="宋体"/>
                <w:color w:val="auto"/>
                <w:kern w:val="0"/>
                <w:sz w:val="21"/>
                <w:szCs w:val="21"/>
                <w:lang w:val="en-US" w:eastAsia="zh-CN" w:bidi="ar"/>
              </w:rPr>
              <w:t>量为</w:t>
            </w:r>
            <w:r>
              <w:rPr>
                <w:rFonts w:hint="default" w:ascii="Times New Roman" w:hAnsi="Times New Roman" w:cs="Times New Roman"/>
                <w:color w:val="auto"/>
                <w:kern w:val="0"/>
                <w:sz w:val="21"/>
                <w:szCs w:val="21"/>
                <w:lang w:val="en-US" w:eastAsia="zh-CN" w:bidi="ar"/>
              </w:rPr>
              <w:t>0.75</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/d</w:t>
            </w:r>
            <w:r>
              <w:rPr>
                <w:rFonts w:hint="eastAsia" w:cs="Times New Roman"/>
                <w:color w:val="auto"/>
                <w:kern w:val="0"/>
                <w:sz w:val="21"/>
                <w:szCs w:val="21"/>
                <w:highlight w:val="none"/>
                <w:lang w:val="en-US" w:eastAsia="zh-CN" w:bidi="ar"/>
              </w:rPr>
              <w:t>（</w:t>
            </w:r>
            <w:r>
              <w:rPr>
                <w:rFonts w:hint="eastAsia" w:cs="Times New Roman"/>
                <w:color w:val="auto"/>
                <w:kern w:val="0"/>
                <w:sz w:val="21"/>
                <w:szCs w:val="21"/>
                <w:lang w:val="en-US" w:eastAsia="zh-CN" w:bidi="ar"/>
              </w:rPr>
              <w:t>225</w:t>
            </w:r>
            <w:r>
              <w:rPr>
                <w:rFonts w:hint="default" w:ascii="Times New Roman" w:hAnsi="Times New Roman" w:eastAsia="宋体" w:cs="Times New Roman"/>
                <w:color w:val="auto"/>
                <w:kern w:val="0"/>
                <w:sz w:val="21"/>
                <w:szCs w:val="21"/>
                <w:lang w:val="en-US" w:eastAsia="zh-CN" w:bidi="ar"/>
              </w:rPr>
              <w:t>t/a</w:t>
            </w:r>
            <w:r>
              <w:rPr>
                <w:rFonts w:hint="eastAsia" w:cs="Times New Roman"/>
                <w:color w:val="auto"/>
                <w:kern w:val="0"/>
                <w:sz w:val="21"/>
                <w:szCs w:val="21"/>
                <w:highlight w:val="none"/>
                <w:lang w:val="en-US" w:eastAsia="zh-CN" w:bidi="ar"/>
              </w:rPr>
              <w:t>），根据更换频率，产污系数按循环水量的0.8计，喷漆废水产生量约为0.16</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/d</w:t>
            </w:r>
            <w:r>
              <w:rPr>
                <w:rFonts w:hint="eastAsia" w:cs="Times New Roman"/>
                <w:color w:val="auto"/>
                <w:kern w:val="0"/>
                <w:sz w:val="21"/>
                <w:szCs w:val="21"/>
                <w:highlight w:val="none"/>
                <w:lang w:val="en-US" w:eastAsia="zh-CN" w:bidi="ar"/>
              </w:rPr>
              <w:t>（48</w:t>
            </w:r>
            <w:r>
              <w:rPr>
                <w:rFonts w:hint="default" w:ascii="Times New Roman" w:hAnsi="Times New Roman" w:eastAsia="宋体" w:cs="Times New Roman"/>
                <w:color w:val="auto"/>
                <w:kern w:val="0"/>
                <w:sz w:val="21"/>
                <w:szCs w:val="21"/>
                <w:lang w:val="en-US" w:eastAsia="zh-CN" w:bidi="ar"/>
              </w:rPr>
              <w:t>t/a</w:t>
            </w:r>
            <w:r>
              <w:rPr>
                <w:rFonts w:hint="eastAsia" w:cs="Times New Roman"/>
                <w:color w:val="auto"/>
                <w:kern w:val="0"/>
                <w:sz w:val="21"/>
                <w:szCs w:val="21"/>
                <w:highlight w:val="none"/>
                <w:lang w:val="en-US" w:eastAsia="zh-CN" w:bidi="ar"/>
              </w:rPr>
              <w:t>）</w:t>
            </w:r>
            <w:r>
              <w:rPr>
                <w:rFonts w:hint="eastAsia" w:ascii="宋体" w:hAnsi="宋体" w:cs="宋体"/>
                <w:color w:val="auto"/>
                <w:kern w:val="0"/>
                <w:sz w:val="21"/>
                <w:szCs w:val="21"/>
                <w:lang w:val="en-US" w:eastAsia="zh-CN" w:bidi="ar"/>
              </w:rPr>
              <w:t>。</w:t>
            </w:r>
          </w:p>
          <w:p w14:paraId="5F659776">
            <w:pPr>
              <w:wordWrap/>
              <w:autoSpaceDE w:val="0"/>
              <w:autoSpaceDN w:val="0"/>
              <w:adjustRightInd w:val="0"/>
              <w:snapToGrid w:val="0"/>
              <w:spacing w:line="360" w:lineRule="auto"/>
              <w:ind w:firstLine="422" w:firstLineChars="200"/>
              <w:outlineLvl w:val="9"/>
              <w:rPr>
                <w:rFonts w:ascii="Times New Roman" w:hAnsi="Times New Roman" w:eastAsia="宋体"/>
                <w:b/>
                <w:bCs/>
                <w:color w:val="auto"/>
                <w:sz w:val="21"/>
                <w:szCs w:val="21"/>
              </w:rPr>
            </w:pPr>
            <w:r>
              <w:rPr>
                <w:rFonts w:hint="eastAsia" w:ascii="宋体" w:hAnsi="宋体" w:eastAsia="宋体"/>
                <w:b/>
                <w:bCs/>
                <w:color w:val="auto"/>
                <w:sz w:val="21"/>
                <w:szCs w:val="21"/>
              </w:rPr>
              <w:t>（2）</w:t>
            </w:r>
            <w:r>
              <w:rPr>
                <w:rFonts w:hint="eastAsia" w:ascii="Times New Roman" w:hAnsi="Times New Roman" w:eastAsia="宋体"/>
                <w:b/>
                <w:bCs/>
                <w:color w:val="auto"/>
                <w:sz w:val="21"/>
                <w:szCs w:val="21"/>
              </w:rPr>
              <w:t>排水</w:t>
            </w:r>
          </w:p>
          <w:p w14:paraId="5E256169">
            <w:pPr>
              <w:wordWrap/>
              <w:autoSpaceDE w:val="0"/>
              <w:autoSpaceDN w:val="0"/>
              <w:adjustRightInd w:val="0"/>
              <w:snapToGrid w:val="0"/>
              <w:spacing w:line="360" w:lineRule="auto"/>
              <w:ind w:firstLine="420" w:firstLineChars="200"/>
              <w:outlineLvl w:val="9"/>
              <w:rPr>
                <w:rFonts w:ascii="Times New Roman" w:hAnsi="Times New Roman" w:eastAsia="宋体"/>
                <w:b w:val="0"/>
                <w:color w:val="auto"/>
                <w:sz w:val="21"/>
                <w:szCs w:val="21"/>
              </w:rPr>
            </w:pPr>
            <w:r>
              <w:rPr>
                <w:rFonts w:hint="eastAsia" w:ascii="Times New Roman" w:hAnsi="Times New Roman" w:eastAsia="宋体"/>
                <w:b w:val="0"/>
                <w:color w:val="auto"/>
                <w:sz w:val="21"/>
                <w:szCs w:val="21"/>
              </w:rPr>
              <w:t>本项目排水实行雨污分流，</w:t>
            </w:r>
            <w:r>
              <w:rPr>
                <w:rFonts w:hint="eastAsia" w:ascii="宋体" w:hAnsi="宋体" w:eastAsia="宋体" w:cs="宋体"/>
                <w:color w:val="auto"/>
                <w:kern w:val="0"/>
                <w:sz w:val="21"/>
                <w:szCs w:val="21"/>
                <w:highlight w:val="none"/>
                <w:lang w:val="en-US" w:eastAsia="zh-CN" w:bidi="ar"/>
              </w:rPr>
              <w:t>注塑循环冷却废水</w:t>
            </w:r>
            <w:r>
              <w:rPr>
                <w:rFonts w:hint="eastAsia" w:ascii="宋体" w:hAnsi="宋体" w:cs="宋体"/>
                <w:color w:val="auto"/>
                <w:kern w:val="0"/>
                <w:sz w:val="21"/>
                <w:szCs w:val="21"/>
                <w:highlight w:val="none"/>
                <w:lang w:val="en-US" w:eastAsia="zh-CN" w:bidi="ar"/>
              </w:rPr>
              <w:t>、</w:t>
            </w:r>
            <w:r>
              <w:rPr>
                <w:rFonts w:ascii="Times New Roman" w:hAnsi="Times New Roman" w:eastAsia="宋体"/>
                <w:b w:val="0"/>
                <w:color w:val="auto"/>
                <w:sz w:val="21"/>
                <w:szCs w:val="21"/>
              </w:rPr>
              <w:t>生活污水</w:t>
            </w:r>
            <w:r>
              <w:rPr>
                <w:rFonts w:hint="eastAsia"/>
                <w:b w:val="0"/>
                <w:color w:val="auto"/>
                <w:sz w:val="21"/>
                <w:szCs w:val="21"/>
                <w:lang w:eastAsia="zh-CN"/>
              </w:rPr>
              <w:t>、</w:t>
            </w:r>
            <w:r>
              <w:rPr>
                <w:rFonts w:hint="eastAsia"/>
                <w:b w:val="0"/>
                <w:color w:val="auto"/>
                <w:sz w:val="21"/>
                <w:szCs w:val="21"/>
                <w:lang w:val="en-US" w:eastAsia="zh-CN"/>
              </w:rPr>
              <w:t>地面清洗废水</w:t>
            </w:r>
            <w:r>
              <w:rPr>
                <w:rFonts w:ascii="Times New Roman" w:hAnsi="Times New Roman" w:eastAsia="宋体"/>
                <w:b w:val="0"/>
                <w:color w:val="auto"/>
                <w:sz w:val="21"/>
                <w:szCs w:val="21"/>
              </w:rPr>
              <w:t>经厂区已建预处理池收集处理后，进入市政污水管网</w:t>
            </w:r>
            <w:r>
              <w:rPr>
                <w:rFonts w:hint="eastAsia" w:ascii="Times New Roman" w:hAnsi="Times New Roman" w:eastAsia="宋体"/>
                <w:b w:val="0"/>
                <w:color w:val="auto"/>
                <w:sz w:val="21"/>
                <w:szCs w:val="21"/>
              </w:rPr>
              <w:t>，</w:t>
            </w:r>
            <w:r>
              <w:rPr>
                <w:rFonts w:ascii="Times New Roman" w:hAnsi="Times New Roman" w:eastAsia="宋体"/>
                <w:b w:val="0"/>
                <w:color w:val="auto"/>
                <w:sz w:val="21"/>
                <w:szCs w:val="21"/>
              </w:rPr>
              <w:t>最终由</w:t>
            </w:r>
            <w:r>
              <w:rPr>
                <w:kern w:val="0"/>
                <w:szCs w:val="21"/>
              </w:rPr>
              <w:t>蓬溪经开区污水处理厂</w:t>
            </w:r>
            <w:r>
              <w:rPr>
                <w:rFonts w:ascii="Times New Roman" w:hAnsi="Times New Roman" w:eastAsia="宋体"/>
                <w:b w:val="0"/>
                <w:color w:val="auto"/>
                <w:sz w:val="21"/>
                <w:szCs w:val="21"/>
              </w:rPr>
              <w:t>处理达到</w:t>
            </w:r>
            <w:r>
              <w:rPr>
                <w:rFonts w:hint="eastAsia"/>
                <w:b w:val="0"/>
                <w:color w:val="auto"/>
                <w:sz w:val="21"/>
                <w:szCs w:val="21"/>
                <w:lang w:eastAsia="zh-CN"/>
              </w:rPr>
              <w:t>《城镇污水处理厂污染物排放标准》（GB18918-2002）一级A标准</w:t>
            </w:r>
            <w:r>
              <w:rPr>
                <w:rFonts w:ascii="Times New Roman" w:hAnsi="Times New Roman" w:eastAsia="宋体"/>
                <w:b w:val="0"/>
                <w:color w:val="auto"/>
                <w:sz w:val="21"/>
                <w:szCs w:val="21"/>
              </w:rPr>
              <w:t>后排入</w:t>
            </w:r>
            <w:r>
              <w:rPr>
                <w:rFonts w:hint="eastAsia"/>
                <w:b w:val="0"/>
                <w:color w:val="auto"/>
                <w:sz w:val="21"/>
                <w:szCs w:val="21"/>
                <w:lang w:eastAsia="zh-CN"/>
              </w:rPr>
              <w:t>芝溪河</w:t>
            </w:r>
            <w:r>
              <w:rPr>
                <w:rFonts w:ascii="Times New Roman" w:hAnsi="Times New Roman" w:eastAsia="宋体"/>
                <w:b w:val="0"/>
                <w:color w:val="auto"/>
                <w:sz w:val="21"/>
                <w:szCs w:val="21"/>
              </w:rPr>
              <w:t>。</w:t>
            </w:r>
          </w:p>
          <w:p w14:paraId="5537F231">
            <w:pPr>
              <w:bidi w:val="0"/>
              <w:spacing w:line="360" w:lineRule="auto"/>
              <w:rPr>
                <w:rFonts w:ascii="Times New Roman" w:hAnsi="Times New Roman" w:eastAsia="宋体"/>
                <w:b w:val="0"/>
                <w:color w:val="auto"/>
                <w:sz w:val="21"/>
                <w:szCs w:val="21"/>
              </w:rPr>
            </w:pPr>
            <w:r>
              <w:rPr>
                <w:rFonts w:ascii="Times New Roman" w:hAnsi="Times New Roman" w:eastAsia="宋体"/>
                <w:b w:val="0"/>
                <w:color w:val="auto"/>
                <w:sz w:val="21"/>
                <w:szCs w:val="21"/>
              </w:rPr>
              <w:t>本项目水平衡见下图：</w:t>
            </w:r>
          </w:p>
          <w:p w14:paraId="3F73FAE8">
            <w:pPr>
              <w:bidi w:val="0"/>
              <w:jc w:val="center"/>
              <w:rPr>
                <w:rFonts w:hint="default"/>
                <w:b/>
                <w:bCs/>
                <w:lang w:val="en-US" w:eastAsia="zh-CN"/>
              </w:rPr>
            </w:pPr>
            <w:r>
              <w:drawing>
                <wp:inline distT="0" distB="0" distL="114300" distR="114300">
                  <wp:extent cx="4427220" cy="3002280"/>
                  <wp:effectExtent l="0" t="0" r="762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3"/>
                          <a:stretch>
                            <a:fillRect/>
                          </a:stretch>
                        </pic:blipFill>
                        <pic:spPr>
                          <a:xfrm>
                            <a:off x="0" y="0"/>
                            <a:ext cx="4427220" cy="3002280"/>
                          </a:xfrm>
                          <a:prstGeom prst="rect">
                            <a:avLst/>
                          </a:prstGeom>
                          <a:noFill/>
                          <a:ln>
                            <a:noFill/>
                          </a:ln>
                        </pic:spPr>
                      </pic:pic>
                    </a:graphicData>
                  </a:graphic>
                </wp:inline>
              </w:drawing>
            </w:r>
          </w:p>
          <w:p w14:paraId="354307D5">
            <w:pPr>
              <w:bidi w:val="0"/>
              <w:jc w:val="center"/>
              <w:rPr>
                <w:rFonts w:hint="eastAsia"/>
                <w:b/>
                <w:bCs/>
                <w:color w:val="auto"/>
                <w:lang w:val="en-US" w:eastAsia="zh-CN"/>
              </w:rPr>
            </w:pPr>
            <w:r>
              <w:rPr>
                <w:rFonts w:hint="default"/>
                <w:b/>
                <w:bCs/>
                <w:lang w:val="en-US" w:eastAsia="zh-CN"/>
              </w:rPr>
              <w:t>图2</w:t>
            </w:r>
            <w:r>
              <w:rPr>
                <w:rFonts w:hint="default"/>
                <w:b/>
                <w:bCs/>
                <w:color w:val="auto"/>
                <w:lang w:val="en-US" w:eastAsia="zh-CN"/>
              </w:rPr>
              <w:t>-</w:t>
            </w:r>
            <w:r>
              <w:rPr>
                <w:rFonts w:hint="eastAsia"/>
                <w:b/>
                <w:bCs/>
                <w:color w:val="auto"/>
                <w:lang w:val="en-US" w:eastAsia="zh-CN"/>
              </w:rPr>
              <w:t>1项目水平衡图</w:t>
            </w:r>
          </w:p>
          <w:p w14:paraId="1FC7D28E">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rFonts w:hint="default" w:ascii="Times New Roman" w:hAnsi="Times New Roman" w:cs="Times New Roman"/>
                <w:b/>
                <w:color w:val="auto"/>
                <w:kern w:val="0"/>
                <w:sz w:val="21"/>
                <w:szCs w:val="21"/>
              </w:rPr>
            </w:pPr>
            <w:r>
              <w:rPr>
                <w:rFonts w:hint="eastAsia" w:ascii="Times New Roman" w:hAnsi="Times New Roman" w:cs="Times New Roman"/>
                <w:b/>
                <w:color w:val="auto"/>
                <w:kern w:val="0"/>
                <w:sz w:val="21"/>
                <w:szCs w:val="21"/>
                <w:lang w:val="en-US" w:eastAsia="zh-CN"/>
              </w:rPr>
              <w:t>十</w:t>
            </w:r>
            <w:r>
              <w:rPr>
                <w:rFonts w:hint="default" w:ascii="Times New Roman" w:hAnsi="Times New Roman" w:cs="Times New Roman"/>
                <w:b/>
                <w:color w:val="auto"/>
                <w:kern w:val="0"/>
                <w:sz w:val="21"/>
                <w:szCs w:val="21"/>
              </w:rPr>
              <w:t>、总平面布置合理性</w:t>
            </w:r>
          </w:p>
          <w:p w14:paraId="68CB5649">
            <w:pPr>
              <w:bidi w:val="0"/>
              <w:spacing w:line="360" w:lineRule="auto"/>
              <w:ind w:firstLine="420" w:firstLineChars="200"/>
              <w:rPr>
                <w:rFonts w:hint="eastAsia"/>
                <w:lang w:val="en-US" w:eastAsia="zh-CN"/>
              </w:rPr>
            </w:pPr>
            <w:r>
              <w:rPr>
                <w:rFonts w:hint="default"/>
              </w:rPr>
              <w:t>本项目根据生产的工艺流程、建筑防火、安全、卫生、环境保护及节约用地和减少工程投资等要求进行设计，主要分为</w:t>
            </w:r>
            <w:r>
              <w:rPr>
                <w:rFonts w:hint="eastAsia"/>
                <w:lang w:val="en-US" w:eastAsia="zh-CN"/>
              </w:rPr>
              <w:t>1#喷涂车间、2#注塑车间。</w:t>
            </w:r>
          </w:p>
          <w:p w14:paraId="6DD5D381">
            <w:pPr>
              <w:bidi w:val="0"/>
              <w:spacing w:line="360" w:lineRule="auto"/>
              <w:ind w:firstLine="420" w:firstLineChars="200"/>
              <w:rPr>
                <w:rFonts w:hint="default"/>
                <w:color w:val="auto"/>
              </w:rPr>
            </w:pPr>
            <w:r>
              <w:rPr>
                <w:rFonts w:hint="default"/>
              </w:rPr>
              <w:t>根据项目总平面布置图（</w:t>
            </w:r>
            <w:r>
              <w:rPr>
                <w:rFonts w:hint="default"/>
                <w:color w:val="auto"/>
              </w:rPr>
              <w:t>见附图4</w:t>
            </w:r>
            <w:r>
              <w:rPr>
                <w:rFonts w:hint="default"/>
              </w:rPr>
              <w:t>），</w:t>
            </w:r>
            <w:r>
              <w:rPr>
                <w:rFonts w:hint="eastAsia"/>
                <w:lang w:val="en-US" w:eastAsia="zh-CN"/>
              </w:rPr>
              <w:t>喷涂车间位于</w:t>
            </w:r>
            <w:r>
              <w:rPr>
                <w:rFonts w:hint="eastAsia" w:ascii="Times New Roman" w:hAnsi="Times New Roman" w:cs="Times New Roman"/>
                <w:sz w:val="21"/>
                <w:szCs w:val="21"/>
                <w:lang w:val="en-US" w:eastAsia="zh-CN"/>
              </w:rPr>
              <w:t>万象壹品门业</w:t>
            </w:r>
            <w:r>
              <w:rPr>
                <w:rFonts w:hint="eastAsia"/>
                <w:lang w:val="en-US" w:eastAsia="zh-CN"/>
              </w:rPr>
              <w:t>厂区北侧，</w:t>
            </w:r>
            <w:r>
              <w:rPr>
                <w:rFonts w:hint="eastAsia"/>
                <w:color w:val="auto"/>
                <w:lang w:val="en-US" w:eastAsia="zh-CN"/>
              </w:rPr>
              <w:t>内部根据生产流程依次设置上料区、喷涂室、调漆室、供漆室、流平室、烘烤区、冷却段、下料区、抛光室、不良品仓库（一般固废堆放区）、素材仓库、成品仓库、质检区、包装区、危废暂存间等，注塑车间内根据生产流程依次设置注塑区、修边组装区、质检区、破碎区等</w:t>
            </w:r>
            <w:r>
              <w:rPr>
                <w:rFonts w:hint="default"/>
                <w:color w:val="auto"/>
              </w:rPr>
              <w:t>。</w:t>
            </w:r>
          </w:p>
          <w:p w14:paraId="69E133EC">
            <w:pPr>
              <w:bidi w:val="0"/>
              <w:spacing w:line="360" w:lineRule="auto"/>
              <w:ind w:firstLine="420" w:firstLineChars="200"/>
              <w:rPr>
                <w:rFonts w:hint="eastAsia"/>
              </w:rPr>
            </w:pPr>
            <w:r>
              <w:rPr>
                <w:rFonts w:hint="eastAsia"/>
              </w:rPr>
              <w:t>项目在设计时根据功能分区、</w:t>
            </w:r>
            <w:r>
              <w:rPr>
                <w:rFonts w:hint="default"/>
              </w:rPr>
              <w:t>物流路线清晰，无相互干扰，</w:t>
            </w:r>
            <w:r>
              <w:rPr>
                <w:rFonts w:hint="eastAsia"/>
                <w:lang w:val="en-US" w:eastAsia="zh-CN"/>
              </w:rPr>
              <w:t>1#喷涂车间</w:t>
            </w:r>
            <w:r>
              <w:rPr>
                <w:rFonts w:hint="default"/>
                <w:color w:val="auto"/>
                <w:lang w:val="en-US" w:eastAsia="zh-CN"/>
              </w:rPr>
              <w:t>外</w:t>
            </w:r>
            <w:r>
              <w:rPr>
                <w:rFonts w:hint="eastAsia"/>
                <w:color w:val="auto"/>
                <w:lang w:val="en-US" w:eastAsia="zh-CN"/>
              </w:rPr>
              <w:t>西</w:t>
            </w:r>
            <w:r>
              <w:rPr>
                <w:rFonts w:hint="default"/>
                <w:color w:val="auto"/>
                <w:lang w:val="en-US" w:eastAsia="zh-CN"/>
              </w:rPr>
              <w:t>侧布</w:t>
            </w:r>
            <w:r>
              <w:rPr>
                <w:rFonts w:hint="default"/>
                <w:lang w:val="en-US" w:eastAsia="zh-CN"/>
              </w:rPr>
              <w:t>置二级活性炭处理装置，</w:t>
            </w:r>
            <w:r>
              <w:rPr>
                <w:rFonts w:hint="default"/>
                <w:color w:val="auto"/>
                <w:lang w:val="en-US" w:eastAsia="zh-CN"/>
              </w:rPr>
              <w:t>DA00</w:t>
            </w:r>
            <w:r>
              <w:rPr>
                <w:rFonts w:hint="eastAsia"/>
                <w:color w:val="auto"/>
                <w:lang w:val="en-US" w:eastAsia="zh-CN"/>
              </w:rPr>
              <w:t>2、DA003、</w:t>
            </w:r>
            <w:r>
              <w:rPr>
                <w:rFonts w:hint="default"/>
                <w:color w:val="auto"/>
                <w:lang w:val="en-US" w:eastAsia="zh-CN"/>
              </w:rPr>
              <w:t>DA00</w:t>
            </w:r>
            <w:r>
              <w:rPr>
                <w:rFonts w:hint="eastAsia"/>
                <w:color w:val="auto"/>
                <w:lang w:val="en-US" w:eastAsia="zh-CN"/>
              </w:rPr>
              <w:t>4</w:t>
            </w:r>
            <w:r>
              <w:rPr>
                <w:rFonts w:hint="default"/>
                <w:color w:val="auto"/>
                <w:lang w:val="en-US" w:eastAsia="zh-CN"/>
              </w:rPr>
              <w:t>排气筒位于</w:t>
            </w:r>
            <w:r>
              <w:rPr>
                <w:rFonts w:hint="eastAsia"/>
                <w:color w:val="auto"/>
                <w:lang w:val="en-US" w:eastAsia="zh-CN"/>
              </w:rPr>
              <w:t>1#喷涂车间西</w:t>
            </w:r>
            <w:r>
              <w:rPr>
                <w:rFonts w:hint="default"/>
                <w:color w:val="auto"/>
                <w:lang w:val="en-US" w:eastAsia="zh-CN"/>
              </w:rPr>
              <w:t>侧</w:t>
            </w:r>
            <w:r>
              <w:rPr>
                <w:rFonts w:hint="eastAsia"/>
                <w:color w:val="auto"/>
                <w:lang w:val="en-US" w:eastAsia="zh-CN"/>
              </w:rPr>
              <w:t>，DA005</w:t>
            </w:r>
            <w:r>
              <w:rPr>
                <w:rFonts w:hint="default"/>
                <w:color w:val="auto"/>
                <w:lang w:val="en-US" w:eastAsia="zh-CN"/>
              </w:rPr>
              <w:t>排气筒位于</w:t>
            </w:r>
            <w:r>
              <w:rPr>
                <w:rFonts w:hint="eastAsia"/>
                <w:color w:val="auto"/>
                <w:lang w:val="en-US" w:eastAsia="zh-CN"/>
              </w:rPr>
              <w:t>1#喷涂车间中间；</w:t>
            </w:r>
            <w:r>
              <w:rPr>
                <w:rFonts w:hint="default"/>
                <w:color w:val="auto"/>
                <w:lang w:val="en-US" w:eastAsia="zh-CN"/>
              </w:rPr>
              <w:t>DA00</w:t>
            </w:r>
            <w:r>
              <w:rPr>
                <w:rFonts w:hint="eastAsia"/>
                <w:color w:val="auto"/>
                <w:lang w:val="en-US" w:eastAsia="zh-CN"/>
              </w:rPr>
              <w:t>6</w:t>
            </w:r>
            <w:r>
              <w:rPr>
                <w:rFonts w:hint="default"/>
                <w:color w:val="auto"/>
                <w:lang w:val="en-US" w:eastAsia="zh-CN"/>
              </w:rPr>
              <w:t>排气筒位于</w:t>
            </w:r>
            <w:r>
              <w:rPr>
                <w:rFonts w:hint="eastAsia"/>
                <w:color w:val="auto"/>
                <w:lang w:val="en-US" w:eastAsia="zh-CN"/>
              </w:rPr>
              <w:t>1#喷涂车间东侧</w:t>
            </w:r>
            <w:r>
              <w:rPr>
                <w:rFonts w:hint="default"/>
                <w:color w:val="auto"/>
                <w:lang w:val="en-US" w:eastAsia="zh-CN"/>
              </w:rPr>
              <w:t>；</w:t>
            </w:r>
            <w:r>
              <w:rPr>
                <w:rFonts w:hint="eastAsia"/>
                <w:color w:val="auto"/>
                <w:lang w:val="en-US" w:eastAsia="zh-CN"/>
              </w:rPr>
              <w:t>DA007</w:t>
            </w:r>
            <w:r>
              <w:rPr>
                <w:rFonts w:hint="default"/>
                <w:color w:val="auto"/>
                <w:lang w:val="en-US" w:eastAsia="zh-CN"/>
              </w:rPr>
              <w:t>排气筒位于</w:t>
            </w:r>
            <w:r>
              <w:rPr>
                <w:rFonts w:hint="eastAsia"/>
                <w:color w:val="auto"/>
                <w:lang w:val="en-US" w:eastAsia="zh-CN"/>
              </w:rPr>
              <w:t>1#喷涂车间东侧；2#注塑车间</w:t>
            </w:r>
            <w:r>
              <w:rPr>
                <w:rFonts w:hint="default"/>
                <w:color w:val="auto"/>
                <w:lang w:val="en-US" w:eastAsia="zh-CN"/>
              </w:rPr>
              <w:t>外</w:t>
            </w:r>
            <w:r>
              <w:rPr>
                <w:rFonts w:hint="eastAsia"/>
                <w:color w:val="auto"/>
                <w:lang w:val="en-US" w:eastAsia="zh-CN"/>
              </w:rPr>
              <w:t>西</w:t>
            </w:r>
            <w:r>
              <w:rPr>
                <w:rFonts w:hint="default"/>
                <w:color w:val="auto"/>
                <w:lang w:val="en-US" w:eastAsia="zh-CN"/>
              </w:rPr>
              <w:t>侧设置</w:t>
            </w:r>
            <w:r>
              <w:rPr>
                <w:rFonts w:hint="eastAsia"/>
                <w:color w:val="auto"/>
                <w:lang w:val="en-US" w:eastAsia="zh-CN"/>
              </w:rPr>
              <w:t>二级</w:t>
            </w:r>
            <w:r>
              <w:rPr>
                <w:rFonts w:hint="default"/>
                <w:color w:val="auto"/>
                <w:lang w:val="en-US" w:eastAsia="zh-CN"/>
              </w:rPr>
              <w:t>活性炭装置，DA00</w:t>
            </w:r>
            <w:r>
              <w:rPr>
                <w:rFonts w:hint="eastAsia"/>
                <w:color w:val="auto"/>
                <w:lang w:val="en-US" w:eastAsia="zh-CN"/>
              </w:rPr>
              <w:t>1</w:t>
            </w:r>
            <w:r>
              <w:rPr>
                <w:rFonts w:hint="default"/>
                <w:color w:val="auto"/>
                <w:lang w:val="en-US" w:eastAsia="zh-CN"/>
              </w:rPr>
              <w:t>排气筒位于</w:t>
            </w:r>
            <w:r>
              <w:rPr>
                <w:rFonts w:hint="eastAsia"/>
                <w:color w:val="auto"/>
                <w:lang w:val="en-US" w:eastAsia="zh-CN"/>
              </w:rPr>
              <w:t>2#注塑车间西</w:t>
            </w:r>
            <w:r>
              <w:rPr>
                <w:rFonts w:hint="default"/>
                <w:color w:val="auto"/>
                <w:lang w:val="en-US" w:eastAsia="zh-CN"/>
              </w:rPr>
              <w:t>北侧</w:t>
            </w:r>
            <w:r>
              <w:rPr>
                <w:rFonts w:hint="default"/>
              </w:rPr>
              <w:t>；厂内设备布置根据物料流程进行布置，各区域之间根据企业厂区通道宽度要求，留</w:t>
            </w:r>
            <w:r>
              <w:rPr>
                <w:rFonts w:hint="eastAsia"/>
              </w:rPr>
              <w:t>有足够的安全距离，并有道路相连；项目区周围</w:t>
            </w:r>
            <w:r>
              <w:rPr>
                <w:rFonts w:hint="eastAsia"/>
                <w:lang w:val="en-US" w:eastAsia="zh-CN"/>
              </w:rPr>
              <w:t>基本</w:t>
            </w:r>
            <w:r>
              <w:rPr>
                <w:rFonts w:hint="eastAsia"/>
              </w:rPr>
              <w:t>均为工业用地，生产区的布置不会对周围生产企业造成影响</w:t>
            </w:r>
            <w:r>
              <w:rPr>
                <w:rFonts w:hint="eastAsia"/>
                <w:lang w:val="en-US" w:eastAsia="zh-CN"/>
              </w:rPr>
              <w:t>，排气筒远离西南侧的西华安置小区</w:t>
            </w:r>
            <w:r>
              <w:rPr>
                <w:rFonts w:hint="eastAsia"/>
              </w:rPr>
              <w:t>。项目产噪设备位于厂房内，经过合理布局、采取降噪消声措施后可实现达标排放。</w:t>
            </w:r>
          </w:p>
          <w:p w14:paraId="79CF6DFC">
            <w:pPr>
              <w:bidi w:val="0"/>
              <w:spacing w:line="360" w:lineRule="auto"/>
              <w:ind w:firstLine="420" w:firstLineChars="200"/>
            </w:pPr>
            <w:r>
              <w:rPr>
                <w:rFonts w:hint="eastAsia"/>
              </w:rPr>
              <w:t>本项目生产功能分区明确，布局合理，总平布置做到了人流物流分离、生产办公分离，使得生产和办公相互不干扰，同时生产对外环境造成的影响也降至最低。</w:t>
            </w:r>
          </w:p>
          <w:p w14:paraId="514DE285">
            <w:pPr>
              <w:bidi w:val="0"/>
              <w:spacing w:line="360" w:lineRule="auto"/>
              <w:ind w:firstLine="420" w:firstLineChars="200"/>
              <w:rPr>
                <w:rFonts w:hint="default"/>
                <w:lang w:val="en-US" w:eastAsia="zh-CN"/>
              </w:rPr>
            </w:pPr>
            <w:r>
              <w:rPr>
                <w:rFonts w:hint="eastAsia"/>
              </w:rPr>
              <w:t>综上，本项目平面布置合理</w:t>
            </w:r>
            <w:r>
              <w:rPr>
                <w:rFonts w:hint="default"/>
              </w:rPr>
              <w:t>。</w:t>
            </w:r>
          </w:p>
        </w:tc>
      </w:tr>
      <w:tr w14:paraId="7B273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375" w:type="dxa"/>
            <w:noWrap w:val="0"/>
            <w:vAlign w:val="center"/>
          </w:tcPr>
          <w:p w14:paraId="437D11ED">
            <w:pPr>
              <w:pStyle w:val="9"/>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609" w:type="dxa"/>
            <w:noWrap w:val="0"/>
            <w:vAlign w:val="top"/>
          </w:tcPr>
          <w:p w14:paraId="62C9DE6F">
            <w:pPr>
              <w:bidi w:val="0"/>
              <w:spacing w:line="360" w:lineRule="auto"/>
              <w:ind w:firstLine="422" w:firstLineChars="200"/>
              <w:rPr>
                <w:rFonts w:hint="default" w:eastAsia="宋体"/>
                <w:b/>
                <w:bCs/>
                <w:lang w:val="en-US" w:eastAsia="zh-CN"/>
              </w:rPr>
            </w:pPr>
            <w:r>
              <w:rPr>
                <w:rFonts w:hint="default"/>
                <w:b/>
                <w:bCs/>
              </w:rPr>
              <w:t>1、施工期工艺流程</w:t>
            </w:r>
            <w:r>
              <w:rPr>
                <w:rFonts w:hint="eastAsia"/>
                <w:b/>
                <w:bCs/>
                <w:lang w:val="en-US" w:eastAsia="zh-CN"/>
              </w:rPr>
              <w:t>及产排污分析</w:t>
            </w:r>
          </w:p>
          <w:p w14:paraId="7D51FF37">
            <w:pPr>
              <w:bidi w:val="0"/>
              <w:spacing w:line="360" w:lineRule="auto"/>
              <w:ind w:firstLine="420" w:firstLineChars="200"/>
              <w:rPr>
                <w:rFonts w:hint="default"/>
              </w:rPr>
            </w:pPr>
            <w:r>
              <w:rPr>
                <w:rFonts w:hint="default"/>
              </w:rPr>
              <w:t>本项目租赁</w:t>
            </w:r>
            <w:r>
              <w:rPr>
                <w:rFonts w:hint="eastAsia"/>
                <w:lang w:val="en-US" w:eastAsia="zh-CN"/>
              </w:rPr>
              <w:t>万象壹品门业既有生产厂房9320</w:t>
            </w:r>
            <w:r>
              <w:rPr>
                <w:rFonts w:ascii="Times New Roman" w:hAnsi="Times New Roman" w:eastAsia="宋体"/>
                <w:b w:val="0"/>
                <w:color w:val="auto"/>
                <w:sz w:val="21"/>
                <w:szCs w:val="21"/>
              </w:rPr>
              <w:t>m</w:t>
            </w:r>
            <w:r>
              <w:rPr>
                <w:rFonts w:hint="eastAsia"/>
                <w:b w:val="0"/>
                <w:color w:val="auto"/>
                <w:sz w:val="21"/>
                <w:szCs w:val="21"/>
                <w:vertAlign w:val="superscript"/>
                <w:lang w:val="en-US" w:eastAsia="zh-CN"/>
              </w:rPr>
              <w:t>2</w:t>
            </w:r>
            <w:r>
              <w:rPr>
                <w:rFonts w:hint="eastAsia"/>
                <w:lang w:val="en-US" w:eastAsia="zh-CN"/>
              </w:rPr>
              <w:t>建设生产线</w:t>
            </w:r>
            <w:r>
              <w:rPr>
                <w:rFonts w:hint="default"/>
              </w:rPr>
              <w:t>。</w:t>
            </w:r>
          </w:p>
          <w:p w14:paraId="51D127FF">
            <w:pPr>
              <w:bidi w:val="0"/>
              <w:spacing w:line="360" w:lineRule="auto"/>
              <w:ind w:firstLine="420" w:firstLineChars="200"/>
            </w:pPr>
            <w:r>
              <w:rPr>
                <w:rFonts w:hint="default"/>
              </w:rPr>
              <w:t>施工期主要进行厂房装修和生产设施设备建设。不进行基础设施建设。施工期间污染物为废水（生活污水）、废气（</w:t>
            </w:r>
            <w:r>
              <w:rPr>
                <w:rFonts w:hint="eastAsia"/>
                <w:lang w:val="en-US" w:eastAsia="zh-CN"/>
              </w:rPr>
              <w:t>装修废气</w:t>
            </w:r>
            <w:r>
              <w:rPr>
                <w:rFonts w:hint="default"/>
              </w:rPr>
              <w:t>）、噪声（设备安装噪声）、固废（废包装材料、生活垃圾）。流程图见图2-</w:t>
            </w:r>
            <w:r>
              <w:rPr>
                <w:rFonts w:hint="eastAsia"/>
                <w:lang w:val="en-US" w:eastAsia="zh-CN"/>
              </w:rPr>
              <w:t>2</w:t>
            </w:r>
            <w:r>
              <w:rPr>
                <w:rFonts w:hint="default"/>
              </w:rPr>
              <w:t>。</w:t>
            </w:r>
          </w:p>
          <w:p w14:paraId="3EC29BDB">
            <w:pPr>
              <w:bidi w:val="0"/>
              <w:spacing w:line="360" w:lineRule="auto"/>
              <w:jc w:val="center"/>
            </w:pPr>
            <w:r>
              <w:drawing>
                <wp:inline distT="0" distB="0" distL="114300" distR="114300">
                  <wp:extent cx="4548505" cy="1513205"/>
                  <wp:effectExtent l="0" t="0" r="0" b="0"/>
                  <wp:docPr id="72"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0" descr="图片1"/>
                          <pic:cNvPicPr>
                            <a:picLocks noChangeAspect="1"/>
                          </pic:cNvPicPr>
                        </pic:nvPicPr>
                        <pic:blipFill>
                          <a:blip r:embed="rId14"/>
                          <a:stretch>
                            <a:fillRect/>
                          </a:stretch>
                        </pic:blipFill>
                        <pic:spPr>
                          <a:xfrm>
                            <a:off x="0" y="0"/>
                            <a:ext cx="4548505" cy="1513205"/>
                          </a:xfrm>
                          <a:prstGeom prst="rect">
                            <a:avLst/>
                          </a:prstGeom>
                          <a:noFill/>
                          <a:ln>
                            <a:noFill/>
                          </a:ln>
                        </pic:spPr>
                      </pic:pic>
                    </a:graphicData>
                  </a:graphic>
                </wp:inline>
              </w:drawing>
            </w:r>
          </w:p>
          <w:p w14:paraId="417854AD">
            <w:pPr>
              <w:bidi w:val="0"/>
              <w:spacing w:line="360" w:lineRule="auto"/>
              <w:jc w:val="center"/>
              <w:rPr>
                <w:rFonts w:hint="default"/>
                <w:b/>
                <w:bCs/>
                <w:lang w:val="en-US" w:eastAsia="zh-CN"/>
              </w:rPr>
            </w:pPr>
            <w:r>
              <w:rPr>
                <w:rFonts w:hint="default"/>
                <w:b/>
                <w:bCs/>
                <w:lang w:val="en-US" w:eastAsia="zh-CN"/>
              </w:rPr>
              <w:t>图2-</w:t>
            </w:r>
            <w:r>
              <w:rPr>
                <w:rFonts w:hint="eastAsia"/>
                <w:b/>
                <w:bCs/>
                <w:lang w:val="en-US" w:eastAsia="zh-CN"/>
              </w:rPr>
              <w:t>2</w:t>
            </w:r>
            <w:r>
              <w:rPr>
                <w:rFonts w:hint="default"/>
                <w:b/>
                <w:bCs/>
                <w:lang w:val="en-US" w:eastAsia="zh-CN"/>
              </w:rPr>
              <w:t>施工流程图及产污节点</w:t>
            </w:r>
          </w:p>
          <w:p w14:paraId="20B87832">
            <w:pPr>
              <w:adjustRightInd w:val="0"/>
              <w:snapToGrid w:val="0"/>
              <w:spacing w:line="360" w:lineRule="auto"/>
              <w:ind w:firstLine="422" w:firstLineChars="200"/>
              <w:rPr>
                <w:b/>
                <w:bCs/>
                <w:sz w:val="21"/>
                <w:szCs w:val="21"/>
              </w:rPr>
            </w:pPr>
            <w:r>
              <w:rPr>
                <w:rFonts w:hint="eastAsia"/>
                <w:b/>
                <w:bCs/>
                <w:sz w:val="21"/>
                <w:szCs w:val="21"/>
              </w:rPr>
              <w:t xml:space="preserve">施工期主要污染工序 </w:t>
            </w:r>
          </w:p>
          <w:p w14:paraId="55F6A0BF">
            <w:pPr>
              <w:adjustRightInd w:val="0"/>
              <w:snapToGrid w:val="0"/>
              <w:spacing w:line="360" w:lineRule="auto"/>
              <w:ind w:firstLine="420" w:firstLineChars="200"/>
              <w:rPr>
                <w:sz w:val="21"/>
                <w:szCs w:val="21"/>
              </w:rPr>
            </w:pPr>
            <w:r>
              <w:rPr>
                <w:rFonts w:hint="eastAsia"/>
                <w:sz w:val="21"/>
                <w:szCs w:val="21"/>
              </w:rPr>
              <w:t>（1）废气：项目施工期主要大气污染物为装修废气；</w:t>
            </w:r>
          </w:p>
          <w:p w14:paraId="43FDCCCA">
            <w:pPr>
              <w:adjustRightInd w:val="0"/>
              <w:snapToGrid w:val="0"/>
              <w:spacing w:line="360" w:lineRule="auto"/>
              <w:ind w:firstLine="420" w:firstLineChars="200"/>
              <w:rPr>
                <w:sz w:val="21"/>
                <w:szCs w:val="21"/>
              </w:rPr>
            </w:pPr>
            <w:r>
              <w:rPr>
                <w:rFonts w:hint="eastAsia"/>
                <w:sz w:val="21"/>
                <w:szCs w:val="21"/>
              </w:rPr>
              <w:t>（2）废水：项目施工期主要废水为施工人员生活污水、施工废水；</w:t>
            </w:r>
          </w:p>
          <w:p w14:paraId="52FA4193">
            <w:pPr>
              <w:adjustRightInd w:val="0"/>
              <w:snapToGrid w:val="0"/>
              <w:spacing w:line="360" w:lineRule="auto"/>
              <w:ind w:firstLine="420" w:firstLineChars="200"/>
              <w:rPr>
                <w:sz w:val="21"/>
                <w:szCs w:val="21"/>
              </w:rPr>
            </w:pPr>
            <w:r>
              <w:rPr>
                <w:rFonts w:hint="eastAsia"/>
                <w:sz w:val="21"/>
                <w:szCs w:val="21"/>
              </w:rPr>
              <w:t>（3）噪声：项目施工期主要噪声为施工机械噪声、设备安装噪声；</w:t>
            </w:r>
          </w:p>
          <w:p w14:paraId="21F76FF0">
            <w:pPr>
              <w:bidi w:val="0"/>
              <w:spacing w:line="360" w:lineRule="auto"/>
              <w:ind w:firstLine="420" w:firstLineChars="200"/>
              <w:rPr>
                <w:rFonts w:hint="default"/>
                <w:sz w:val="21"/>
                <w:szCs w:val="21"/>
              </w:rPr>
            </w:pPr>
            <w:r>
              <w:rPr>
                <w:rFonts w:hint="eastAsia"/>
                <w:sz w:val="21"/>
                <w:szCs w:val="21"/>
              </w:rPr>
              <w:t>（4）固体废弃物：项目施工期主要固废为建筑垃圾、施工人员生活垃圾和废包装材料。</w:t>
            </w:r>
          </w:p>
          <w:p w14:paraId="69F1EC2B">
            <w:pPr>
              <w:bidi w:val="0"/>
              <w:spacing w:line="360" w:lineRule="auto"/>
              <w:ind w:firstLine="422" w:firstLineChars="200"/>
              <w:rPr>
                <w:rFonts w:hint="default" w:eastAsia="宋体"/>
                <w:b/>
                <w:bCs/>
                <w:lang w:val="en-US" w:eastAsia="zh-CN"/>
              </w:rPr>
            </w:pPr>
            <w:r>
              <w:rPr>
                <w:rFonts w:hint="default"/>
                <w:b/>
                <w:bCs/>
              </w:rPr>
              <w:t>2、运</w:t>
            </w:r>
            <w:r>
              <w:rPr>
                <w:rFonts w:hint="eastAsia"/>
                <w:b/>
                <w:bCs/>
                <w:lang w:val="en-US" w:eastAsia="zh-CN"/>
              </w:rPr>
              <w:t>营</w:t>
            </w:r>
            <w:r>
              <w:rPr>
                <w:rFonts w:hint="default"/>
                <w:b/>
                <w:bCs/>
              </w:rPr>
              <w:t>期工艺流程</w:t>
            </w:r>
            <w:r>
              <w:rPr>
                <w:rFonts w:hint="eastAsia"/>
                <w:b/>
                <w:bCs/>
                <w:lang w:val="en-US" w:eastAsia="zh-CN"/>
              </w:rPr>
              <w:t>及产排污分析</w:t>
            </w:r>
          </w:p>
          <w:p w14:paraId="29200289">
            <w:pPr>
              <w:bidi w:val="0"/>
              <w:spacing w:line="360" w:lineRule="auto"/>
              <w:ind w:firstLine="420" w:firstLineChars="200"/>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default"/>
              </w:rPr>
              <w:t>本项目</w:t>
            </w:r>
            <w:r>
              <w:rPr>
                <w:rFonts w:hint="eastAsia"/>
                <w:lang w:val="en-US" w:eastAsia="zh-CN"/>
              </w:rPr>
              <w:t>注塑车间工艺流程及产污环节如下图：</w:t>
            </w:r>
          </w:p>
          <w:p w14:paraId="4A84B0D1">
            <w:pPr>
              <w:bidi w:val="0"/>
              <w:spacing w:line="360" w:lineRule="auto"/>
              <w:rPr>
                <w:rFonts w:hint="eastAsia" w:eastAsia="宋体"/>
                <w:lang w:eastAsia="zh-CN"/>
              </w:rPr>
            </w:pPr>
            <w:r>
              <w:rPr>
                <w:rFonts w:hint="eastAsia" w:eastAsia="宋体"/>
                <w:lang w:eastAsia="zh-CN"/>
              </w:rPr>
              <w:drawing>
                <wp:inline distT="0" distB="0" distL="114300" distR="114300">
                  <wp:extent cx="5325745" cy="3448050"/>
                  <wp:effectExtent l="0" t="0" r="8255" b="11430"/>
                  <wp:docPr id="19" name="图片 19" descr="172837920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8379207706"/>
                          <pic:cNvPicPr>
                            <a:picLocks noChangeAspect="1"/>
                          </pic:cNvPicPr>
                        </pic:nvPicPr>
                        <pic:blipFill>
                          <a:blip r:embed="rId15"/>
                          <a:stretch>
                            <a:fillRect/>
                          </a:stretch>
                        </pic:blipFill>
                        <pic:spPr>
                          <a:xfrm>
                            <a:off x="0" y="0"/>
                            <a:ext cx="5325745" cy="3448050"/>
                          </a:xfrm>
                          <a:prstGeom prst="rect">
                            <a:avLst/>
                          </a:prstGeom>
                        </pic:spPr>
                      </pic:pic>
                    </a:graphicData>
                  </a:graphic>
                </wp:inline>
              </w:drawing>
            </w:r>
          </w:p>
          <w:p w14:paraId="078A6A8D">
            <w:pPr>
              <w:bidi w:val="0"/>
              <w:spacing w:line="360" w:lineRule="auto"/>
              <w:jc w:val="center"/>
              <w:rPr>
                <w:rFonts w:hint="default"/>
                <w:color w:val="auto"/>
              </w:rPr>
            </w:pPr>
            <w:r>
              <w:rPr>
                <w:rFonts w:hint="default"/>
                <w:b/>
                <w:bCs/>
                <w:color w:val="auto"/>
                <w:lang w:val="en-US" w:eastAsia="zh-CN"/>
              </w:rPr>
              <w:t>图2-</w:t>
            </w:r>
            <w:r>
              <w:rPr>
                <w:rFonts w:hint="eastAsia"/>
                <w:b/>
                <w:bCs/>
                <w:color w:val="auto"/>
                <w:lang w:val="en-US" w:eastAsia="zh-CN"/>
              </w:rPr>
              <w:t>3注塑车间工艺</w:t>
            </w:r>
            <w:r>
              <w:rPr>
                <w:rFonts w:hint="default"/>
                <w:b/>
                <w:bCs/>
                <w:color w:val="auto"/>
                <w:lang w:val="en-US" w:eastAsia="zh-CN"/>
              </w:rPr>
              <w:t>流程图及产污节点</w:t>
            </w:r>
          </w:p>
          <w:p w14:paraId="50824B47">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①进料：本项目将外购的注塑原料在注塑车间内拆包后，利用集中供料系统送入注塑机进料口，完成进料。本项目进料过程为封闭过程，无进料粉尘产生；注塑原料全部使用新料，除项目产生的废边角料、次品破碎后作为原料再利用，均不使用外来再生塑料。该工序主要污染物为噪声、废包装材料。</w:t>
            </w:r>
          </w:p>
          <w:p w14:paraId="2832CD1A">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②注塑：注塑是一个循环的过程，主要设备为注塑机，每一周期主要包括：定量加料—加料熔融（塑化）—施压注射—保压冷却成型—启模取件。本项目注塑原料进料完成后通过注塑机内部电加热高温（温度为</w:t>
            </w:r>
            <w:r>
              <w:rPr>
                <w:rFonts w:hint="default" w:ascii="Times New Roman" w:hAnsi="Times New Roman" w:eastAsia="宋体" w:cs="Times New Roman"/>
                <w:color w:val="000000"/>
                <w:kern w:val="0"/>
                <w:sz w:val="21"/>
                <w:szCs w:val="21"/>
                <w:lang w:val="en-US" w:eastAsia="zh-CN" w:bidi="ar"/>
              </w:rPr>
              <w:t>180~220</w:t>
            </w:r>
            <w:r>
              <w:rPr>
                <w:rFonts w:hint="eastAsia" w:ascii="宋体" w:hAnsi="宋体" w:eastAsia="宋体" w:cs="宋体"/>
                <w:color w:val="000000"/>
                <w:kern w:val="0"/>
                <w:sz w:val="21"/>
                <w:szCs w:val="21"/>
                <w:lang w:val="en-US" w:eastAsia="zh-CN" w:bidi="ar"/>
              </w:rPr>
              <w:t>℃）使颗粒状树脂粒料成熔融状态，在加压的作用下注入闭合模具中，经保压、冷却后固化成型后，启模取件。注塑时使用循环冷却水进行间接冷却，循环冷却水通过循环冷却水系统实现循环使用，需定期更换；注塑机液压系统需定期更换和补充液压油；注塑机使用的模具为客户提供的成型模具，不单独外购，循环使用，模具需进行简单的维护和保养，均使用手工工具进行，不使用大型机修设备对模具进行大修。该工序主要污染物为噪声、注塑循环冷却废水、注塑废气、废活性炭、废矿物油（桶）、废含油劳保用品。</w:t>
            </w:r>
          </w:p>
          <w:p w14:paraId="4BFF4EAB">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③修边：本项目注塑后的塑料件为半成品，需要进行人工修边和组装，形成产品。修边的目的是去除塑料件多余的边角和毛刺</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该工序主要污染物为废边角料。</w:t>
            </w:r>
          </w:p>
          <w:p w14:paraId="773CA1BA">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④检验：本项目对产品进行人工检验，主要检验产品的尺寸和外观拉伸强度测试、硬度测试等实验室测试项目。该工序无污染物产生。</w:t>
            </w:r>
          </w:p>
          <w:p w14:paraId="0816B3E9">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⑤入库：检验合格产品的进入</w:t>
            </w:r>
            <w:r>
              <w:rPr>
                <w:rFonts w:hint="eastAsia" w:ascii="宋体" w:hAnsi="宋体" w:eastAsia="宋体" w:cs="宋体"/>
                <w:color w:val="auto"/>
                <w:kern w:val="0"/>
                <w:sz w:val="21"/>
                <w:szCs w:val="21"/>
                <w:lang w:val="en-US" w:eastAsia="zh-CN" w:bidi="ar"/>
              </w:rPr>
              <w:t>喷涂车间素材仓库</w:t>
            </w:r>
            <w:r>
              <w:rPr>
                <w:rFonts w:hint="eastAsia" w:ascii="宋体" w:hAnsi="宋体" w:eastAsia="宋体" w:cs="宋体"/>
                <w:color w:val="000000"/>
                <w:kern w:val="0"/>
                <w:sz w:val="21"/>
                <w:szCs w:val="21"/>
                <w:lang w:val="en-US" w:eastAsia="zh-CN" w:bidi="ar"/>
              </w:rPr>
              <w:t>，不合格的作为次品。该工序主要污染物为次品。</w:t>
            </w:r>
          </w:p>
          <w:p w14:paraId="6E0A935D">
            <w:pPr>
              <w:keepNext w:val="0"/>
              <w:keepLines w:val="0"/>
              <w:widowControl/>
              <w:suppressLineNumbers w:val="0"/>
              <w:spacing w:line="360" w:lineRule="auto"/>
              <w:jc w:val="left"/>
              <w:rPr>
                <w:sz w:val="21"/>
                <w:szCs w:val="21"/>
              </w:rPr>
            </w:pPr>
            <w:r>
              <w:rPr>
                <w:rFonts w:hint="eastAsia" w:ascii="宋体" w:hAnsi="宋体" w:eastAsia="宋体" w:cs="宋体"/>
                <w:color w:val="000000"/>
                <w:kern w:val="0"/>
                <w:sz w:val="21"/>
                <w:szCs w:val="21"/>
                <w:lang w:val="en-US" w:eastAsia="zh-CN" w:bidi="ar"/>
              </w:rPr>
              <w:t>（备注：本项目产生的废边角料、次品收集后经粉碎机破碎后作为原料再利用。该工序主要污染物为噪声、破碎粉尘、破碎机除尘器粉尘。）</w:t>
            </w:r>
          </w:p>
          <w:p w14:paraId="7EF2A9DE">
            <w:pPr>
              <w:keepNext w:val="0"/>
              <w:keepLines w:val="0"/>
              <w:widowControl/>
              <w:suppressLineNumbers w:val="0"/>
              <w:spacing w:line="360" w:lineRule="auto"/>
              <w:jc w:val="left"/>
            </w:pPr>
            <w:r>
              <w:rPr>
                <w:rFonts w:hint="eastAsia"/>
                <w:lang w:eastAsia="zh-CN"/>
              </w:rPr>
              <w:t>（</w:t>
            </w:r>
            <w:r>
              <w:rPr>
                <w:rFonts w:hint="eastAsia"/>
                <w:lang w:val="en-US" w:eastAsia="zh-CN"/>
              </w:rPr>
              <w:t>2</w:t>
            </w:r>
            <w:r>
              <w:rPr>
                <w:rFonts w:hint="eastAsia"/>
                <w:lang w:eastAsia="zh-CN"/>
              </w:rPr>
              <w:t>）</w:t>
            </w:r>
            <w:r>
              <w:rPr>
                <w:rFonts w:hint="default"/>
              </w:rPr>
              <w:t>本项目</w:t>
            </w:r>
            <w:r>
              <w:rPr>
                <w:rFonts w:hint="eastAsia"/>
                <w:lang w:val="en-US" w:eastAsia="zh-CN"/>
              </w:rPr>
              <w:t>喷涂车间工艺流程及产污环节如下图：</w:t>
            </w:r>
          </w:p>
          <w:p w14:paraId="31493911">
            <w:pPr>
              <w:bidi w:val="0"/>
              <w:spacing w:line="360" w:lineRule="auto"/>
              <w:jc w:val="center"/>
              <w:rPr>
                <w:rFonts w:hint="eastAsia"/>
                <w:lang w:val="en-US" w:eastAsia="zh-CN"/>
              </w:rPr>
            </w:pPr>
            <w:r>
              <w:rPr>
                <w:rFonts w:hint="eastAsia"/>
                <w:lang w:val="en-US" w:eastAsia="zh-CN"/>
              </w:rPr>
              <w:drawing>
                <wp:inline distT="0" distB="0" distL="114300" distR="114300">
                  <wp:extent cx="3187065" cy="6002020"/>
                  <wp:effectExtent l="0" t="0" r="13335" b="2540"/>
                  <wp:docPr id="20" name="图片 20" descr="172837937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28379374605"/>
                          <pic:cNvPicPr>
                            <a:picLocks noChangeAspect="1"/>
                          </pic:cNvPicPr>
                        </pic:nvPicPr>
                        <pic:blipFill>
                          <a:blip r:embed="rId16"/>
                          <a:stretch>
                            <a:fillRect/>
                          </a:stretch>
                        </pic:blipFill>
                        <pic:spPr>
                          <a:xfrm>
                            <a:off x="0" y="0"/>
                            <a:ext cx="3187065" cy="6002020"/>
                          </a:xfrm>
                          <a:prstGeom prst="rect">
                            <a:avLst/>
                          </a:prstGeom>
                        </pic:spPr>
                      </pic:pic>
                    </a:graphicData>
                  </a:graphic>
                </wp:inline>
              </w:drawing>
            </w:r>
          </w:p>
          <w:p w14:paraId="6579053F">
            <w:pPr>
              <w:bidi w:val="0"/>
              <w:spacing w:line="360" w:lineRule="auto"/>
              <w:jc w:val="center"/>
              <w:rPr>
                <w:rFonts w:hint="default"/>
                <w:b/>
                <w:bCs/>
                <w:lang w:val="en-US" w:eastAsia="zh-CN"/>
              </w:rPr>
            </w:pPr>
            <w:r>
              <w:rPr>
                <w:rFonts w:hint="default"/>
                <w:b/>
                <w:bCs/>
                <w:lang w:val="en-US" w:eastAsia="zh-CN"/>
              </w:rPr>
              <w:t>图2-</w:t>
            </w:r>
            <w:r>
              <w:rPr>
                <w:rFonts w:hint="eastAsia"/>
                <w:b/>
                <w:bCs/>
                <w:lang w:val="en-US" w:eastAsia="zh-CN"/>
              </w:rPr>
              <w:t>2喷涂车间工艺流程</w:t>
            </w:r>
            <w:r>
              <w:rPr>
                <w:rFonts w:hint="default"/>
                <w:b/>
                <w:bCs/>
                <w:lang w:val="en-US" w:eastAsia="zh-CN"/>
              </w:rPr>
              <w:t>及产污节点</w:t>
            </w:r>
          </w:p>
          <w:p w14:paraId="2984B337">
            <w:pPr>
              <w:pStyle w:val="5"/>
              <w:spacing w:line="360" w:lineRule="auto"/>
              <w:ind w:left="0" w:leftChars="0" w:firstLine="420" w:firstLineChars="200"/>
              <w:rPr>
                <w:rFonts w:ascii="宋体" w:hAnsi="宋体" w:cs="宋体"/>
                <w:b w:val="0"/>
                <w:bCs w:val="0"/>
                <w:sz w:val="21"/>
                <w:szCs w:val="21"/>
              </w:rPr>
            </w:pPr>
            <w:r>
              <w:rPr>
                <w:rFonts w:hint="eastAsia" w:ascii="宋体" w:hAnsi="宋体" w:eastAsia="宋体" w:cs="宋体"/>
                <w:b w:val="0"/>
                <w:bCs w:val="0"/>
                <w:color w:val="000000"/>
                <w:kern w:val="0"/>
                <w:sz w:val="21"/>
                <w:szCs w:val="21"/>
                <w:lang w:val="en-US" w:eastAsia="zh-CN" w:bidi="ar"/>
              </w:rPr>
              <w:t>①</w:t>
            </w:r>
            <w:r>
              <w:rPr>
                <w:rFonts w:hint="eastAsia" w:cs="宋体"/>
                <w:b w:val="0"/>
                <w:bCs w:val="0"/>
                <w:color w:val="000000"/>
                <w:kern w:val="0"/>
                <w:sz w:val="21"/>
                <w:szCs w:val="21"/>
                <w:lang w:val="en-US" w:eastAsia="zh-CN" w:bidi="ar"/>
              </w:rPr>
              <w:t>人工干式除尘</w:t>
            </w:r>
            <w:r>
              <w:rPr>
                <w:rFonts w:hint="eastAsia" w:ascii="宋体" w:hAnsi="宋体" w:eastAsia="宋体" w:cs="宋体"/>
                <w:b w:val="0"/>
                <w:bCs w:val="0"/>
                <w:color w:val="000000"/>
                <w:kern w:val="0"/>
                <w:sz w:val="21"/>
                <w:szCs w:val="21"/>
                <w:lang w:val="en-US" w:eastAsia="zh-CN" w:bidi="ar"/>
              </w:rPr>
              <w:t>：</w:t>
            </w:r>
            <w:r>
              <w:rPr>
                <w:rFonts w:ascii="宋体" w:hAnsi="宋体" w:cs="宋体"/>
                <w:b w:val="0"/>
                <w:bCs w:val="0"/>
                <w:sz w:val="21"/>
                <w:szCs w:val="21"/>
              </w:rPr>
              <w:t>为了防止</w:t>
            </w:r>
            <w:r>
              <w:rPr>
                <w:rFonts w:hint="eastAsia" w:cs="宋体"/>
                <w:b w:val="0"/>
                <w:bCs w:val="0"/>
                <w:sz w:val="21"/>
                <w:szCs w:val="21"/>
                <w:lang w:val="en-US" w:eastAsia="zh-CN"/>
              </w:rPr>
              <w:t>工件</w:t>
            </w:r>
            <w:r>
              <w:rPr>
                <w:rFonts w:ascii="宋体" w:hAnsi="宋体" w:cs="宋体"/>
                <w:b w:val="0"/>
                <w:bCs w:val="0"/>
                <w:sz w:val="21"/>
                <w:szCs w:val="21"/>
              </w:rPr>
              <w:t>表面沾有的灰尘影响</w:t>
            </w:r>
            <w:r>
              <w:rPr>
                <w:rFonts w:cs="宋体"/>
                <w:b w:val="0"/>
                <w:bCs w:val="0"/>
                <w:sz w:val="21"/>
                <w:szCs w:val="21"/>
              </w:rPr>
              <w:t>后续工序</w:t>
            </w:r>
            <w:r>
              <w:rPr>
                <w:rFonts w:ascii="宋体" w:hAnsi="宋体" w:cs="宋体"/>
                <w:b w:val="0"/>
                <w:bCs w:val="0"/>
                <w:sz w:val="21"/>
                <w:szCs w:val="21"/>
              </w:rPr>
              <w:t>，因此在上流水线前，需要</w:t>
            </w:r>
            <w:r>
              <w:rPr>
                <w:rFonts w:hint="eastAsia" w:cs="宋体"/>
                <w:b w:val="0"/>
                <w:bCs w:val="0"/>
                <w:sz w:val="21"/>
                <w:szCs w:val="21"/>
                <w:lang w:val="en-US" w:eastAsia="zh-CN"/>
              </w:rPr>
              <w:t>人工</w:t>
            </w:r>
            <w:r>
              <w:rPr>
                <w:rFonts w:ascii="宋体" w:hAnsi="宋体" w:cs="宋体"/>
                <w:b w:val="0"/>
                <w:bCs w:val="0"/>
                <w:sz w:val="21"/>
                <w:szCs w:val="21"/>
              </w:rPr>
              <w:t>通过空气枪将工件表面进行简单清洁，吹去工件表面的灰尘，由于工件表面灰尘量少，且静电除尘效果良好，灰尘逸散量很少，因此产生的除尘灰尘量可忽略不计。</w:t>
            </w:r>
          </w:p>
          <w:p w14:paraId="441A5E3E">
            <w:pPr>
              <w:pStyle w:val="5"/>
              <w:spacing w:line="360" w:lineRule="auto"/>
              <w:ind w:left="0" w:leftChars="0" w:firstLine="420" w:firstLineChars="200"/>
              <w:rPr>
                <w:rFonts w:hint="default" w:cs="宋体"/>
                <w:b w:val="0"/>
                <w:bCs w:val="0"/>
                <w:sz w:val="21"/>
                <w:szCs w:val="21"/>
                <w:lang w:eastAsia="zh-CN"/>
              </w:rPr>
            </w:pPr>
            <w:r>
              <w:rPr>
                <w:rFonts w:hint="eastAsia" w:cs="宋体"/>
                <w:b w:val="0"/>
                <w:bCs w:val="0"/>
                <w:sz w:val="21"/>
                <w:szCs w:val="21"/>
                <w:lang w:val="en-US" w:eastAsia="zh-CN"/>
              </w:rPr>
              <w:t>②火焰处理：为了提高聚烯烃塑料的胶接特性，增加表面活性，增加底漆与工件的粘附力，因此流水线上需要用火焰机器人对</w:t>
            </w:r>
            <w:r>
              <w:rPr>
                <w:rFonts w:ascii="宋体" w:hAnsi="宋体" w:cs="宋体"/>
                <w:b w:val="0"/>
                <w:bCs w:val="0"/>
                <w:sz w:val="21"/>
                <w:szCs w:val="21"/>
              </w:rPr>
              <w:t>工件表面</w:t>
            </w:r>
            <w:r>
              <w:rPr>
                <w:rFonts w:hint="eastAsia" w:cs="宋体"/>
                <w:b w:val="0"/>
                <w:bCs w:val="0"/>
                <w:sz w:val="21"/>
                <w:szCs w:val="21"/>
                <w:lang w:val="en-US" w:eastAsia="zh-CN"/>
              </w:rPr>
              <w:t>进行火焰处理，该过程持续时间为几秒钟，较短，产生少量有机废气通过密闭房间的管道经过二级活性炭吸附处理后外排，废气量可以</w:t>
            </w:r>
            <w:r>
              <w:rPr>
                <w:rFonts w:hint="default" w:cs="宋体"/>
                <w:b w:val="0"/>
                <w:bCs w:val="0"/>
                <w:sz w:val="21"/>
                <w:szCs w:val="21"/>
                <w:lang w:eastAsia="zh-CN"/>
              </w:rPr>
              <w:t>忽略不计。</w:t>
            </w:r>
          </w:p>
          <w:p w14:paraId="47A78523">
            <w:pPr>
              <w:spacing w:line="360" w:lineRule="auto"/>
              <w:ind w:firstLine="420" w:firstLineChars="200"/>
              <w:rPr>
                <w:rFonts w:hint="default"/>
                <w:lang w:eastAsia="zh-CN"/>
              </w:rPr>
            </w:pPr>
            <w:r>
              <w:rPr>
                <w:rFonts w:hint="default" w:cs="宋体"/>
                <w:b w:val="0"/>
                <w:bCs w:val="0"/>
                <w:sz w:val="21"/>
                <w:szCs w:val="21"/>
                <w:lang w:eastAsia="zh-CN"/>
              </w:rPr>
              <w:t>③静电除尘：</w:t>
            </w:r>
            <w:r>
              <w:rPr>
                <w:rFonts w:ascii="宋体" w:hAnsi="宋体" w:cs="宋体"/>
                <w:b w:val="0"/>
                <w:bCs w:val="0"/>
                <w:sz w:val="21"/>
                <w:szCs w:val="21"/>
              </w:rPr>
              <w:t>为了防止</w:t>
            </w:r>
            <w:r>
              <w:rPr>
                <w:rFonts w:hint="eastAsia" w:cs="宋体"/>
                <w:b w:val="0"/>
                <w:bCs w:val="0"/>
                <w:sz w:val="21"/>
                <w:szCs w:val="21"/>
                <w:lang w:val="en-US" w:eastAsia="zh-CN"/>
              </w:rPr>
              <w:t>工件</w:t>
            </w:r>
            <w:r>
              <w:rPr>
                <w:rFonts w:ascii="宋体" w:hAnsi="宋体" w:cs="宋体"/>
                <w:b w:val="0"/>
                <w:bCs w:val="0"/>
                <w:sz w:val="21"/>
                <w:szCs w:val="21"/>
              </w:rPr>
              <w:t>表面沾有的灰尘影响喷漆效果，</w:t>
            </w:r>
            <w:r>
              <w:rPr>
                <w:rFonts w:ascii="宋体" w:hAnsi="宋体" w:cs="宋体"/>
              </w:rPr>
              <w:t>需要通过空气枪将工件表面进行简单清洁，吹去工件表面的灰尘，项目采用在静电除尘器内利用压缩空气去除灰尘，产生的灰尘在静电作用下被吸附进入除尘器漏斗内收集。该工序主要产生除尘灰尘，由于工件表面灰尘量少，且静电除尘效果良好，灰尘逸散量很少，因此产生的除尘灰尘量可忽略不计。</w:t>
            </w:r>
          </w:p>
          <w:p w14:paraId="48CD77D2">
            <w:pPr>
              <w:pStyle w:val="5"/>
              <w:spacing w:line="360" w:lineRule="auto"/>
              <w:ind w:left="0" w:leftChars="0" w:firstLine="420" w:firstLineChars="200"/>
              <w:rPr>
                <w:rFonts w:hint="eastAsia" w:cs="宋体"/>
                <w:b w:val="0"/>
                <w:bCs w:val="0"/>
                <w:sz w:val="21"/>
                <w:szCs w:val="21"/>
                <w:lang w:eastAsia="zh-CN"/>
              </w:rPr>
            </w:pPr>
            <w:r>
              <w:rPr>
                <w:rFonts w:cs="宋体"/>
                <w:b w:val="0"/>
                <w:bCs w:val="0"/>
                <w:sz w:val="21"/>
                <w:szCs w:val="21"/>
              </w:rPr>
              <w:t>④喷漆：</w:t>
            </w:r>
            <w:r>
              <w:rPr>
                <w:rFonts w:hint="eastAsia" w:cs="宋体"/>
                <w:b w:val="0"/>
                <w:bCs w:val="0"/>
                <w:sz w:val="21"/>
                <w:szCs w:val="21"/>
              </w:rPr>
              <w:t>将底漆、稀释剂按照</w:t>
            </w:r>
            <w:r>
              <w:rPr>
                <w:rFonts w:hint="default" w:ascii="Times New Roman" w:hAnsi="Times New Roman" w:cs="Times New Roman"/>
                <w:b w:val="0"/>
                <w:bCs w:val="0"/>
                <w:sz w:val="21"/>
                <w:szCs w:val="21"/>
              </w:rPr>
              <w:t>5:3</w:t>
            </w:r>
            <w:r>
              <w:rPr>
                <w:rFonts w:hint="eastAsia" w:ascii="Times New Roman" w:hAnsi="Times New Roman" w:cs="Times New Roman"/>
                <w:b w:val="0"/>
                <w:bCs w:val="0"/>
                <w:sz w:val="21"/>
                <w:szCs w:val="21"/>
                <w:lang w:eastAsia="zh-CN"/>
              </w:rPr>
              <w:t>，</w:t>
            </w:r>
            <w:r>
              <w:rPr>
                <w:rFonts w:hint="eastAsia" w:ascii="Times New Roman" w:hAnsi="Times New Roman" w:cs="Times New Roman"/>
                <w:b w:val="0"/>
                <w:bCs w:val="0"/>
                <w:sz w:val="21"/>
                <w:szCs w:val="21"/>
                <w:lang w:val="en-US" w:eastAsia="zh-CN"/>
              </w:rPr>
              <w:t>面漆、稀释剂按照4:1.5，清漆、固化剂、稀释剂按照</w:t>
            </w:r>
            <w:r>
              <w:rPr>
                <w:rFonts w:hint="eastAsia" w:ascii="Times New Roman" w:hAnsi="Times New Roman" w:cs="Times New Roman"/>
                <w:b w:val="0"/>
                <w:bCs w:val="0"/>
                <w:color w:val="auto"/>
                <w:sz w:val="21"/>
                <w:szCs w:val="21"/>
                <w:lang w:val="en-US" w:eastAsia="zh-CN"/>
              </w:rPr>
              <w:t>3:1:1</w:t>
            </w:r>
            <w:r>
              <w:rPr>
                <w:rFonts w:hint="eastAsia" w:cs="宋体"/>
                <w:b w:val="0"/>
                <w:bCs w:val="0"/>
                <w:sz w:val="21"/>
                <w:szCs w:val="21"/>
              </w:rPr>
              <w:t>加入调漆罐内调配，调配过程中不需要加热，调配好的油漆通过管道泵至涂装工序</w:t>
            </w:r>
            <w:r>
              <w:rPr>
                <w:rFonts w:hint="eastAsia" w:cs="宋体"/>
                <w:b w:val="0"/>
                <w:bCs w:val="0"/>
                <w:sz w:val="21"/>
                <w:szCs w:val="21"/>
                <w:lang w:eastAsia="zh-CN"/>
              </w:rPr>
              <w:t>，项目使用</w:t>
            </w:r>
            <w:r>
              <w:rPr>
                <w:rFonts w:hint="eastAsia" w:cs="宋体"/>
                <w:b w:val="0"/>
                <w:bCs w:val="0"/>
                <w:sz w:val="21"/>
                <w:szCs w:val="21"/>
                <w:lang w:val="en-US" w:eastAsia="zh-CN"/>
              </w:rPr>
              <w:t>水帘</w:t>
            </w:r>
            <w:r>
              <w:rPr>
                <w:rFonts w:hint="eastAsia" w:cs="宋体"/>
                <w:b w:val="0"/>
                <w:bCs w:val="0"/>
                <w:sz w:val="21"/>
                <w:szCs w:val="21"/>
                <w:lang w:eastAsia="zh-CN"/>
              </w:rPr>
              <w:t>喷漆房，采用智能化静电喷枪喷涂方式。漆房为上送风下抽风式，新鲜空气通过空调送风装置送入</w:t>
            </w:r>
            <w:r>
              <w:rPr>
                <w:rFonts w:hint="eastAsia" w:cs="宋体"/>
                <w:b w:val="0"/>
                <w:bCs w:val="0"/>
                <w:sz w:val="21"/>
                <w:szCs w:val="21"/>
                <w:lang w:val="en-US" w:eastAsia="zh-CN"/>
              </w:rPr>
              <w:t>水帘</w:t>
            </w:r>
            <w:r>
              <w:rPr>
                <w:rFonts w:hint="eastAsia" w:cs="宋体"/>
                <w:b w:val="0"/>
                <w:bCs w:val="0"/>
                <w:sz w:val="21"/>
                <w:szCs w:val="21"/>
                <w:lang w:eastAsia="zh-CN"/>
              </w:rPr>
              <w:t>喷漆房房体顶部的均压室，经均流调节器和过滤层后，以一定的端面风速均匀地送入室体内，自上而下流经工件周围，然后因室外排风机的抽风作用将喷漆作业中产生的含有漆雾的废气迅速引至地板格栅以下的水旋器内，从溢水盘溢流到水旋器内的水在高速气流的作用下被雾化后与进入到水旋器内的气流充分混合，将其中的大部分漆雾带到水中。各喷漆房下方设有一个循环过滤池，喷漆废水在过滤池内絮凝沉淀（加絮凝剂）处理后循环使用。该工序主要污染物为：有机废气、漆雾、喷漆废水、漆渣、噪声。</w:t>
            </w:r>
          </w:p>
          <w:p w14:paraId="43F66E33">
            <w:pPr>
              <w:spacing w:line="360" w:lineRule="auto"/>
              <w:ind w:firstLine="420" w:firstLineChars="200"/>
              <w:rPr>
                <w:rFonts w:hint="eastAsia" w:cs="宋体"/>
                <w:b w:val="0"/>
                <w:bCs w:val="0"/>
                <w:sz w:val="21"/>
                <w:szCs w:val="21"/>
                <w:lang w:val="en-US" w:eastAsia="zh-CN"/>
              </w:rPr>
            </w:pPr>
            <w:r>
              <w:rPr>
                <w:rFonts w:hint="eastAsia" w:cs="宋体"/>
                <w:b w:val="0"/>
                <w:bCs w:val="0"/>
                <w:sz w:val="21"/>
                <w:szCs w:val="21"/>
                <w:lang w:val="en-US" w:eastAsia="zh-CN"/>
              </w:rPr>
              <w:t>⑤流平：被喷漆工件受漆后，在密闭、清洁的、有一定空气流速的隧道内运行10~15分钟，称为流平。主要目的是将湿漆工件表面的溶剂挥发气体在一定时间内挥发掉，挥发气体挥发的同时湿漆膜也得以流平，从而保证了漆膜的平整度和光泽度，在湿喷湿工艺中，流平也起到表干的作用，以便达到二度喷漆的质量。流平工段无需加热。该工序主要污染物为：有机废气。</w:t>
            </w:r>
          </w:p>
          <w:p w14:paraId="6CAAF14E">
            <w:pPr>
              <w:bidi w:val="0"/>
              <w:spacing w:line="360" w:lineRule="auto"/>
              <w:ind w:firstLine="420" w:firstLineChars="200"/>
              <w:rPr>
                <w:rFonts w:hint="eastAsia"/>
                <w:lang w:val="en-US" w:eastAsia="zh-CN"/>
              </w:rPr>
            </w:pPr>
            <w:r>
              <w:rPr>
                <w:rFonts w:hint="eastAsia"/>
                <w:lang w:val="en-US" w:eastAsia="zh-CN"/>
              </w:rPr>
              <w:t>⑥烘干：流平完成后工件进入烘干工序，以烤漆室内用电加热碳钎维发热管作为热源进行间接加热烘干，在热交换器中空气与加热器进行热交换后送到密闭的烘干线顶部，热空气以0.1-0.2m/s（有载）的风速进入到烘干线内；以热风对流的方式均匀加热工件，一部分烘干废气通过烘干线顶部另一管道再次进入热交换器内，形成热风内循环；一部分烘干废气通过负压抽风通过管道进入喷涂废气处理装置处理。烘干温度控制在60~90℃，烘干时间大约在5~10min。该工序主要污染物为：烘干有机废气。</w:t>
            </w:r>
          </w:p>
          <w:p w14:paraId="0C080762">
            <w:pPr>
              <w:bidi w:val="0"/>
              <w:spacing w:line="360" w:lineRule="auto"/>
              <w:ind w:firstLine="422" w:firstLineChars="200"/>
              <w:rPr>
                <w:rFonts w:hint="default"/>
                <w:lang w:val="en-US" w:eastAsia="zh-CN"/>
              </w:rPr>
            </w:pPr>
            <w:r>
              <w:rPr>
                <w:rFonts w:hint="eastAsia"/>
                <w:b/>
                <w:bCs/>
                <w:lang w:val="en-US" w:eastAsia="zh-CN"/>
              </w:rPr>
              <w:t>注：喷漆工序流程依次为底漆-流平-烘干-面漆-流平-烘干-清漆-流平-烘干。</w:t>
            </w:r>
          </w:p>
          <w:p w14:paraId="49C2F3A1">
            <w:pPr>
              <w:bidi w:val="0"/>
              <w:spacing w:line="360" w:lineRule="auto"/>
              <w:ind w:firstLine="420" w:firstLineChars="200"/>
              <w:rPr>
                <w:rFonts w:hint="eastAsia"/>
                <w:lang w:val="en-US" w:eastAsia="zh-CN"/>
              </w:rPr>
            </w:pPr>
            <w:r>
              <w:rPr>
                <w:rFonts w:hint="eastAsia"/>
                <w:lang w:val="en-US" w:eastAsia="zh-CN"/>
              </w:rPr>
              <w:t>⑦打磨抛光：使用手持打磨机、抛光机对工件先进行打磨、抛光。打磨介质为砂纸。打磨、抛光工序位于单独的封闭塑胶打磨间、抛光间内。打磨抛光工作台上方送风，工作台下方抽风，工作带上设置多孔，在微负压作用下，打磨/抛光粉尘通过孔隙进入下方的集气管道，通过高效过滤器过滤收集</w:t>
            </w:r>
            <w:r>
              <w:rPr>
                <w:rFonts w:hint="eastAsia"/>
                <w:color w:val="000000" w:themeColor="text1"/>
                <w:lang w:val="en-US" w:eastAsia="zh-CN"/>
                <w14:textFill>
                  <w14:solidFill>
                    <w14:schemeClr w14:val="tx1"/>
                  </w14:solidFill>
                </w14:textFill>
              </w:rPr>
              <w:t>，</w:t>
            </w:r>
            <w:r>
              <w:rPr>
                <w:rFonts w:hint="eastAsia" w:ascii="宋体" w:hAnsi="宋体" w:cs="宋体"/>
                <w:color w:val="000000" w:themeColor="text1"/>
                <w:kern w:val="0"/>
                <w:lang w:val="en-US" w:eastAsia="zh-CN" w:bidi="ar"/>
                <w14:textFill>
                  <w14:solidFill>
                    <w14:schemeClr w14:val="tx1"/>
                  </w14:solidFill>
                </w14:textFill>
              </w:rPr>
              <w:t>打磨过程中会产生粉尘量较少，</w:t>
            </w:r>
            <w:r>
              <w:rPr>
                <w:rFonts w:ascii="宋体" w:hAnsi="宋体" w:cs="宋体"/>
                <w:color w:val="000000" w:themeColor="text1"/>
                <w14:textFill>
                  <w14:solidFill>
                    <w14:schemeClr w14:val="tx1"/>
                  </w14:solidFill>
                </w14:textFill>
              </w:rPr>
              <w:t>因此产生的</w:t>
            </w:r>
            <w:r>
              <w:rPr>
                <w:rFonts w:hint="eastAsia" w:ascii="宋体" w:hAnsi="宋体" w:cs="宋体"/>
                <w:color w:val="000000" w:themeColor="text1"/>
                <w:lang w:val="en-US" w:eastAsia="zh-CN"/>
                <w14:textFill>
                  <w14:solidFill>
                    <w14:schemeClr w14:val="tx1"/>
                  </w14:solidFill>
                </w14:textFill>
              </w:rPr>
              <w:t>打磨粉尘</w:t>
            </w:r>
            <w:r>
              <w:rPr>
                <w:rFonts w:ascii="宋体" w:hAnsi="宋体" w:cs="宋体"/>
                <w:color w:val="000000" w:themeColor="text1"/>
                <w14:textFill>
                  <w14:solidFill>
                    <w14:schemeClr w14:val="tx1"/>
                  </w14:solidFill>
                </w14:textFill>
              </w:rPr>
              <w:t>量可忽略不计。</w:t>
            </w:r>
            <w:r>
              <w:rPr>
                <w:rFonts w:hint="eastAsia"/>
                <w:lang w:val="en-US" w:eastAsia="zh-CN"/>
              </w:rPr>
              <w:t>该工序主要污染物为：打磨/抛光粉尘、噪声、废砂纸。</w:t>
            </w:r>
          </w:p>
          <w:p w14:paraId="621AFE8C">
            <w:pPr>
              <w:bidi w:val="0"/>
              <w:spacing w:line="360" w:lineRule="auto"/>
              <w:ind w:firstLine="420" w:firstLineChars="200"/>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lang w:val="en-US" w:eastAsia="zh-CN"/>
              </w:rPr>
              <w:t>⑧焊接组装：打磨抛光过的工件</w:t>
            </w:r>
            <w:r>
              <w:rPr>
                <w:rFonts w:hint="eastAsia" w:ascii="宋体" w:hAnsi="宋体" w:eastAsia="宋体" w:cs="宋体"/>
                <w:color w:val="000000" w:themeColor="text1"/>
                <w:kern w:val="0"/>
                <w:sz w:val="21"/>
                <w:szCs w:val="21"/>
                <w:lang w:val="en-US" w:eastAsia="zh-CN" w:bidi="ar"/>
                <w14:textFill>
                  <w14:solidFill>
                    <w14:schemeClr w14:val="tx1"/>
                  </w14:solidFill>
                </w14:textFill>
              </w:rPr>
              <w:t>其中一部分组装仅通过卡扣物理连接组装在一起；另外一部分组装是通过热铆焊机设备“焊点”位置的加热（温度</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175</w:t>
            </w:r>
            <w:r>
              <w:rPr>
                <w:rFonts w:hint="eastAsia" w:ascii="宋体" w:hAnsi="宋体" w:eastAsia="宋体" w:cs="宋体"/>
                <w:color w:val="000000" w:themeColor="text1"/>
                <w:kern w:val="0"/>
                <w:sz w:val="21"/>
                <w:szCs w:val="21"/>
                <w:lang w:val="en-US" w:eastAsia="zh-CN" w:bidi="ar"/>
                <w14:textFill>
                  <w14:solidFill>
                    <w14:schemeClr w14:val="tx1"/>
                  </w14:solidFill>
                </w14:textFill>
              </w:rPr>
              <w:t>℃至</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180</w:t>
            </w:r>
            <w:r>
              <w:rPr>
                <w:rFonts w:hint="eastAsia" w:ascii="宋体" w:hAnsi="宋体" w:eastAsia="宋体" w:cs="宋体"/>
                <w:color w:val="000000" w:themeColor="text1"/>
                <w:kern w:val="0"/>
                <w:sz w:val="21"/>
                <w:szCs w:val="21"/>
                <w:lang w:val="en-US" w:eastAsia="zh-CN" w:bidi="ar"/>
                <w14:textFill>
                  <w14:solidFill>
                    <w14:schemeClr w14:val="tx1"/>
                  </w14:solidFill>
                </w14:textFill>
              </w:rPr>
              <w:t>℃）和挤压使大零部件与小零部件能够组装在一起，由于项目原料为塑料，热铆焊接过程无粉尘产生，根据所使用的原辅材料性质分析，其产生的微量废气主要为非甲烷总烃类气体，当工程塑料在加热软化时会挥发出少量的有机气体和异味。因此，仅有焊接处塑料零件熔融后少量的有机废气，热铆焊接工序产生的有机废气为瞬时，且产生量较小，因此本次环评不对其进行量化分析。该工序主要污染物为热铆焊接废气</w:t>
            </w:r>
            <w:r>
              <w:rPr>
                <w:rFonts w:hint="eastAsia" w:ascii="宋体" w:hAnsi="宋体" w:cs="宋体"/>
                <w:color w:val="000000" w:themeColor="text1"/>
                <w:kern w:val="0"/>
                <w:sz w:val="21"/>
                <w:szCs w:val="21"/>
                <w:lang w:val="en-US" w:eastAsia="zh-CN" w:bidi="ar"/>
                <w14:textFill>
                  <w14:solidFill>
                    <w14:schemeClr w14:val="tx1"/>
                  </w14:solidFill>
                </w14:textFill>
              </w:rPr>
              <w:t>。</w:t>
            </w:r>
          </w:p>
          <w:p w14:paraId="23D6C075">
            <w:pPr>
              <w:bidi w:val="0"/>
              <w:spacing w:line="360" w:lineRule="auto"/>
              <w:ind w:firstLine="420" w:firstLineChars="200"/>
              <w:rPr>
                <w:rFonts w:hint="eastAsia"/>
                <w:lang w:val="en-US" w:eastAsia="zh-CN"/>
              </w:rPr>
            </w:pPr>
            <w:r>
              <w:rPr>
                <w:rFonts w:hint="eastAsia"/>
                <w:lang w:val="en-US" w:eastAsia="zh-CN"/>
              </w:rPr>
              <w:t>⑨检验：工件经人工测量尺寸，表面检查等物理查验。该工序主要污染物为：不合格产品，作为废品外售。</w:t>
            </w:r>
          </w:p>
          <w:p w14:paraId="146C1F24">
            <w:pPr>
              <w:bidi w:val="0"/>
              <w:spacing w:line="360" w:lineRule="auto"/>
              <w:ind w:firstLine="420" w:firstLineChars="200"/>
              <w:rPr>
                <w:rFonts w:hint="default"/>
                <w:lang w:val="en-US" w:eastAsia="zh-CN"/>
              </w:rPr>
            </w:pPr>
            <w:r>
              <w:rPr>
                <w:rFonts w:hint="eastAsia"/>
                <w:lang w:val="en-US" w:eastAsia="zh-CN"/>
              </w:rPr>
              <w:t>⑩包装入库：喷涂质量合格的工件经打包后进入纸盒内包装好，外售。该工序主要污染物为：废包装材料。</w:t>
            </w:r>
          </w:p>
          <w:p w14:paraId="72ECC7F9">
            <w:pPr>
              <w:numPr>
                <w:ilvl w:val="0"/>
                <w:numId w:val="8"/>
              </w:numPr>
              <w:bidi w:val="0"/>
              <w:spacing w:line="240" w:lineRule="auto"/>
              <w:ind w:left="0" w:leftChars="0" w:firstLine="0" w:firstLineChars="0"/>
              <w:jc w:val="both"/>
              <w:rPr>
                <w:rFonts w:hint="eastAsia"/>
                <w:b/>
                <w:bCs/>
                <w:lang w:val="en-US" w:eastAsia="zh-CN"/>
              </w:rPr>
            </w:pPr>
            <w:r>
              <w:rPr>
                <w:rFonts w:hint="eastAsia"/>
                <w:b/>
                <w:bCs/>
                <w:lang w:val="en-US" w:eastAsia="zh-CN"/>
              </w:rPr>
              <w:t>项目主要污染工序及污染物</w:t>
            </w:r>
          </w:p>
          <w:p w14:paraId="411F1603">
            <w:pPr>
              <w:numPr>
                <w:ilvl w:val="0"/>
                <w:numId w:val="0"/>
              </w:numPr>
              <w:bidi w:val="0"/>
              <w:spacing w:line="240" w:lineRule="auto"/>
              <w:ind w:leftChars="0"/>
              <w:jc w:val="center"/>
              <w:rPr>
                <w:rFonts w:hint="eastAsia"/>
                <w:b/>
                <w:bCs/>
                <w:lang w:val="en-US" w:eastAsia="zh-CN"/>
              </w:rPr>
            </w:pPr>
            <w:r>
              <w:rPr>
                <w:rFonts w:hint="eastAsia"/>
                <w:b/>
                <w:bCs/>
                <w:lang w:val="en-US" w:eastAsia="zh-CN"/>
              </w:rPr>
              <w:t>表2-10项目主要污染工序及污染物</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666"/>
              <w:gridCol w:w="1080"/>
              <w:gridCol w:w="2436"/>
              <w:gridCol w:w="3511"/>
            </w:tblGrid>
            <w:tr w14:paraId="6BF3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513B4246">
                  <w:pPr>
                    <w:bidi w:val="0"/>
                    <w:jc w:val="center"/>
                    <w:rPr>
                      <w:rFonts w:hint="default"/>
                      <w:lang w:val="en-US" w:eastAsia="zh-CN"/>
                    </w:rPr>
                  </w:pPr>
                  <w:r>
                    <w:rPr>
                      <w:rFonts w:hint="eastAsia"/>
                      <w:lang w:val="en-US" w:eastAsia="zh-CN"/>
                    </w:rPr>
                    <w:t>类别</w:t>
                  </w:r>
                </w:p>
              </w:tc>
              <w:tc>
                <w:tcPr>
                  <w:tcW w:w="1746" w:type="dxa"/>
                  <w:gridSpan w:val="2"/>
                  <w:vAlign w:val="center"/>
                </w:tcPr>
                <w:p w14:paraId="2063222C">
                  <w:pPr>
                    <w:bidi w:val="0"/>
                    <w:jc w:val="center"/>
                    <w:rPr>
                      <w:rFonts w:hint="default"/>
                      <w:lang w:val="en-US" w:eastAsia="zh-CN"/>
                    </w:rPr>
                  </w:pPr>
                  <w:r>
                    <w:rPr>
                      <w:rFonts w:hint="eastAsia"/>
                      <w:lang w:val="en-US" w:eastAsia="zh-CN"/>
                    </w:rPr>
                    <w:t>污染工序</w:t>
                  </w:r>
                </w:p>
              </w:tc>
              <w:tc>
                <w:tcPr>
                  <w:tcW w:w="2436" w:type="dxa"/>
                  <w:vAlign w:val="center"/>
                </w:tcPr>
                <w:p w14:paraId="7DDFC906">
                  <w:pPr>
                    <w:bidi w:val="0"/>
                    <w:jc w:val="center"/>
                    <w:rPr>
                      <w:rFonts w:hint="default"/>
                      <w:lang w:val="en-US" w:eastAsia="zh-CN"/>
                    </w:rPr>
                  </w:pPr>
                  <w:r>
                    <w:rPr>
                      <w:rFonts w:hint="eastAsia"/>
                      <w:lang w:val="en-US" w:eastAsia="zh-CN"/>
                    </w:rPr>
                    <w:t>污染物</w:t>
                  </w:r>
                </w:p>
              </w:tc>
              <w:tc>
                <w:tcPr>
                  <w:tcW w:w="3511" w:type="dxa"/>
                  <w:vAlign w:val="center"/>
                </w:tcPr>
                <w:p w14:paraId="6818DF55">
                  <w:pPr>
                    <w:bidi w:val="0"/>
                    <w:jc w:val="center"/>
                    <w:rPr>
                      <w:rFonts w:hint="default"/>
                      <w:lang w:val="en-US" w:eastAsia="zh-CN"/>
                    </w:rPr>
                  </w:pPr>
                  <w:r>
                    <w:rPr>
                      <w:rFonts w:hint="eastAsia"/>
                      <w:lang w:val="en-US" w:eastAsia="zh-CN"/>
                    </w:rPr>
                    <w:t>处理排放情况</w:t>
                  </w:r>
                </w:p>
              </w:tc>
            </w:tr>
            <w:tr w14:paraId="49D2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vAlign w:val="center"/>
                </w:tcPr>
                <w:p w14:paraId="5710E19F">
                  <w:pPr>
                    <w:bidi w:val="0"/>
                    <w:jc w:val="center"/>
                    <w:rPr>
                      <w:rFonts w:hint="default"/>
                      <w:lang w:val="en-US" w:eastAsia="zh-CN"/>
                    </w:rPr>
                  </w:pPr>
                  <w:r>
                    <w:rPr>
                      <w:rFonts w:hint="eastAsia"/>
                      <w:lang w:val="en-US" w:eastAsia="zh-CN"/>
                    </w:rPr>
                    <w:t>废气</w:t>
                  </w:r>
                </w:p>
              </w:tc>
              <w:tc>
                <w:tcPr>
                  <w:tcW w:w="666" w:type="dxa"/>
                  <w:vMerge w:val="restart"/>
                  <w:vAlign w:val="center"/>
                </w:tcPr>
                <w:p w14:paraId="077BB3B3">
                  <w:pPr>
                    <w:bidi w:val="0"/>
                    <w:jc w:val="center"/>
                    <w:rPr>
                      <w:rFonts w:hint="default"/>
                      <w:lang w:val="en-US" w:eastAsia="zh-CN"/>
                    </w:rPr>
                  </w:pPr>
                  <w:r>
                    <w:rPr>
                      <w:rFonts w:hint="eastAsia"/>
                      <w:lang w:val="en-US" w:eastAsia="zh-CN"/>
                    </w:rPr>
                    <w:t>注塑车间</w:t>
                  </w:r>
                </w:p>
              </w:tc>
              <w:tc>
                <w:tcPr>
                  <w:tcW w:w="1080" w:type="dxa"/>
                  <w:vAlign w:val="center"/>
                </w:tcPr>
                <w:p w14:paraId="0C2E1FA5">
                  <w:pPr>
                    <w:bidi w:val="0"/>
                    <w:jc w:val="center"/>
                    <w:rPr>
                      <w:rFonts w:hint="default"/>
                      <w:lang w:val="en-US" w:eastAsia="zh-CN"/>
                    </w:rPr>
                  </w:pPr>
                  <w:r>
                    <w:rPr>
                      <w:rFonts w:hint="eastAsia"/>
                      <w:lang w:val="en-US" w:eastAsia="zh-CN"/>
                    </w:rPr>
                    <w:t>注塑</w:t>
                  </w:r>
                </w:p>
              </w:tc>
              <w:tc>
                <w:tcPr>
                  <w:tcW w:w="2436" w:type="dxa"/>
                  <w:vAlign w:val="center"/>
                </w:tcPr>
                <w:p w14:paraId="313C3274">
                  <w:pPr>
                    <w:bidi w:val="0"/>
                    <w:jc w:val="center"/>
                    <w:rPr>
                      <w:rFonts w:hint="eastAsia" w:eastAsia="宋体"/>
                      <w:lang w:val="en-US" w:eastAsia="zh-CN"/>
                    </w:rPr>
                  </w:pPr>
                  <w:r>
                    <w:rPr>
                      <w:rFonts w:hint="default" w:ascii="Times New Roman" w:hAnsi="Times New Roman" w:cs="Times New Roman"/>
                      <w:szCs w:val="21"/>
                    </w:rPr>
                    <w:t>VOCs</w:t>
                  </w:r>
                  <w:r>
                    <w:rPr>
                      <w:rFonts w:hint="eastAsia" w:ascii="Times New Roman" w:hAnsi="Times New Roman" w:cs="Times New Roman"/>
                      <w:szCs w:val="21"/>
                      <w:lang w:eastAsia="zh-CN"/>
                    </w:rPr>
                    <w:t>、</w:t>
                  </w:r>
                  <w:r>
                    <w:rPr>
                      <w:rFonts w:hint="eastAsia" w:ascii="宋体" w:hAnsi="宋体" w:eastAsia="宋体" w:cs="宋体"/>
                      <w:color w:val="000000"/>
                      <w:kern w:val="0"/>
                      <w:sz w:val="21"/>
                      <w:szCs w:val="21"/>
                      <w:lang w:val="en-US" w:eastAsia="zh-CN" w:bidi="ar"/>
                    </w:rPr>
                    <w:t>丙烯腈</w:t>
                  </w:r>
                  <w:r>
                    <w:rPr>
                      <w:rFonts w:hint="eastAsia" w:ascii="宋体" w:hAnsi="宋体" w:cs="宋体"/>
                      <w:color w:val="000000"/>
                      <w:kern w:val="0"/>
                      <w:sz w:val="21"/>
                      <w:szCs w:val="21"/>
                      <w:lang w:val="en-US" w:eastAsia="zh-CN" w:bidi="ar"/>
                    </w:rPr>
                    <w:t>、</w:t>
                  </w:r>
                  <w:r>
                    <w:rPr>
                      <w:rFonts w:hint="eastAsia"/>
                      <w:szCs w:val="21"/>
                    </w:rPr>
                    <w:t>苯乙烯</w:t>
                  </w:r>
                </w:p>
              </w:tc>
              <w:tc>
                <w:tcPr>
                  <w:tcW w:w="3511" w:type="dxa"/>
                  <w:vAlign w:val="center"/>
                </w:tcPr>
                <w:p w14:paraId="77F82D24">
                  <w:pPr>
                    <w:bidi w:val="0"/>
                    <w:jc w:val="center"/>
                    <w:rPr>
                      <w:rFonts w:hint="default" w:ascii="Times New Roman" w:hAnsi="Times New Roman" w:cs="Times New Roman"/>
                      <w:lang w:val="en-US" w:eastAsia="zh-CN"/>
                    </w:rPr>
                  </w:pPr>
                  <w:r>
                    <w:rPr>
                      <w:rFonts w:hint="eastAsia" w:ascii="Times New Roman" w:hAnsi="Times New Roman" w:cs="Times New Roman"/>
                      <w:color w:val="000000"/>
                      <w:kern w:val="0"/>
                      <w:sz w:val="21"/>
                      <w:szCs w:val="21"/>
                      <w:lang w:val="en-US" w:eastAsia="zh-CN" w:bidi="ar"/>
                    </w:rPr>
                    <w:t>集气罩+</w:t>
                  </w:r>
                  <w:r>
                    <w:rPr>
                      <w:rFonts w:hint="default" w:ascii="Times New Roman" w:hAnsi="Times New Roman" w:cs="Times New Roman"/>
                      <w:color w:val="000000"/>
                      <w:kern w:val="0"/>
                      <w:sz w:val="21"/>
                      <w:szCs w:val="21"/>
                      <w:lang w:val="en-US" w:eastAsia="zh-CN" w:bidi="ar"/>
                    </w:rPr>
                    <w:t>二</w:t>
                  </w:r>
                  <w:r>
                    <w:rPr>
                      <w:rFonts w:hint="default" w:ascii="Times New Roman" w:hAnsi="Times New Roman" w:eastAsia="宋体" w:cs="Times New Roman"/>
                      <w:color w:val="000000"/>
                      <w:kern w:val="0"/>
                      <w:sz w:val="21"/>
                      <w:szCs w:val="21"/>
                      <w:lang w:val="en-US" w:eastAsia="zh-CN" w:bidi="ar"/>
                    </w:rPr>
                    <w:t>级活性炭吸附处理</w:t>
                  </w:r>
                  <w:r>
                    <w:rPr>
                      <w:rFonts w:hint="default" w:ascii="Times New Roman" w:hAnsi="Times New Roman" w:cs="Times New Roman"/>
                      <w:color w:val="000000"/>
                      <w:kern w:val="0"/>
                      <w:sz w:val="21"/>
                      <w:szCs w:val="21"/>
                      <w:lang w:val="en-US" w:eastAsia="zh-CN" w:bidi="ar"/>
                    </w:rPr>
                    <w:t>装置+</w:t>
                  </w:r>
                  <w:r>
                    <w:rPr>
                      <w:rFonts w:hint="eastAsia" w:ascii="Times New Roman" w:hAnsi="Times New Roman" w:cs="Times New Roman"/>
                      <w:color w:val="000000"/>
                      <w:kern w:val="0"/>
                      <w:sz w:val="21"/>
                      <w:szCs w:val="21"/>
                      <w:lang w:val="en-US" w:eastAsia="zh-CN" w:bidi="ar"/>
                    </w:rPr>
                    <w:t>15m</w:t>
                  </w:r>
                  <w:r>
                    <w:rPr>
                      <w:rFonts w:hint="default" w:ascii="Times New Roman" w:hAnsi="Times New Roman" w:cs="Times New Roman"/>
                      <w:color w:val="000000"/>
                      <w:kern w:val="0"/>
                      <w:sz w:val="21"/>
                      <w:szCs w:val="21"/>
                      <w:lang w:val="en-US" w:eastAsia="zh-CN" w:bidi="ar"/>
                    </w:rPr>
                    <w:t>排气筒DA001</w:t>
                  </w:r>
                  <w:r>
                    <w:rPr>
                      <w:rFonts w:hint="eastAsia" w:ascii="Times New Roman" w:hAnsi="Times New Roman" w:cs="Times New Roman"/>
                      <w:color w:val="000000"/>
                      <w:kern w:val="0"/>
                      <w:sz w:val="21"/>
                      <w:szCs w:val="21"/>
                      <w:lang w:val="en-US" w:eastAsia="zh-CN" w:bidi="ar"/>
                    </w:rPr>
                    <w:t>排放</w:t>
                  </w:r>
                </w:p>
              </w:tc>
            </w:tr>
            <w:tr w14:paraId="5120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546123BB">
                  <w:pPr>
                    <w:bidi w:val="0"/>
                    <w:jc w:val="center"/>
                    <w:rPr>
                      <w:rFonts w:hint="eastAsia"/>
                      <w:lang w:val="en-US" w:eastAsia="zh-CN"/>
                    </w:rPr>
                  </w:pPr>
                </w:p>
              </w:tc>
              <w:tc>
                <w:tcPr>
                  <w:tcW w:w="666" w:type="dxa"/>
                  <w:vMerge w:val="continue"/>
                  <w:vAlign w:val="center"/>
                </w:tcPr>
                <w:p w14:paraId="351EDF8F">
                  <w:pPr>
                    <w:bidi w:val="0"/>
                    <w:jc w:val="center"/>
                    <w:rPr>
                      <w:rFonts w:hint="eastAsia"/>
                      <w:lang w:val="en-US" w:eastAsia="zh-CN"/>
                    </w:rPr>
                  </w:pPr>
                </w:p>
              </w:tc>
              <w:tc>
                <w:tcPr>
                  <w:tcW w:w="1080" w:type="dxa"/>
                  <w:vAlign w:val="center"/>
                </w:tcPr>
                <w:p w14:paraId="6A981EC3">
                  <w:pPr>
                    <w:bidi w:val="0"/>
                    <w:jc w:val="center"/>
                    <w:rPr>
                      <w:rFonts w:hint="default"/>
                      <w:lang w:val="en-US" w:eastAsia="zh-CN"/>
                    </w:rPr>
                  </w:pPr>
                  <w:r>
                    <w:rPr>
                      <w:rFonts w:hint="eastAsia"/>
                      <w:lang w:val="en-US" w:eastAsia="zh-CN"/>
                    </w:rPr>
                    <w:t>破碎</w:t>
                  </w:r>
                </w:p>
              </w:tc>
              <w:tc>
                <w:tcPr>
                  <w:tcW w:w="2436" w:type="dxa"/>
                  <w:vAlign w:val="center"/>
                </w:tcPr>
                <w:p w14:paraId="1B48FF13">
                  <w:pPr>
                    <w:bidi w:val="0"/>
                    <w:jc w:val="center"/>
                    <w:rPr>
                      <w:rFonts w:hint="default"/>
                      <w:lang w:val="en-US" w:eastAsia="zh-CN"/>
                    </w:rPr>
                  </w:pPr>
                  <w:r>
                    <w:rPr>
                      <w:rFonts w:hint="eastAsia"/>
                      <w:lang w:val="en-US" w:eastAsia="zh-CN"/>
                    </w:rPr>
                    <w:t>颗粒物</w:t>
                  </w:r>
                </w:p>
              </w:tc>
              <w:tc>
                <w:tcPr>
                  <w:tcW w:w="3511" w:type="dxa"/>
                  <w:vAlign w:val="center"/>
                </w:tcPr>
                <w:p w14:paraId="0A70C71E">
                  <w:pPr>
                    <w:bidi w:val="0"/>
                    <w:jc w:val="center"/>
                    <w:rPr>
                      <w:rFonts w:hint="default" w:ascii="Times New Roman" w:hAnsi="Times New Roman" w:cs="Times New Roman"/>
                      <w:lang w:val="en-US" w:eastAsia="zh-CN"/>
                    </w:rPr>
                  </w:pPr>
                  <w:r>
                    <w:rPr>
                      <w:rFonts w:hint="default" w:ascii="Times New Roman" w:hAnsi="Times New Roman" w:eastAsia="宋体" w:cs="Times New Roman"/>
                      <w:color w:val="000000"/>
                      <w:kern w:val="0"/>
                      <w:sz w:val="21"/>
                      <w:szCs w:val="21"/>
                      <w:lang w:val="en-US" w:eastAsia="zh-CN" w:bidi="ar"/>
                    </w:rPr>
                    <w:t>布袋除尘器</w:t>
                  </w:r>
                  <w:r>
                    <w:rPr>
                      <w:rFonts w:hint="default" w:ascii="Times New Roman" w:hAnsi="Times New Roman" w:cs="Times New Roman"/>
                      <w:color w:val="000000"/>
                      <w:kern w:val="0"/>
                      <w:sz w:val="21"/>
                      <w:szCs w:val="21"/>
                      <w:lang w:val="en-US" w:eastAsia="zh-CN" w:bidi="ar"/>
                    </w:rPr>
                    <w:t>+</w:t>
                  </w:r>
                  <w:r>
                    <w:rPr>
                      <w:rFonts w:hint="eastAsia" w:ascii="Times New Roman" w:hAnsi="Times New Roman" w:cs="Times New Roman"/>
                      <w:color w:val="000000"/>
                      <w:kern w:val="0"/>
                      <w:sz w:val="21"/>
                      <w:szCs w:val="21"/>
                      <w:lang w:val="en-US" w:eastAsia="zh-CN" w:bidi="ar"/>
                    </w:rPr>
                    <w:t>15m</w:t>
                  </w:r>
                  <w:r>
                    <w:rPr>
                      <w:rFonts w:hint="default" w:ascii="Times New Roman" w:hAnsi="Times New Roman" w:cs="Times New Roman"/>
                      <w:color w:val="000000"/>
                      <w:kern w:val="0"/>
                      <w:sz w:val="21"/>
                      <w:szCs w:val="21"/>
                      <w:lang w:val="en-US" w:eastAsia="zh-CN" w:bidi="ar"/>
                    </w:rPr>
                    <w:t>排气筒DA001排放</w:t>
                  </w:r>
                </w:p>
              </w:tc>
            </w:tr>
            <w:tr w14:paraId="5E80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44E2CC3C">
                  <w:pPr>
                    <w:bidi w:val="0"/>
                    <w:jc w:val="center"/>
                    <w:rPr>
                      <w:rFonts w:hint="eastAsia"/>
                      <w:lang w:val="en-US" w:eastAsia="zh-CN"/>
                    </w:rPr>
                  </w:pPr>
                </w:p>
              </w:tc>
              <w:tc>
                <w:tcPr>
                  <w:tcW w:w="666" w:type="dxa"/>
                  <w:vMerge w:val="restart"/>
                  <w:vAlign w:val="center"/>
                </w:tcPr>
                <w:p w14:paraId="571F8B7F">
                  <w:pPr>
                    <w:bidi w:val="0"/>
                    <w:jc w:val="center"/>
                    <w:rPr>
                      <w:rFonts w:hint="default"/>
                      <w:lang w:val="en-US" w:eastAsia="zh-CN"/>
                    </w:rPr>
                  </w:pPr>
                  <w:r>
                    <w:rPr>
                      <w:rFonts w:hint="eastAsia"/>
                      <w:lang w:val="en-US" w:eastAsia="zh-CN"/>
                    </w:rPr>
                    <w:t>喷涂车间</w:t>
                  </w:r>
                </w:p>
              </w:tc>
              <w:tc>
                <w:tcPr>
                  <w:tcW w:w="1080" w:type="dxa"/>
                  <w:vMerge w:val="restart"/>
                  <w:vAlign w:val="center"/>
                </w:tcPr>
                <w:p w14:paraId="0E16B1E9">
                  <w:pPr>
                    <w:bidi w:val="0"/>
                    <w:jc w:val="center"/>
                    <w:rPr>
                      <w:rFonts w:hint="default"/>
                      <w:lang w:val="en-US" w:eastAsia="zh-CN"/>
                    </w:rPr>
                  </w:pPr>
                  <w:r>
                    <w:rPr>
                      <w:rFonts w:hint="eastAsia"/>
                      <w:lang w:val="en-US" w:eastAsia="zh-CN"/>
                    </w:rPr>
                    <w:t>喷涂</w:t>
                  </w:r>
                </w:p>
              </w:tc>
              <w:tc>
                <w:tcPr>
                  <w:tcW w:w="2436" w:type="dxa"/>
                  <w:vAlign w:val="center"/>
                </w:tcPr>
                <w:p w14:paraId="233E61ED">
                  <w:pPr>
                    <w:bidi w:val="0"/>
                    <w:jc w:val="center"/>
                    <w:rPr>
                      <w:rFonts w:hint="default"/>
                      <w:lang w:val="en-US" w:eastAsia="zh-CN"/>
                    </w:rPr>
                  </w:pPr>
                  <w:r>
                    <w:rPr>
                      <w:rFonts w:hint="eastAsia"/>
                      <w:lang w:val="en-US" w:eastAsia="zh-CN"/>
                    </w:rPr>
                    <w:t>漆雾</w:t>
                  </w:r>
                </w:p>
              </w:tc>
              <w:tc>
                <w:tcPr>
                  <w:tcW w:w="3511" w:type="dxa"/>
                  <w:vAlign w:val="center"/>
                </w:tcPr>
                <w:p w14:paraId="51B046EF">
                  <w:pPr>
                    <w:bidi w:val="0"/>
                    <w:jc w:val="center"/>
                    <w:rPr>
                      <w:rFonts w:hint="default"/>
                      <w:lang w:val="en-US" w:eastAsia="zh-CN"/>
                    </w:rPr>
                  </w:pPr>
                  <w:r>
                    <w:rPr>
                      <w:rFonts w:hint="eastAsia" w:hAnsi="Times New Roman" w:eastAsia="宋体" w:cs="Times New Roman"/>
                      <w:color w:val="auto"/>
                      <w:sz w:val="21"/>
                      <w:szCs w:val="21"/>
                      <w:highlight w:val="none"/>
                      <w:lang w:val="en-US" w:eastAsia="zh-CN"/>
                    </w:rPr>
                    <w:t>水帘水洗柜除漆雾装置</w:t>
                  </w:r>
                  <w:r>
                    <w:rPr>
                      <w:rFonts w:hint="eastAsia" w:cs="Times New Roman"/>
                      <w:color w:val="auto"/>
                      <w:sz w:val="21"/>
                      <w:szCs w:val="21"/>
                      <w:highlight w:val="none"/>
                      <w:lang w:val="en-US" w:eastAsia="zh-CN"/>
                    </w:rPr>
                    <w:t>+过滤棉</w:t>
                  </w:r>
                </w:p>
              </w:tc>
            </w:tr>
            <w:tr w14:paraId="0E65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28C77576">
                  <w:pPr>
                    <w:bidi w:val="0"/>
                    <w:jc w:val="center"/>
                    <w:rPr>
                      <w:rFonts w:hint="eastAsia"/>
                      <w:lang w:val="en-US" w:eastAsia="zh-CN"/>
                    </w:rPr>
                  </w:pPr>
                </w:p>
              </w:tc>
              <w:tc>
                <w:tcPr>
                  <w:tcW w:w="666" w:type="dxa"/>
                  <w:vMerge w:val="continue"/>
                  <w:vAlign w:val="center"/>
                </w:tcPr>
                <w:p w14:paraId="68D583AD">
                  <w:pPr>
                    <w:bidi w:val="0"/>
                    <w:jc w:val="center"/>
                    <w:rPr>
                      <w:rFonts w:hint="eastAsia"/>
                      <w:lang w:val="en-US" w:eastAsia="zh-CN"/>
                    </w:rPr>
                  </w:pPr>
                </w:p>
              </w:tc>
              <w:tc>
                <w:tcPr>
                  <w:tcW w:w="1080" w:type="dxa"/>
                  <w:vMerge w:val="continue"/>
                  <w:vAlign w:val="center"/>
                </w:tcPr>
                <w:p w14:paraId="39E89940">
                  <w:pPr>
                    <w:bidi w:val="0"/>
                    <w:jc w:val="center"/>
                    <w:rPr>
                      <w:rFonts w:hint="eastAsia"/>
                      <w:lang w:val="en-US" w:eastAsia="zh-CN"/>
                    </w:rPr>
                  </w:pPr>
                </w:p>
              </w:tc>
              <w:tc>
                <w:tcPr>
                  <w:tcW w:w="2436" w:type="dxa"/>
                  <w:vAlign w:val="center"/>
                </w:tcPr>
                <w:p w14:paraId="0DD597CA">
                  <w:pPr>
                    <w:bidi w:val="0"/>
                    <w:jc w:val="center"/>
                    <w:rPr>
                      <w:rFonts w:hint="default" w:eastAsia="宋体"/>
                      <w:lang w:val="en-US" w:eastAsia="zh-CN"/>
                    </w:rPr>
                  </w:pPr>
                  <w:r>
                    <w:rPr>
                      <w:rFonts w:hint="default" w:ascii="Times New Roman" w:hAnsi="Times New Roman" w:cs="Times New Roman"/>
                      <w:szCs w:val="21"/>
                    </w:rPr>
                    <w:t>VOCs</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二甲苯、乙苯</w:t>
                  </w:r>
                </w:p>
              </w:tc>
              <w:tc>
                <w:tcPr>
                  <w:tcW w:w="3511" w:type="dxa"/>
                  <w:vMerge w:val="restart"/>
                  <w:vAlign w:val="center"/>
                </w:tcPr>
                <w:p w14:paraId="15E0CA2A">
                  <w:pPr>
                    <w:bidi w:val="0"/>
                    <w:jc w:val="center"/>
                    <w:rPr>
                      <w:rFonts w:hint="default"/>
                      <w:lang w:val="en-US" w:eastAsia="zh-CN"/>
                    </w:rPr>
                  </w:pPr>
                  <w:r>
                    <w:rPr>
                      <w:rFonts w:hint="eastAsia"/>
                      <w:sz w:val="21"/>
                      <w:szCs w:val="21"/>
                      <w:lang w:val="en-US" w:eastAsia="zh-CN"/>
                    </w:rPr>
                    <w:t>二级活性炭吸附装置+</w:t>
                  </w:r>
                  <w:r>
                    <w:rPr>
                      <w:rFonts w:hint="eastAsia" w:ascii="Times New Roman" w:hAnsi="Times New Roman" w:cs="Times New Roman"/>
                      <w:color w:val="000000"/>
                      <w:kern w:val="0"/>
                      <w:sz w:val="21"/>
                      <w:szCs w:val="21"/>
                      <w:lang w:val="en-US" w:eastAsia="zh-CN" w:bidi="ar"/>
                    </w:rPr>
                    <w:t>15m</w:t>
                  </w:r>
                  <w:r>
                    <w:rPr>
                      <w:rFonts w:hint="default" w:ascii="Times New Roman" w:hAnsi="Times New Roman" w:cs="Times New Roman"/>
                      <w:color w:val="000000"/>
                      <w:kern w:val="0"/>
                      <w:sz w:val="21"/>
                      <w:szCs w:val="21"/>
                      <w:lang w:val="en-US" w:eastAsia="zh-CN" w:bidi="ar"/>
                    </w:rPr>
                    <w:t>排气筒DA00</w:t>
                  </w:r>
                  <w:r>
                    <w:rPr>
                      <w:rFonts w:hint="eastAsia" w:cs="Times New Roman"/>
                      <w:color w:val="000000"/>
                      <w:kern w:val="0"/>
                      <w:sz w:val="21"/>
                      <w:szCs w:val="21"/>
                      <w:lang w:val="en-US" w:eastAsia="zh-CN" w:bidi="ar"/>
                    </w:rPr>
                    <w:t>2~DA007</w:t>
                  </w:r>
                  <w:r>
                    <w:rPr>
                      <w:rFonts w:hint="eastAsia" w:ascii="Times New Roman" w:hAnsi="Times New Roman" w:cs="Times New Roman"/>
                      <w:color w:val="000000"/>
                      <w:kern w:val="0"/>
                      <w:sz w:val="21"/>
                      <w:szCs w:val="21"/>
                      <w:lang w:val="en-US" w:eastAsia="zh-CN" w:bidi="ar"/>
                    </w:rPr>
                    <w:t>排放</w:t>
                  </w:r>
                </w:p>
              </w:tc>
            </w:tr>
            <w:tr w14:paraId="689A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6144090C">
                  <w:pPr>
                    <w:bidi w:val="0"/>
                    <w:jc w:val="center"/>
                    <w:rPr>
                      <w:rFonts w:hint="eastAsia"/>
                      <w:lang w:val="en-US" w:eastAsia="zh-CN"/>
                    </w:rPr>
                  </w:pPr>
                </w:p>
              </w:tc>
              <w:tc>
                <w:tcPr>
                  <w:tcW w:w="666" w:type="dxa"/>
                  <w:vMerge w:val="continue"/>
                  <w:vAlign w:val="center"/>
                </w:tcPr>
                <w:p w14:paraId="0FB9E8EC">
                  <w:pPr>
                    <w:bidi w:val="0"/>
                    <w:jc w:val="center"/>
                    <w:rPr>
                      <w:rFonts w:hint="eastAsia"/>
                      <w:lang w:val="en-US" w:eastAsia="zh-CN"/>
                    </w:rPr>
                  </w:pPr>
                </w:p>
              </w:tc>
              <w:tc>
                <w:tcPr>
                  <w:tcW w:w="1080" w:type="dxa"/>
                  <w:vAlign w:val="center"/>
                </w:tcPr>
                <w:p w14:paraId="67D62AFE">
                  <w:pPr>
                    <w:bidi w:val="0"/>
                    <w:jc w:val="center"/>
                    <w:rPr>
                      <w:rFonts w:hint="default"/>
                      <w:lang w:val="en-US" w:eastAsia="zh-CN"/>
                    </w:rPr>
                  </w:pPr>
                  <w:r>
                    <w:rPr>
                      <w:rFonts w:hint="eastAsia"/>
                      <w:lang w:val="en-US" w:eastAsia="zh-CN"/>
                    </w:rPr>
                    <w:t>焊接</w:t>
                  </w:r>
                </w:p>
              </w:tc>
              <w:tc>
                <w:tcPr>
                  <w:tcW w:w="2436" w:type="dxa"/>
                  <w:vAlign w:val="center"/>
                </w:tcPr>
                <w:p w14:paraId="53CA16CA">
                  <w:pPr>
                    <w:bidi w:val="0"/>
                    <w:jc w:val="center"/>
                    <w:rPr>
                      <w:rFonts w:hint="eastAsia"/>
                      <w:lang w:val="en-US" w:eastAsia="zh-CN"/>
                    </w:rPr>
                  </w:pPr>
                  <w:r>
                    <w:rPr>
                      <w:rFonts w:hint="default" w:ascii="Times New Roman" w:hAnsi="Times New Roman" w:cs="Times New Roman"/>
                      <w:szCs w:val="21"/>
                    </w:rPr>
                    <w:t>VOCs</w:t>
                  </w:r>
                </w:p>
              </w:tc>
              <w:tc>
                <w:tcPr>
                  <w:tcW w:w="3511" w:type="dxa"/>
                  <w:vMerge w:val="continue"/>
                  <w:vAlign w:val="center"/>
                </w:tcPr>
                <w:p w14:paraId="6E5D87CE">
                  <w:pPr>
                    <w:bidi w:val="0"/>
                    <w:jc w:val="center"/>
                    <w:rPr>
                      <w:rFonts w:hint="eastAsia"/>
                      <w:lang w:val="en-US" w:eastAsia="zh-CN"/>
                    </w:rPr>
                  </w:pPr>
                </w:p>
              </w:tc>
            </w:tr>
            <w:tr w14:paraId="1A05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6EAD00F8">
                  <w:pPr>
                    <w:bidi w:val="0"/>
                    <w:jc w:val="center"/>
                    <w:rPr>
                      <w:rFonts w:hint="eastAsia"/>
                      <w:lang w:val="en-US" w:eastAsia="zh-CN"/>
                    </w:rPr>
                  </w:pPr>
                </w:p>
              </w:tc>
              <w:tc>
                <w:tcPr>
                  <w:tcW w:w="666" w:type="dxa"/>
                  <w:vMerge w:val="continue"/>
                  <w:vAlign w:val="center"/>
                </w:tcPr>
                <w:p w14:paraId="684036DC">
                  <w:pPr>
                    <w:bidi w:val="0"/>
                    <w:jc w:val="center"/>
                    <w:rPr>
                      <w:rFonts w:hint="eastAsia"/>
                      <w:lang w:val="en-US" w:eastAsia="zh-CN"/>
                    </w:rPr>
                  </w:pPr>
                </w:p>
              </w:tc>
              <w:tc>
                <w:tcPr>
                  <w:tcW w:w="1080" w:type="dxa"/>
                  <w:vAlign w:val="center"/>
                </w:tcPr>
                <w:p w14:paraId="70823595">
                  <w:pPr>
                    <w:bidi w:val="0"/>
                    <w:jc w:val="center"/>
                    <w:rPr>
                      <w:rFonts w:hint="default"/>
                      <w:lang w:val="en-US" w:eastAsia="zh-CN"/>
                    </w:rPr>
                  </w:pPr>
                  <w:r>
                    <w:rPr>
                      <w:rFonts w:hint="eastAsia"/>
                      <w:lang w:val="en-US" w:eastAsia="zh-CN"/>
                    </w:rPr>
                    <w:t>烘干</w:t>
                  </w:r>
                </w:p>
              </w:tc>
              <w:tc>
                <w:tcPr>
                  <w:tcW w:w="2436" w:type="dxa"/>
                  <w:vAlign w:val="center"/>
                </w:tcPr>
                <w:p w14:paraId="6848346B">
                  <w:pPr>
                    <w:bidi w:val="0"/>
                    <w:jc w:val="center"/>
                    <w:rPr>
                      <w:rFonts w:hint="eastAsia"/>
                      <w:lang w:val="en-US" w:eastAsia="zh-CN"/>
                    </w:rPr>
                  </w:pPr>
                  <w:r>
                    <w:rPr>
                      <w:rFonts w:hint="default" w:ascii="Times New Roman" w:hAnsi="Times New Roman" w:cs="Times New Roman"/>
                      <w:szCs w:val="21"/>
                    </w:rPr>
                    <w:t>VOCs</w:t>
                  </w:r>
                </w:p>
              </w:tc>
              <w:tc>
                <w:tcPr>
                  <w:tcW w:w="3511" w:type="dxa"/>
                  <w:vMerge w:val="continue"/>
                  <w:vAlign w:val="center"/>
                </w:tcPr>
                <w:p w14:paraId="0AB4F44B">
                  <w:pPr>
                    <w:bidi w:val="0"/>
                    <w:jc w:val="center"/>
                    <w:rPr>
                      <w:rFonts w:hint="eastAsia"/>
                      <w:lang w:val="en-US" w:eastAsia="zh-CN"/>
                    </w:rPr>
                  </w:pPr>
                </w:p>
              </w:tc>
            </w:tr>
            <w:tr w14:paraId="7A0C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05B1EB37">
                  <w:pPr>
                    <w:bidi w:val="0"/>
                    <w:jc w:val="center"/>
                    <w:rPr>
                      <w:rFonts w:hint="eastAsia"/>
                      <w:lang w:val="en-US" w:eastAsia="zh-CN"/>
                    </w:rPr>
                  </w:pPr>
                </w:p>
              </w:tc>
              <w:tc>
                <w:tcPr>
                  <w:tcW w:w="666" w:type="dxa"/>
                  <w:vMerge w:val="continue"/>
                  <w:vAlign w:val="center"/>
                </w:tcPr>
                <w:p w14:paraId="503265DF">
                  <w:pPr>
                    <w:bidi w:val="0"/>
                    <w:jc w:val="center"/>
                    <w:rPr>
                      <w:rFonts w:hint="eastAsia"/>
                      <w:lang w:val="en-US" w:eastAsia="zh-CN"/>
                    </w:rPr>
                  </w:pPr>
                </w:p>
              </w:tc>
              <w:tc>
                <w:tcPr>
                  <w:tcW w:w="1080" w:type="dxa"/>
                  <w:vAlign w:val="center"/>
                </w:tcPr>
                <w:p w14:paraId="0107F50A">
                  <w:pPr>
                    <w:bidi w:val="0"/>
                    <w:jc w:val="center"/>
                    <w:rPr>
                      <w:rFonts w:hint="default"/>
                      <w:lang w:val="en-US" w:eastAsia="zh-CN"/>
                    </w:rPr>
                  </w:pPr>
                  <w:r>
                    <w:rPr>
                      <w:rFonts w:hint="eastAsia"/>
                      <w:lang w:val="en-US" w:eastAsia="zh-CN"/>
                    </w:rPr>
                    <w:t>流平</w:t>
                  </w:r>
                </w:p>
              </w:tc>
              <w:tc>
                <w:tcPr>
                  <w:tcW w:w="2436" w:type="dxa"/>
                  <w:vAlign w:val="center"/>
                </w:tcPr>
                <w:p w14:paraId="0824DC0A">
                  <w:pPr>
                    <w:bidi w:val="0"/>
                    <w:jc w:val="center"/>
                    <w:rPr>
                      <w:rFonts w:hint="eastAsia"/>
                      <w:lang w:val="en-US" w:eastAsia="zh-CN"/>
                    </w:rPr>
                  </w:pPr>
                  <w:r>
                    <w:rPr>
                      <w:rFonts w:hint="default" w:ascii="Times New Roman" w:hAnsi="Times New Roman" w:cs="Times New Roman"/>
                      <w:szCs w:val="21"/>
                    </w:rPr>
                    <w:t>VOCs</w:t>
                  </w:r>
                </w:p>
              </w:tc>
              <w:tc>
                <w:tcPr>
                  <w:tcW w:w="3511" w:type="dxa"/>
                  <w:vMerge w:val="continue"/>
                  <w:vAlign w:val="center"/>
                </w:tcPr>
                <w:p w14:paraId="0AB0E2A4">
                  <w:pPr>
                    <w:bidi w:val="0"/>
                    <w:jc w:val="center"/>
                    <w:rPr>
                      <w:rFonts w:hint="eastAsia"/>
                      <w:lang w:val="en-US" w:eastAsia="zh-CN"/>
                    </w:rPr>
                  </w:pPr>
                </w:p>
              </w:tc>
            </w:tr>
            <w:tr w14:paraId="259C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61BA4A31">
                  <w:pPr>
                    <w:bidi w:val="0"/>
                    <w:jc w:val="center"/>
                    <w:rPr>
                      <w:rFonts w:hint="eastAsia"/>
                      <w:lang w:val="en-US" w:eastAsia="zh-CN"/>
                    </w:rPr>
                  </w:pPr>
                </w:p>
              </w:tc>
              <w:tc>
                <w:tcPr>
                  <w:tcW w:w="666" w:type="dxa"/>
                  <w:vMerge w:val="continue"/>
                  <w:vAlign w:val="center"/>
                </w:tcPr>
                <w:p w14:paraId="5716CC84">
                  <w:pPr>
                    <w:bidi w:val="0"/>
                    <w:jc w:val="center"/>
                    <w:rPr>
                      <w:rFonts w:hint="eastAsia"/>
                      <w:lang w:val="en-US" w:eastAsia="zh-CN"/>
                    </w:rPr>
                  </w:pPr>
                </w:p>
              </w:tc>
              <w:tc>
                <w:tcPr>
                  <w:tcW w:w="1080" w:type="dxa"/>
                  <w:vAlign w:val="center"/>
                </w:tcPr>
                <w:p w14:paraId="7048B73D">
                  <w:pPr>
                    <w:bidi w:val="0"/>
                    <w:jc w:val="center"/>
                    <w:rPr>
                      <w:rFonts w:hint="default"/>
                      <w:lang w:val="en-US" w:eastAsia="zh-CN"/>
                    </w:rPr>
                  </w:pPr>
                  <w:r>
                    <w:rPr>
                      <w:rFonts w:hint="eastAsia"/>
                      <w:lang w:val="en-US" w:eastAsia="zh-CN"/>
                    </w:rPr>
                    <w:t>打磨抛光</w:t>
                  </w:r>
                </w:p>
              </w:tc>
              <w:tc>
                <w:tcPr>
                  <w:tcW w:w="2436" w:type="dxa"/>
                  <w:vAlign w:val="center"/>
                </w:tcPr>
                <w:p w14:paraId="4708F916">
                  <w:pPr>
                    <w:bidi w:val="0"/>
                    <w:jc w:val="center"/>
                    <w:rPr>
                      <w:rFonts w:hint="default" w:ascii="Times New Roman" w:hAnsi="Times New Roman" w:cs="Times New Roman"/>
                      <w:szCs w:val="21"/>
                    </w:rPr>
                  </w:pPr>
                  <w:r>
                    <w:rPr>
                      <w:rFonts w:hint="eastAsia"/>
                      <w:lang w:val="en-US" w:eastAsia="zh-CN"/>
                    </w:rPr>
                    <w:t>颗粒物</w:t>
                  </w:r>
                </w:p>
              </w:tc>
              <w:tc>
                <w:tcPr>
                  <w:tcW w:w="3511" w:type="dxa"/>
                  <w:vAlign w:val="center"/>
                </w:tcPr>
                <w:p w14:paraId="38083FA5">
                  <w:pPr>
                    <w:bidi w:val="0"/>
                    <w:jc w:val="center"/>
                    <w:rPr>
                      <w:rFonts w:hint="eastAsia"/>
                      <w:lang w:val="en-US" w:eastAsia="zh-CN"/>
                    </w:rPr>
                  </w:pPr>
                  <w:r>
                    <w:rPr>
                      <w:rFonts w:hint="eastAsia" w:ascii="宋体" w:hAnsi="宋体" w:eastAsia="宋体" w:cs="宋体"/>
                      <w:color w:val="000000"/>
                      <w:kern w:val="0"/>
                      <w:sz w:val="21"/>
                      <w:szCs w:val="21"/>
                      <w:lang w:val="en-US" w:eastAsia="zh-CN" w:bidi="ar"/>
                    </w:rPr>
                    <w:t>洁净厂房高效过滤器过滤收集</w:t>
                  </w:r>
                </w:p>
              </w:tc>
            </w:tr>
            <w:tr w14:paraId="0B71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vAlign w:val="center"/>
                </w:tcPr>
                <w:p w14:paraId="32934375">
                  <w:pPr>
                    <w:bidi w:val="0"/>
                    <w:jc w:val="center"/>
                    <w:rPr>
                      <w:rFonts w:hint="default"/>
                      <w:lang w:val="en-US" w:eastAsia="zh-CN"/>
                    </w:rPr>
                  </w:pPr>
                  <w:r>
                    <w:rPr>
                      <w:rFonts w:hint="eastAsia"/>
                      <w:lang w:val="en-US" w:eastAsia="zh-CN"/>
                    </w:rPr>
                    <w:t>废水</w:t>
                  </w:r>
                </w:p>
              </w:tc>
              <w:tc>
                <w:tcPr>
                  <w:tcW w:w="1746" w:type="dxa"/>
                  <w:gridSpan w:val="2"/>
                  <w:vAlign w:val="center"/>
                </w:tcPr>
                <w:p w14:paraId="35AE26CA">
                  <w:pPr>
                    <w:bidi w:val="0"/>
                    <w:jc w:val="center"/>
                    <w:rPr>
                      <w:rFonts w:hint="default"/>
                      <w:lang w:val="en-US" w:eastAsia="zh-CN"/>
                    </w:rPr>
                  </w:pPr>
                  <w:r>
                    <w:rPr>
                      <w:rFonts w:hint="eastAsia"/>
                      <w:lang w:val="en-US" w:eastAsia="zh-CN"/>
                    </w:rPr>
                    <w:t>生活用水</w:t>
                  </w:r>
                </w:p>
              </w:tc>
              <w:tc>
                <w:tcPr>
                  <w:tcW w:w="2436" w:type="dxa"/>
                  <w:vMerge w:val="restart"/>
                  <w:vAlign w:val="center"/>
                </w:tcPr>
                <w:p w14:paraId="548A9632">
                  <w:pPr>
                    <w:keepNext w:val="0"/>
                    <w:keepLines w:val="0"/>
                    <w:widowControl/>
                    <w:suppressLineNumbers w:val="0"/>
                    <w:jc w:val="left"/>
                    <w:rPr>
                      <w:rFonts w:hint="eastAsia"/>
                      <w:lang w:val="en-US" w:eastAsia="zh-CN"/>
                    </w:rPr>
                  </w:pPr>
                  <w:r>
                    <w:rPr>
                      <w:rFonts w:hint="default" w:ascii="Times New Roman" w:hAnsi="Times New Roman" w:eastAsia="宋体" w:cs="Times New Roman"/>
                      <w:color w:val="000000"/>
                      <w:kern w:val="0"/>
                      <w:sz w:val="21"/>
                      <w:szCs w:val="21"/>
                      <w:lang w:val="en-US" w:eastAsia="zh-CN" w:bidi="ar"/>
                    </w:rPr>
                    <w:t>COD</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BOD</w:t>
                  </w:r>
                  <w:r>
                    <w:rPr>
                      <w:rFonts w:hint="default" w:ascii="Times New Roman" w:hAnsi="Times New Roman" w:eastAsia="宋体" w:cs="Times New Roman"/>
                      <w:color w:val="000000"/>
                      <w:kern w:val="0"/>
                      <w:sz w:val="21"/>
                      <w:szCs w:val="21"/>
                      <w:vertAlign w:val="subscript"/>
                      <w:lang w:val="en-US" w:eastAsia="zh-CN" w:bidi="ar"/>
                    </w:rPr>
                    <w:t>5</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SS</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-N</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TP</w:t>
                  </w:r>
                  <w:r>
                    <w:rPr>
                      <w:rFonts w:hint="eastAsia" w:ascii="宋体" w:hAnsi="宋体" w:eastAsia="宋体" w:cs="宋体"/>
                      <w:color w:val="000000"/>
                      <w:kern w:val="0"/>
                      <w:sz w:val="21"/>
                      <w:szCs w:val="21"/>
                      <w:lang w:val="en-US" w:eastAsia="zh-CN" w:bidi="ar"/>
                    </w:rPr>
                    <w:t>、动植物油</w:t>
                  </w:r>
                </w:p>
              </w:tc>
              <w:tc>
                <w:tcPr>
                  <w:tcW w:w="3511" w:type="dxa"/>
                  <w:vMerge w:val="restart"/>
                  <w:vAlign w:val="center"/>
                </w:tcPr>
                <w:p w14:paraId="4BA1746B">
                  <w:pPr>
                    <w:bidi w:val="0"/>
                    <w:jc w:val="center"/>
                    <w:rPr>
                      <w:rFonts w:hint="default"/>
                      <w:lang w:val="en-US" w:eastAsia="zh-CN"/>
                    </w:rPr>
                  </w:pPr>
                  <w:r>
                    <w:rPr>
                      <w:rFonts w:hint="eastAsia"/>
                      <w:lang w:val="en-US" w:eastAsia="zh-CN"/>
                    </w:rPr>
                    <w:t>经厂区预处理池</w:t>
                  </w:r>
                  <w:r>
                    <w:rPr>
                      <w:rFonts w:ascii="Times New Roman" w:hAnsi="Times New Roman" w:eastAsia="宋体"/>
                      <w:b w:val="0"/>
                      <w:color w:val="auto"/>
                      <w:sz w:val="21"/>
                      <w:szCs w:val="21"/>
                    </w:rPr>
                    <w:t>处理后，进入市政污水管网</w:t>
                  </w:r>
                  <w:r>
                    <w:rPr>
                      <w:rFonts w:hint="eastAsia" w:ascii="Times New Roman" w:hAnsi="Times New Roman" w:eastAsia="宋体"/>
                      <w:b w:val="0"/>
                      <w:color w:val="auto"/>
                      <w:sz w:val="21"/>
                      <w:szCs w:val="21"/>
                    </w:rPr>
                    <w:t>，</w:t>
                  </w:r>
                  <w:r>
                    <w:rPr>
                      <w:rFonts w:ascii="Times New Roman" w:hAnsi="Times New Roman" w:eastAsia="宋体"/>
                      <w:b w:val="0"/>
                      <w:color w:val="auto"/>
                      <w:sz w:val="21"/>
                      <w:szCs w:val="21"/>
                    </w:rPr>
                    <w:t>最终由</w:t>
                  </w:r>
                  <w:r>
                    <w:rPr>
                      <w:kern w:val="0"/>
                      <w:sz w:val="21"/>
                      <w:szCs w:val="21"/>
                    </w:rPr>
                    <w:t>蓬溪经开区污水处理厂</w:t>
                  </w:r>
                  <w:r>
                    <w:rPr>
                      <w:rFonts w:ascii="Times New Roman" w:hAnsi="Times New Roman" w:eastAsia="宋体"/>
                      <w:b w:val="0"/>
                      <w:color w:val="auto"/>
                      <w:sz w:val="21"/>
                      <w:szCs w:val="21"/>
                    </w:rPr>
                    <w:t>处理</w:t>
                  </w:r>
                  <w:r>
                    <w:rPr>
                      <w:rFonts w:hint="eastAsia"/>
                      <w:b w:val="0"/>
                      <w:color w:val="auto"/>
                      <w:sz w:val="21"/>
                      <w:szCs w:val="21"/>
                      <w:lang w:val="en-US" w:eastAsia="zh-CN"/>
                    </w:rPr>
                    <w:t>达标</w:t>
                  </w:r>
                  <w:r>
                    <w:rPr>
                      <w:rFonts w:ascii="Times New Roman" w:hAnsi="Times New Roman" w:eastAsia="宋体"/>
                      <w:b w:val="0"/>
                      <w:color w:val="auto"/>
                      <w:sz w:val="21"/>
                      <w:szCs w:val="21"/>
                    </w:rPr>
                    <w:t>后排入</w:t>
                  </w:r>
                  <w:r>
                    <w:rPr>
                      <w:rFonts w:hint="eastAsia"/>
                      <w:b w:val="0"/>
                      <w:color w:val="auto"/>
                      <w:sz w:val="21"/>
                      <w:szCs w:val="21"/>
                      <w:lang w:eastAsia="zh-CN"/>
                    </w:rPr>
                    <w:t>芝溪河</w:t>
                  </w:r>
                </w:p>
              </w:tc>
            </w:tr>
            <w:tr w14:paraId="142F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594F52D2">
                  <w:pPr>
                    <w:bidi w:val="0"/>
                    <w:jc w:val="center"/>
                    <w:rPr>
                      <w:rFonts w:hint="eastAsia"/>
                      <w:lang w:val="en-US" w:eastAsia="zh-CN"/>
                    </w:rPr>
                  </w:pPr>
                </w:p>
              </w:tc>
              <w:tc>
                <w:tcPr>
                  <w:tcW w:w="1746" w:type="dxa"/>
                  <w:gridSpan w:val="2"/>
                  <w:vAlign w:val="center"/>
                </w:tcPr>
                <w:p w14:paraId="46D1B236">
                  <w:pPr>
                    <w:bidi w:val="0"/>
                    <w:jc w:val="center"/>
                    <w:rPr>
                      <w:rFonts w:hint="default"/>
                      <w:lang w:val="en-US" w:eastAsia="zh-CN"/>
                    </w:rPr>
                  </w:pPr>
                  <w:r>
                    <w:rPr>
                      <w:rFonts w:hint="eastAsia"/>
                      <w:lang w:val="en-US" w:eastAsia="zh-CN"/>
                    </w:rPr>
                    <w:t>地面清洗用水</w:t>
                  </w:r>
                </w:p>
              </w:tc>
              <w:tc>
                <w:tcPr>
                  <w:tcW w:w="2436" w:type="dxa"/>
                  <w:vMerge w:val="continue"/>
                  <w:vAlign w:val="center"/>
                </w:tcPr>
                <w:p w14:paraId="2063BAAA">
                  <w:pPr>
                    <w:bidi w:val="0"/>
                    <w:jc w:val="center"/>
                    <w:rPr>
                      <w:rFonts w:hint="eastAsia"/>
                      <w:lang w:val="en-US" w:eastAsia="zh-CN"/>
                    </w:rPr>
                  </w:pPr>
                </w:p>
              </w:tc>
              <w:tc>
                <w:tcPr>
                  <w:tcW w:w="3511" w:type="dxa"/>
                  <w:vMerge w:val="continue"/>
                  <w:vAlign w:val="center"/>
                </w:tcPr>
                <w:p w14:paraId="3C99729C">
                  <w:pPr>
                    <w:bidi w:val="0"/>
                    <w:jc w:val="center"/>
                    <w:rPr>
                      <w:rFonts w:hint="eastAsia"/>
                      <w:lang w:val="en-US" w:eastAsia="zh-CN"/>
                    </w:rPr>
                  </w:pPr>
                </w:p>
              </w:tc>
            </w:tr>
            <w:tr w14:paraId="30BA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2B91860E">
                  <w:pPr>
                    <w:bidi w:val="0"/>
                    <w:jc w:val="center"/>
                    <w:rPr>
                      <w:rFonts w:hint="eastAsia"/>
                      <w:lang w:val="en-US" w:eastAsia="zh-CN"/>
                    </w:rPr>
                  </w:pPr>
                </w:p>
              </w:tc>
              <w:tc>
                <w:tcPr>
                  <w:tcW w:w="1746" w:type="dxa"/>
                  <w:gridSpan w:val="2"/>
                  <w:vAlign w:val="center"/>
                </w:tcPr>
                <w:p w14:paraId="3637386B">
                  <w:pPr>
                    <w:bidi w:val="0"/>
                    <w:jc w:val="center"/>
                    <w:rPr>
                      <w:rFonts w:hint="default"/>
                      <w:lang w:val="en-US" w:eastAsia="zh-CN"/>
                    </w:rPr>
                  </w:pPr>
                  <w:r>
                    <w:rPr>
                      <w:rFonts w:hint="eastAsia"/>
                      <w:lang w:val="en-US" w:eastAsia="zh-CN"/>
                    </w:rPr>
                    <w:t>注塑循环冷却水</w:t>
                  </w:r>
                </w:p>
              </w:tc>
              <w:tc>
                <w:tcPr>
                  <w:tcW w:w="2436" w:type="dxa"/>
                  <w:vAlign w:val="center"/>
                </w:tcPr>
                <w:p w14:paraId="037408A9">
                  <w:pPr>
                    <w:keepNext w:val="0"/>
                    <w:keepLines w:val="0"/>
                    <w:widowControl/>
                    <w:suppressLineNumbers w:val="0"/>
                    <w:jc w:val="left"/>
                    <w:rPr>
                      <w:rFonts w:hint="default"/>
                      <w:lang w:val="en-US" w:eastAsia="zh-CN"/>
                    </w:rPr>
                  </w:pPr>
                  <w:r>
                    <w:rPr>
                      <w:rFonts w:hint="default" w:ascii="Times New Roman" w:hAnsi="Times New Roman" w:eastAsia="宋体" w:cs="Times New Roman"/>
                      <w:color w:val="000000"/>
                      <w:kern w:val="0"/>
                      <w:sz w:val="21"/>
                      <w:szCs w:val="21"/>
                      <w:lang w:val="en-US" w:eastAsia="zh-CN" w:bidi="ar"/>
                    </w:rPr>
                    <w:t>COD</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SS</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-N</w:t>
                  </w:r>
                </w:p>
              </w:tc>
              <w:tc>
                <w:tcPr>
                  <w:tcW w:w="3511" w:type="dxa"/>
                  <w:vMerge w:val="continue"/>
                  <w:vAlign w:val="center"/>
                </w:tcPr>
                <w:p w14:paraId="1E2493BB">
                  <w:pPr>
                    <w:bidi w:val="0"/>
                    <w:jc w:val="center"/>
                    <w:rPr>
                      <w:rFonts w:hint="eastAsia"/>
                      <w:lang w:val="en-US" w:eastAsia="zh-CN"/>
                    </w:rPr>
                  </w:pPr>
                </w:p>
              </w:tc>
            </w:tr>
            <w:tr w14:paraId="112E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77DE2503">
                  <w:pPr>
                    <w:bidi w:val="0"/>
                    <w:jc w:val="center"/>
                    <w:rPr>
                      <w:rFonts w:hint="eastAsia"/>
                      <w:lang w:val="en-US" w:eastAsia="zh-CN"/>
                    </w:rPr>
                  </w:pPr>
                </w:p>
              </w:tc>
              <w:tc>
                <w:tcPr>
                  <w:tcW w:w="1746" w:type="dxa"/>
                  <w:gridSpan w:val="2"/>
                  <w:vAlign w:val="center"/>
                </w:tcPr>
                <w:p w14:paraId="06C66BDC">
                  <w:pPr>
                    <w:bidi w:val="0"/>
                    <w:jc w:val="center"/>
                    <w:rPr>
                      <w:rFonts w:hint="default"/>
                      <w:lang w:val="en-US" w:eastAsia="zh-CN"/>
                    </w:rPr>
                  </w:pPr>
                  <w:r>
                    <w:rPr>
                      <w:rFonts w:hint="eastAsia"/>
                      <w:lang w:val="en-US" w:eastAsia="zh-CN"/>
                    </w:rPr>
                    <w:t>喷漆废水</w:t>
                  </w:r>
                </w:p>
              </w:tc>
              <w:tc>
                <w:tcPr>
                  <w:tcW w:w="2436" w:type="dxa"/>
                  <w:vAlign w:val="center"/>
                </w:tcPr>
                <w:p w14:paraId="03D06DAA">
                  <w:pPr>
                    <w:bidi w:val="0"/>
                    <w:jc w:val="center"/>
                    <w:rPr>
                      <w:rFonts w:hint="default"/>
                      <w:lang w:val="en-US" w:eastAsia="zh-CN"/>
                    </w:rPr>
                  </w:pPr>
                  <w:r>
                    <w:rPr>
                      <w:rFonts w:hint="eastAsia"/>
                      <w:lang w:val="en-US" w:eastAsia="zh-CN"/>
                    </w:rPr>
                    <w:t>漆雾、SS</w:t>
                  </w:r>
                </w:p>
              </w:tc>
              <w:tc>
                <w:tcPr>
                  <w:tcW w:w="3511" w:type="dxa"/>
                  <w:vAlign w:val="center"/>
                </w:tcPr>
                <w:p w14:paraId="430B602C">
                  <w:pPr>
                    <w:bidi w:val="0"/>
                    <w:jc w:val="center"/>
                    <w:rPr>
                      <w:rFonts w:hint="default"/>
                      <w:lang w:val="en-US" w:eastAsia="zh-CN"/>
                    </w:rPr>
                  </w:pPr>
                  <w:r>
                    <w:rPr>
                      <w:rFonts w:hint="eastAsia"/>
                      <w:lang w:val="en-US" w:eastAsia="zh-CN"/>
                    </w:rPr>
                    <w:t>损耗蒸发</w:t>
                  </w:r>
                </w:p>
              </w:tc>
            </w:tr>
            <w:tr w14:paraId="2668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62E1182C">
                  <w:pPr>
                    <w:bidi w:val="0"/>
                    <w:jc w:val="center"/>
                    <w:rPr>
                      <w:rFonts w:hint="default"/>
                      <w:lang w:val="en-US" w:eastAsia="zh-CN"/>
                    </w:rPr>
                  </w:pPr>
                  <w:r>
                    <w:rPr>
                      <w:rFonts w:hint="eastAsia"/>
                      <w:lang w:val="en-US" w:eastAsia="zh-CN"/>
                    </w:rPr>
                    <w:t>噪声</w:t>
                  </w:r>
                </w:p>
              </w:tc>
              <w:tc>
                <w:tcPr>
                  <w:tcW w:w="1746" w:type="dxa"/>
                  <w:gridSpan w:val="2"/>
                  <w:vAlign w:val="center"/>
                </w:tcPr>
                <w:p w14:paraId="2783A3B1">
                  <w:pPr>
                    <w:bidi w:val="0"/>
                    <w:jc w:val="center"/>
                    <w:rPr>
                      <w:rFonts w:hint="default"/>
                      <w:lang w:val="en-US" w:eastAsia="zh-CN"/>
                    </w:rPr>
                  </w:pPr>
                  <w:r>
                    <w:rPr>
                      <w:rFonts w:hint="eastAsia"/>
                      <w:lang w:val="en-US" w:eastAsia="zh-CN"/>
                    </w:rPr>
                    <w:t>设备运行</w:t>
                  </w:r>
                </w:p>
              </w:tc>
              <w:tc>
                <w:tcPr>
                  <w:tcW w:w="2436" w:type="dxa"/>
                  <w:vAlign w:val="center"/>
                </w:tcPr>
                <w:p w14:paraId="08CDF9FB">
                  <w:pPr>
                    <w:bidi w:val="0"/>
                    <w:jc w:val="center"/>
                    <w:rPr>
                      <w:rFonts w:hint="eastAsia"/>
                      <w:lang w:val="en-US" w:eastAsia="zh-CN"/>
                    </w:rPr>
                  </w:pPr>
                  <w:r>
                    <w:rPr>
                      <w:rFonts w:hint="eastAsia"/>
                      <w:lang w:val="en-US" w:eastAsia="zh-CN"/>
                    </w:rPr>
                    <w:t>等效连续A声级</w:t>
                  </w:r>
                </w:p>
              </w:tc>
              <w:tc>
                <w:tcPr>
                  <w:tcW w:w="3511" w:type="dxa"/>
                  <w:vAlign w:val="center"/>
                </w:tcPr>
                <w:p w14:paraId="53203D24">
                  <w:pPr>
                    <w:bidi w:val="0"/>
                    <w:jc w:val="center"/>
                    <w:rPr>
                      <w:rFonts w:hint="eastAsia"/>
                      <w:lang w:val="en-US" w:eastAsia="zh-CN"/>
                    </w:rPr>
                  </w:pPr>
                  <w:r>
                    <w:rPr>
                      <w:rFonts w:hint="eastAsia"/>
                      <w:lang w:val="en-US" w:eastAsia="zh-CN"/>
                    </w:rPr>
                    <w:t>采用低噪声设备、基础减震、厂房隔声</w:t>
                  </w:r>
                </w:p>
              </w:tc>
            </w:tr>
            <w:tr w14:paraId="4CD7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vAlign w:val="center"/>
                </w:tcPr>
                <w:p w14:paraId="33A6FB70">
                  <w:pPr>
                    <w:bidi w:val="0"/>
                    <w:jc w:val="center"/>
                    <w:rPr>
                      <w:rFonts w:hint="default"/>
                      <w:lang w:val="en-US" w:eastAsia="zh-CN"/>
                    </w:rPr>
                  </w:pPr>
                  <w:r>
                    <w:rPr>
                      <w:rFonts w:hint="eastAsia"/>
                      <w:lang w:val="en-US" w:eastAsia="zh-CN"/>
                    </w:rPr>
                    <w:t>固废</w:t>
                  </w:r>
                </w:p>
              </w:tc>
              <w:tc>
                <w:tcPr>
                  <w:tcW w:w="1746" w:type="dxa"/>
                  <w:gridSpan w:val="2"/>
                  <w:vAlign w:val="center"/>
                </w:tcPr>
                <w:p w14:paraId="129C84DB">
                  <w:pPr>
                    <w:bidi w:val="0"/>
                    <w:jc w:val="center"/>
                    <w:rPr>
                      <w:rFonts w:hint="default"/>
                      <w:lang w:val="en-US" w:eastAsia="zh-CN"/>
                    </w:rPr>
                  </w:pPr>
                  <w:r>
                    <w:rPr>
                      <w:rFonts w:hint="eastAsia"/>
                      <w:lang w:val="en-US" w:eastAsia="zh-CN"/>
                    </w:rPr>
                    <w:t>员工生活</w:t>
                  </w:r>
                </w:p>
              </w:tc>
              <w:tc>
                <w:tcPr>
                  <w:tcW w:w="2436" w:type="dxa"/>
                  <w:vAlign w:val="center"/>
                </w:tcPr>
                <w:p w14:paraId="547249A9">
                  <w:pPr>
                    <w:bidi w:val="0"/>
                    <w:jc w:val="center"/>
                    <w:rPr>
                      <w:rFonts w:hint="eastAsia"/>
                      <w:lang w:val="en-US" w:eastAsia="zh-CN"/>
                    </w:rPr>
                  </w:pPr>
                  <w:r>
                    <w:rPr>
                      <w:rFonts w:hint="eastAsia"/>
                      <w:lang w:val="en-US" w:eastAsia="zh-CN"/>
                    </w:rPr>
                    <w:t>生活垃圾</w:t>
                  </w:r>
                </w:p>
              </w:tc>
              <w:tc>
                <w:tcPr>
                  <w:tcW w:w="3511" w:type="dxa"/>
                  <w:vAlign w:val="center"/>
                </w:tcPr>
                <w:p w14:paraId="47C4E641">
                  <w:pPr>
                    <w:bidi w:val="0"/>
                    <w:jc w:val="center"/>
                    <w:rPr>
                      <w:rFonts w:hint="eastAsia"/>
                      <w:lang w:val="en-US" w:eastAsia="zh-CN"/>
                    </w:rPr>
                  </w:pPr>
                  <w:r>
                    <w:rPr>
                      <w:rFonts w:hint="eastAsia"/>
                      <w:lang w:val="en-US" w:eastAsia="zh-CN"/>
                    </w:rPr>
                    <w:t>统一收集后定期送至垃圾收集点，由蓬溪县环卫部门统一清运</w:t>
                  </w:r>
                </w:p>
              </w:tc>
            </w:tr>
            <w:tr w14:paraId="64EF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14418819">
                  <w:pPr>
                    <w:bidi w:val="0"/>
                    <w:jc w:val="center"/>
                    <w:rPr>
                      <w:rFonts w:hint="eastAsia"/>
                      <w:lang w:val="en-US" w:eastAsia="zh-CN"/>
                    </w:rPr>
                  </w:pPr>
                </w:p>
              </w:tc>
              <w:tc>
                <w:tcPr>
                  <w:tcW w:w="1746" w:type="dxa"/>
                  <w:gridSpan w:val="2"/>
                  <w:vAlign w:val="center"/>
                </w:tcPr>
                <w:p w14:paraId="4DFBEBFD">
                  <w:pPr>
                    <w:bidi w:val="0"/>
                    <w:jc w:val="center"/>
                    <w:rPr>
                      <w:rFonts w:hint="default"/>
                      <w:lang w:val="en-US" w:eastAsia="zh-CN"/>
                    </w:rPr>
                  </w:pPr>
                  <w:r>
                    <w:rPr>
                      <w:rFonts w:hint="eastAsia"/>
                      <w:lang w:val="en-US" w:eastAsia="zh-CN"/>
                    </w:rPr>
                    <w:t>布袋除尘器</w:t>
                  </w:r>
                </w:p>
              </w:tc>
              <w:tc>
                <w:tcPr>
                  <w:tcW w:w="2436" w:type="dxa"/>
                  <w:vAlign w:val="center"/>
                </w:tcPr>
                <w:p w14:paraId="442D13AE">
                  <w:pPr>
                    <w:bidi w:val="0"/>
                    <w:jc w:val="center"/>
                    <w:rPr>
                      <w:rFonts w:hint="eastAsia"/>
                      <w:lang w:val="en-US" w:eastAsia="zh-CN"/>
                    </w:rPr>
                  </w:pPr>
                  <w:r>
                    <w:rPr>
                      <w:rFonts w:hint="eastAsia"/>
                      <w:lang w:val="en-US" w:eastAsia="zh-CN"/>
                    </w:rPr>
                    <w:t>除尘器粉尘</w:t>
                  </w:r>
                </w:p>
              </w:tc>
              <w:tc>
                <w:tcPr>
                  <w:tcW w:w="3511" w:type="dxa"/>
                  <w:vAlign w:val="center"/>
                </w:tcPr>
                <w:p w14:paraId="07A4878B">
                  <w:pPr>
                    <w:bidi w:val="0"/>
                    <w:jc w:val="center"/>
                    <w:rPr>
                      <w:rFonts w:hint="eastAsia"/>
                      <w:lang w:val="en-US" w:eastAsia="zh-CN"/>
                    </w:rPr>
                  </w:pPr>
                  <w:r>
                    <w:rPr>
                      <w:rFonts w:hint="eastAsia"/>
                      <w:lang w:val="en-US" w:eastAsia="zh-CN"/>
                    </w:rPr>
                    <w:t>作为原料回用于产品</w:t>
                  </w:r>
                </w:p>
              </w:tc>
            </w:tr>
            <w:tr w14:paraId="2A09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7E4D9918">
                  <w:pPr>
                    <w:bidi w:val="0"/>
                    <w:jc w:val="center"/>
                    <w:rPr>
                      <w:rFonts w:hint="eastAsia"/>
                      <w:lang w:val="en-US" w:eastAsia="zh-CN"/>
                    </w:rPr>
                  </w:pPr>
                </w:p>
              </w:tc>
              <w:tc>
                <w:tcPr>
                  <w:tcW w:w="1746" w:type="dxa"/>
                  <w:gridSpan w:val="2"/>
                  <w:vAlign w:val="center"/>
                </w:tcPr>
                <w:p w14:paraId="3FCE88E2">
                  <w:pPr>
                    <w:bidi w:val="0"/>
                    <w:jc w:val="center"/>
                    <w:rPr>
                      <w:rFonts w:hint="default"/>
                      <w:lang w:val="en-US" w:eastAsia="zh-CN"/>
                    </w:rPr>
                  </w:pPr>
                  <w:r>
                    <w:rPr>
                      <w:rFonts w:hint="eastAsia"/>
                      <w:lang w:val="en-US" w:eastAsia="zh-CN"/>
                    </w:rPr>
                    <w:t>生产、检验</w:t>
                  </w:r>
                </w:p>
              </w:tc>
              <w:tc>
                <w:tcPr>
                  <w:tcW w:w="2436" w:type="dxa"/>
                  <w:vAlign w:val="center"/>
                </w:tcPr>
                <w:p w14:paraId="378A6A2E">
                  <w:pPr>
                    <w:bidi w:val="0"/>
                    <w:jc w:val="center"/>
                    <w:rPr>
                      <w:rFonts w:hint="eastAsia"/>
                      <w:lang w:val="en-US" w:eastAsia="zh-CN"/>
                    </w:rPr>
                  </w:pPr>
                  <w:r>
                    <w:rPr>
                      <w:rFonts w:hint="eastAsia"/>
                      <w:lang w:val="en-US" w:eastAsia="zh-CN"/>
                    </w:rPr>
                    <w:t>边角料及不良品</w:t>
                  </w:r>
                </w:p>
              </w:tc>
              <w:tc>
                <w:tcPr>
                  <w:tcW w:w="3511" w:type="dxa"/>
                  <w:vAlign w:val="center"/>
                </w:tcPr>
                <w:p w14:paraId="6B1350FE">
                  <w:pPr>
                    <w:bidi w:val="0"/>
                    <w:jc w:val="center"/>
                    <w:rPr>
                      <w:rFonts w:hint="default"/>
                      <w:lang w:val="en-US" w:eastAsia="zh-CN"/>
                    </w:rPr>
                  </w:pPr>
                  <w:r>
                    <w:rPr>
                      <w:rFonts w:hint="eastAsia"/>
                      <w:lang w:val="en-US" w:eastAsia="zh-CN"/>
                    </w:rPr>
                    <w:t>破碎后作为原料回用，已喷涂的不合格产品作为废品外售</w:t>
                  </w:r>
                </w:p>
              </w:tc>
            </w:tr>
            <w:tr w14:paraId="22C7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0351C39A">
                  <w:pPr>
                    <w:bidi w:val="0"/>
                    <w:jc w:val="center"/>
                    <w:rPr>
                      <w:rFonts w:hint="eastAsia"/>
                      <w:lang w:val="en-US" w:eastAsia="zh-CN"/>
                    </w:rPr>
                  </w:pPr>
                </w:p>
              </w:tc>
              <w:tc>
                <w:tcPr>
                  <w:tcW w:w="1746" w:type="dxa"/>
                  <w:gridSpan w:val="2"/>
                  <w:vAlign w:val="center"/>
                </w:tcPr>
                <w:p w14:paraId="3888C0C6">
                  <w:pPr>
                    <w:bidi w:val="0"/>
                    <w:jc w:val="center"/>
                    <w:rPr>
                      <w:rFonts w:hint="default"/>
                      <w:lang w:val="en-US" w:eastAsia="zh-CN"/>
                    </w:rPr>
                  </w:pPr>
                  <w:r>
                    <w:rPr>
                      <w:rFonts w:hint="eastAsia"/>
                      <w:lang w:val="en-US" w:eastAsia="zh-CN"/>
                    </w:rPr>
                    <w:t>包装</w:t>
                  </w:r>
                </w:p>
              </w:tc>
              <w:tc>
                <w:tcPr>
                  <w:tcW w:w="2436" w:type="dxa"/>
                  <w:vAlign w:val="center"/>
                </w:tcPr>
                <w:p w14:paraId="30F44A47">
                  <w:pPr>
                    <w:bidi w:val="0"/>
                    <w:jc w:val="center"/>
                    <w:rPr>
                      <w:rFonts w:hint="eastAsia"/>
                      <w:lang w:val="en-US" w:eastAsia="zh-CN"/>
                    </w:rPr>
                  </w:pPr>
                  <w:r>
                    <w:rPr>
                      <w:rFonts w:hint="eastAsia"/>
                      <w:lang w:val="en-US" w:eastAsia="zh-CN"/>
                    </w:rPr>
                    <w:t>废包装材料</w:t>
                  </w:r>
                </w:p>
              </w:tc>
              <w:tc>
                <w:tcPr>
                  <w:tcW w:w="3511" w:type="dxa"/>
                  <w:vAlign w:val="center"/>
                </w:tcPr>
                <w:p w14:paraId="005EEA09">
                  <w:pPr>
                    <w:bidi w:val="0"/>
                    <w:jc w:val="center"/>
                    <w:rPr>
                      <w:rFonts w:hint="default"/>
                      <w:lang w:val="en-US" w:eastAsia="zh-CN"/>
                    </w:rPr>
                  </w:pPr>
                  <w:r>
                    <w:rPr>
                      <w:rFonts w:hint="eastAsia"/>
                      <w:lang w:val="en-US" w:eastAsia="zh-CN"/>
                    </w:rPr>
                    <w:t>外售给废品收购站</w:t>
                  </w:r>
                </w:p>
              </w:tc>
            </w:tr>
            <w:tr w14:paraId="0079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76CA865C">
                  <w:pPr>
                    <w:bidi w:val="0"/>
                    <w:jc w:val="center"/>
                    <w:rPr>
                      <w:rFonts w:hint="eastAsia"/>
                      <w:lang w:val="en-US" w:eastAsia="zh-CN"/>
                    </w:rPr>
                  </w:pPr>
                </w:p>
              </w:tc>
              <w:tc>
                <w:tcPr>
                  <w:tcW w:w="1746" w:type="dxa"/>
                  <w:gridSpan w:val="2"/>
                  <w:vMerge w:val="restart"/>
                  <w:vAlign w:val="center"/>
                </w:tcPr>
                <w:p w14:paraId="09203A7C">
                  <w:pPr>
                    <w:bidi w:val="0"/>
                    <w:jc w:val="center"/>
                    <w:rPr>
                      <w:rFonts w:hint="default"/>
                      <w:lang w:val="en-US" w:eastAsia="zh-CN"/>
                    </w:rPr>
                  </w:pPr>
                  <w:r>
                    <w:rPr>
                      <w:rFonts w:hint="eastAsia"/>
                      <w:lang w:val="en-US" w:eastAsia="zh-CN"/>
                    </w:rPr>
                    <w:t>设备运行维护</w:t>
                  </w:r>
                </w:p>
              </w:tc>
              <w:tc>
                <w:tcPr>
                  <w:tcW w:w="2436" w:type="dxa"/>
                  <w:vAlign w:val="center"/>
                </w:tcPr>
                <w:p w14:paraId="2D666BC6">
                  <w:pPr>
                    <w:bidi w:val="0"/>
                    <w:jc w:val="center"/>
                    <w:rPr>
                      <w:rFonts w:hint="eastAsia"/>
                      <w:lang w:val="en-US" w:eastAsia="zh-CN"/>
                    </w:rPr>
                  </w:pPr>
                  <w:r>
                    <w:rPr>
                      <w:rFonts w:hint="eastAsia"/>
                      <w:lang w:val="en-US" w:eastAsia="zh-CN"/>
                    </w:rPr>
                    <w:t>废机油、废油桶</w:t>
                  </w:r>
                </w:p>
              </w:tc>
              <w:tc>
                <w:tcPr>
                  <w:tcW w:w="3511" w:type="dxa"/>
                  <w:vMerge w:val="restart"/>
                  <w:vAlign w:val="center"/>
                </w:tcPr>
                <w:p w14:paraId="6FFD498E">
                  <w:pPr>
                    <w:bidi w:val="0"/>
                    <w:jc w:val="center"/>
                    <w:rPr>
                      <w:rFonts w:hint="eastAsia"/>
                      <w:lang w:val="en-US" w:eastAsia="zh-CN"/>
                    </w:rPr>
                  </w:pPr>
                  <w:r>
                    <w:rPr>
                      <w:rFonts w:hint="eastAsia"/>
                      <w:lang w:val="en-US" w:eastAsia="zh-CN"/>
                    </w:rPr>
                    <w:t>收集后暂存危废暂存间，交由相应的资质单位处置</w:t>
                  </w:r>
                </w:p>
              </w:tc>
            </w:tr>
            <w:tr w14:paraId="12A2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1D40CEB3">
                  <w:pPr>
                    <w:bidi w:val="0"/>
                    <w:jc w:val="center"/>
                    <w:rPr>
                      <w:rFonts w:hint="eastAsia"/>
                      <w:lang w:val="en-US" w:eastAsia="zh-CN"/>
                    </w:rPr>
                  </w:pPr>
                </w:p>
              </w:tc>
              <w:tc>
                <w:tcPr>
                  <w:tcW w:w="1746" w:type="dxa"/>
                  <w:gridSpan w:val="2"/>
                  <w:vMerge w:val="continue"/>
                  <w:vAlign w:val="center"/>
                </w:tcPr>
                <w:p w14:paraId="7BA48C27">
                  <w:pPr>
                    <w:bidi w:val="0"/>
                    <w:jc w:val="center"/>
                    <w:rPr>
                      <w:rFonts w:hint="default"/>
                      <w:lang w:val="en-US" w:eastAsia="zh-CN"/>
                    </w:rPr>
                  </w:pPr>
                </w:p>
              </w:tc>
              <w:tc>
                <w:tcPr>
                  <w:tcW w:w="2436" w:type="dxa"/>
                  <w:vAlign w:val="center"/>
                </w:tcPr>
                <w:p w14:paraId="45524BB3">
                  <w:pPr>
                    <w:bidi w:val="0"/>
                    <w:jc w:val="center"/>
                    <w:rPr>
                      <w:rFonts w:hint="eastAsia"/>
                      <w:lang w:val="en-US" w:eastAsia="zh-CN"/>
                    </w:rPr>
                  </w:pPr>
                  <w:r>
                    <w:rPr>
                      <w:rFonts w:hint="eastAsia"/>
                      <w:lang w:val="en-US" w:eastAsia="zh-CN"/>
                    </w:rPr>
                    <w:t>含油手套及抹布</w:t>
                  </w:r>
                </w:p>
              </w:tc>
              <w:tc>
                <w:tcPr>
                  <w:tcW w:w="3511" w:type="dxa"/>
                  <w:vMerge w:val="continue"/>
                  <w:vAlign w:val="center"/>
                </w:tcPr>
                <w:p w14:paraId="058AE0EB">
                  <w:pPr>
                    <w:bidi w:val="0"/>
                    <w:jc w:val="center"/>
                    <w:rPr>
                      <w:rFonts w:hint="eastAsia"/>
                      <w:lang w:val="en-US" w:eastAsia="zh-CN"/>
                    </w:rPr>
                  </w:pPr>
                </w:p>
              </w:tc>
            </w:tr>
            <w:tr w14:paraId="5F42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1645FDA4">
                  <w:pPr>
                    <w:bidi w:val="0"/>
                    <w:jc w:val="center"/>
                    <w:rPr>
                      <w:rFonts w:hint="eastAsia"/>
                      <w:lang w:val="en-US" w:eastAsia="zh-CN"/>
                    </w:rPr>
                  </w:pPr>
                </w:p>
              </w:tc>
              <w:tc>
                <w:tcPr>
                  <w:tcW w:w="1746" w:type="dxa"/>
                  <w:gridSpan w:val="2"/>
                  <w:vMerge w:val="restart"/>
                  <w:vAlign w:val="center"/>
                </w:tcPr>
                <w:p w14:paraId="2BE411C0">
                  <w:pPr>
                    <w:bidi w:val="0"/>
                    <w:jc w:val="center"/>
                    <w:rPr>
                      <w:rFonts w:hint="default"/>
                      <w:lang w:val="en-US" w:eastAsia="zh-CN"/>
                    </w:rPr>
                  </w:pPr>
                  <w:r>
                    <w:rPr>
                      <w:rFonts w:hint="eastAsia"/>
                      <w:lang w:val="en-US" w:eastAsia="zh-CN"/>
                    </w:rPr>
                    <w:t>喷涂</w:t>
                  </w:r>
                </w:p>
              </w:tc>
              <w:tc>
                <w:tcPr>
                  <w:tcW w:w="2436" w:type="dxa"/>
                  <w:vAlign w:val="center"/>
                </w:tcPr>
                <w:p w14:paraId="123CC142">
                  <w:pPr>
                    <w:bidi w:val="0"/>
                    <w:jc w:val="center"/>
                    <w:rPr>
                      <w:rFonts w:hint="eastAsia"/>
                      <w:lang w:val="en-US" w:eastAsia="zh-CN"/>
                    </w:rPr>
                  </w:pPr>
                  <w:r>
                    <w:rPr>
                      <w:rFonts w:hint="eastAsia"/>
                      <w:lang w:val="en-US" w:eastAsia="zh-CN"/>
                    </w:rPr>
                    <w:t>废过滤棉</w:t>
                  </w:r>
                </w:p>
              </w:tc>
              <w:tc>
                <w:tcPr>
                  <w:tcW w:w="3511" w:type="dxa"/>
                  <w:vMerge w:val="continue"/>
                  <w:vAlign w:val="center"/>
                </w:tcPr>
                <w:p w14:paraId="1970AB52">
                  <w:pPr>
                    <w:bidi w:val="0"/>
                    <w:jc w:val="center"/>
                    <w:rPr>
                      <w:rFonts w:hint="eastAsia"/>
                      <w:lang w:val="en-US" w:eastAsia="zh-CN"/>
                    </w:rPr>
                  </w:pPr>
                </w:p>
              </w:tc>
            </w:tr>
            <w:tr w14:paraId="1C85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300A2B48">
                  <w:pPr>
                    <w:bidi w:val="0"/>
                    <w:jc w:val="center"/>
                    <w:rPr>
                      <w:rFonts w:hint="eastAsia"/>
                      <w:lang w:val="en-US" w:eastAsia="zh-CN"/>
                    </w:rPr>
                  </w:pPr>
                </w:p>
              </w:tc>
              <w:tc>
                <w:tcPr>
                  <w:tcW w:w="1746" w:type="dxa"/>
                  <w:gridSpan w:val="2"/>
                  <w:vMerge w:val="continue"/>
                  <w:vAlign w:val="center"/>
                </w:tcPr>
                <w:p w14:paraId="1E03524B">
                  <w:pPr>
                    <w:bidi w:val="0"/>
                    <w:jc w:val="center"/>
                    <w:rPr>
                      <w:rFonts w:hint="default"/>
                      <w:lang w:val="en-US" w:eastAsia="zh-CN"/>
                    </w:rPr>
                  </w:pPr>
                </w:p>
              </w:tc>
              <w:tc>
                <w:tcPr>
                  <w:tcW w:w="2436" w:type="dxa"/>
                  <w:vAlign w:val="center"/>
                </w:tcPr>
                <w:p w14:paraId="0CAB215D">
                  <w:pPr>
                    <w:bidi w:val="0"/>
                    <w:jc w:val="center"/>
                    <w:rPr>
                      <w:rFonts w:hint="eastAsia"/>
                      <w:lang w:val="en-US" w:eastAsia="zh-CN"/>
                    </w:rPr>
                  </w:pPr>
                  <w:r>
                    <w:rPr>
                      <w:rFonts w:hint="eastAsia"/>
                      <w:lang w:val="en-US" w:eastAsia="zh-CN"/>
                    </w:rPr>
                    <w:t>废活性炭</w:t>
                  </w:r>
                </w:p>
              </w:tc>
              <w:tc>
                <w:tcPr>
                  <w:tcW w:w="3511" w:type="dxa"/>
                  <w:vMerge w:val="continue"/>
                  <w:vAlign w:val="center"/>
                </w:tcPr>
                <w:p w14:paraId="7B6BA402">
                  <w:pPr>
                    <w:bidi w:val="0"/>
                    <w:jc w:val="center"/>
                    <w:rPr>
                      <w:rFonts w:hint="eastAsia"/>
                      <w:lang w:val="en-US" w:eastAsia="zh-CN"/>
                    </w:rPr>
                  </w:pPr>
                </w:p>
              </w:tc>
            </w:tr>
            <w:tr w14:paraId="6664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71BA4620">
                  <w:pPr>
                    <w:bidi w:val="0"/>
                    <w:jc w:val="center"/>
                    <w:rPr>
                      <w:rFonts w:hint="eastAsia"/>
                      <w:lang w:val="en-US" w:eastAsia="zh-CN"/>
                    </w:rPr>
                  </w:pPr>
                </w:p>
              </w:tc>
              <w:tc>
                <w:tcPr>
                  <w:tcW w:w="1746" w:type="dxa"/>
                  <w:gridSpan w:val="2"/>
                  <w:vMerge w:val="continue"/>
                  <w:vAlign w:val="center"/>
                </w:tcPr>
                <w:p w14:paraId="1F5CC2BE">
                  <w:pPr>
                    <w:bidi w:val="0"/>
                    <w:jc w:val="center"/>
                    <w:rPr>
                      <w:rFonts w:hint="default"/>
                      <w:lang w:val="en-US" w:eastAsia="zh-CN"/>
                    </w:rPr>
                  </w:pPr>
                </w:p>
              </w:tc>
              <w:tc>
                <w:tcPr>
                  <w:tcW w:w="2436" w:type="dxa"/>
                  <w:vAlign w:val="center"/>
                </w:tcPr>
                <w:p w14:paraId="399FBD5F">
                  <w:pPr>
                    <w:bidi w:val="0"/>
                    <w:jc w:val="center"/>
                    <w:rPr>
                      <w:rFonts w:hint="default"/>
                      <w:lang w:val="en-US" w:eastAsia="zh-CN"/>
                    </w:rPr>
                  </w:pPr>
                  <w:r>
                    <w:rPr>
                      <w:rFonts w:hint="eastAsia"/>
                      <w:lang w:val="en-US" w:eastAsia="zh-CN"/>
                    </w:rPr>
                    <w:t>废漆桶</w:t>
                  </w:r>
                </w:p>
              </w:tc>
              <w:tc>
                <w:tcPr>
                  <w:tcW w:w="3511" w:type="dxa"/>
                  <w:vMerge w:val="continue"/>
                  <w:vAlign w:val="center"/>
                </w:tcPr>
                <w:p w14:paraId="757036F7">
                  <w:pPr>
                    <w:bidi w:val="0"/>
                    <w:jc w:val="center"/>
                    <w:rPr>
                      <w:rFonts w:hint="eastAsia"/>
                      <w:lang w:val="en-US" w:eastAsia="zh-CN"/>
                    </w:rPr>
                  </w:pPr>
                </w:p>
              </w:tc>
            </w:tr>
            <w:tr w14:paraId="11EF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7084686E">
                  <w:pPr>
                    <w:bidi w:val="0"/>
                    <w:jc w:val="center"/>
                    <w:rPr>
                      <w:rFonts w:hint="eastAsia"/>
                      <w:lang w:val="en-US" w:eastAsia="zh-CN"/>
                    </w:rPr>
                  </w:pPr>
                </w:p>
              </w:tc>
              <w:tc>
                <w:tcPr>
                  <w:tcW w:w="1746" w:type="dxa"/>
                  <w:gridSpan w:val="2"/>
                  <w:vMerge w:val="continue"/>
                  <w:vAlign w:val="center"/>
                </w:tcPr>
                <w:p w14:paraId="7D353CFF">
                  <w:pPr>
                    <w:bidi w:val="0"/>
                    <w:jc w:val="center"/>
                    <w:rPr>
                      <w:rFonts w:hint="default"/>
                      <w:lang w:val="en-US" w:eastAsia="zh-CN"/>
                    </w:rPr>
                  </w:pPr>
                </w:p>
              </w:tc>
              <w:tc>
                <w:tcPr>
                  <w:tcW w:w="2436" w:type="dxa"/>
                  <w:vAlign w:val="center"/>
                </w:tcPr>
                <w:p w14:paraId="799F2F8D">
                  <w:pPr>
                    <w:bidi w:val="0"/>
                    <w:jc w:val="center"/>
                    <w:rPr>
                      <w:rFonts w:hint="eastAsia"/>
                      <w:lang w:val="en-US" w:eastAsia="zh-CN"/>
                    </w:rPr>
                  </w:pPr>
                  <w:r>
                    <w:rPr>
                      <w:rFonts w:hint="eastAsia"/>
                      <w:lang w:val="en-US" w:eastAsia="zh-CN"/>
                    </w:rPr>
                    <w:t>废漆渣</w:t>
                  </w:r>
                </w:p>
              </w:tc>
              <w:tc>
                <w:tcPr>
                  <w:tcW w:w="3511" w:type="dxa"/>
                  <w:vMerge w:val="continue"/>
                  <w:vAlign w:val="center"/>
                </w:tcPr>
                <w:p w14:paraId="57464521">
                  <w:pPr>
                    <w:bidi w:val="0"/>
                    <w:jc w:val="center"/>
                    <w:rPr>
                      <w:rFonts w:hint="eastAsia"/>
                      <w:lang w:val="en-US" w:eastAsia="zh-CN"/>
                    </w:rPr>
                  </w:pPr>
                </w:p>
              </w:tc>
            </w:tr>
            <w:tr w14:paraId="2626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14:paraId="649B8882">
                  <w:pPr>
                    <w:bidi w:val="0"/>
                    <w:jc w:val="center"/>
                    <w:rPr>
                      <w:rFonts w:hint="eastAsia"/>
                      <w:lang w:val="en-US" w:eastAsia="zh-CN"/>
                    </w:rPr>
                  </w:pPr>
                </w:p>
              </w:tc>
              <w:tc>
                <w:tcPr>
                  <w:tcW w:w="1746" w:type="dxa"/>
                  <w:gridSpan w:val="2"/>
                  <w:vMerge w:val="continue"/>
                  <w:vAlign w:val="center"/>
                </w:tcPr>
                <w:p w14:paraId="7DE599BE">
                  <w:pPr>
                    <w:bidi w:val="0"/>
                    <w:jc w:val="center"/>
                    <w:rPr>
                      <w:rFonts w:hint="default"/>
                      <w:lang w:val="en-US" w:eastAsia="zh-CN"/>
                    </w:rPr>
                  </w:pPr>
                </w:p>
              </w:tc>
              <w:tc>
                <w:tcPr>
                  <w:tcW w:w="2436" w:type="dxa"/>
                  <w:vAlign w:val="center"/>
                </w:tcPr>
                <w:p w14:paraId="02835148">
                  <w:pPr>
                    <w:bidi w:val="0"/>
                    <w:jc w:val="center"/>
                    <w:rPr>
                      <w:rFonts w:hint="default"/>
                      <w:lang w:val="en-US" w:eastAsia="zh-CN"/>
                    </w:rPr>
                  </w:pPr>
                  <w:r>
                    <w:rPr>
                      <w:rFonts w:hint="eastAsia"/>
                      <w:lang w:val="en-US" w:eastAsia="zh-CN"/>
                    </w:rPr>
                    <w:t>喷漆废水</w:t>
                  </w:r>
                </w:p>
              </w:tc>
              <w:tc>
                <w:tcPr>
                  <w:tcW w:w="3511" w:type="dxa"/>
                  <w:vMerge w:val="continue"/>
                  <w:vAlign w:val="center"/>
                </w:tcPr>
                <w:p w14:paraId="11A2CDC0">
                  <w:pPr>
                    <w:bidi w:val="0"/>
                    <w:jc w:val="center"/>
                    <w:rPr>
                      <w:rFonts w:hint="eastAsia"/>
                      <w:lang w:val="en-US" w:eastAsia="zh-CN"/>
                    </w:rPr>
                  </w:pPr>
                </w:p>
              </w:tc>
            </w:tr>
          </w:tbl>
          <w:p w14:paraId="6BC25DD3">
            <w:pPr>
              <w:pStyle w:val="5"/>
              <w:ind w:left="0" w:leftChars="0" w:firstLine="0" w:firstLineChars="0"/>
              <w:outlineLvl w:val="9"/>
              <w:rPr>
                <w:rFonts w:hint="eastAsia"/>
                <w:lang w:val="en-US" w:eastAsia="zh-CN"/>
              </w:rPr>
            </w:pPr>
          </w:p>
        </w:tc>
      </w:tr>
      <w:tr w14:paraId="26A06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375" w:type="dxa"/>
            <w:noWrap w:val="0"/>
            <w:vAlign w:val="center"/>
          </w:tcPr>
          <w:p w14:paraId="4BD6DC47">
            <w:pPr>
              <w:pStyle w:val="9"/>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609" w:type="dxa"/>
            <w:noWrap w:val="0"/>
            <w:vAlign w:val="top"/>
          </w:tcPr>
          <w:p w14:paraId="5AD08327">
            <w:pPr>
              <w:keepNext w:val="0"/>
              <w:keepLines w:val="0"/>
              <w:widowControl/>
              <w:suppressLineNumbers w:val="0"/>
              <w:spacing w:line="360" w:lineRule="auto"/>
              <w:ind w:firstLine="420" w:firstLineChars="200"/>
              <w:jc w:val="left"/>
              <w:rPr>
                <w:sz w:val="21"/>
                <w:szCs w:val="21"/>
              </w:rPr>
            </w:pPr>
            <w:r>
              <w:rPr>
                <w:rFonts w:hint="default"/>
                <w:sz w:val="21"/>
                <w:szCs w:val="21"/>
              </w:rPr>
              <w:t>本项目为新建项目，</w:t>
            </w:r>
            <w:r>
              <w:rPr>
                <w:rFonts w:hint="eastAsia"/>
                <w:sz w:val="21"/>
                <w:szCs w:val="21"/>
                <w:lang w:val="en-US" w:eastAsia="zh-CN"/>
              </w:rPr>
              <w:t>租用万象壹品门业已建生产厂房9320</w:t>
            </w:r>
            <w:r>
              <w:rPr>
                <w:rFonts w:ascii="Times New Roman" w:hAnsi="Times New Roman" w:eastAsia="宋体"/>
                <w:b w:val="0"/>
                <w:color w:val="auto"/>
                <w:sz w:val="21"/>
                <w:szCs w:val="21"/>
              </w:rPr>
              <w:t>m</w:t>
            </w:r>
            <w:r>
              <w:rPr>
                <w:rFonts w:hint="eastAsia"/>
                <w:b w:val="0"/>
                <w:color w:val="auto"/>
                <w:sz w:val="21"/>
                <w:szCs w:val="21"/>
                <w:vertAlign w:val="superscript"/>
                <w:lang w:val="en-US" w:eastAsia="zh-CN"/>
              </w:rPr>
              <w:t>2</w:t>
            </w:r>
            <w:r>
              <w:rPr>
                <w:rFonts w:hint="eastAsia"/>
                <w:sz w:val="21"/>
                <w:szCs w:val="21"/>
                <w:lang w:val="en-US" w:eastAsia="zh-CN"/>
              </w:rPr>
              <w:t>建设生产线。</w:t>
            </w:r>
            <w:r>
              <w:rPr>
                <w:rFonts w:hint="eastAsia" w:ascii="宋体" w:hAnsi="宋体" w:eastAsia="宋体" w:cs="宋体"/>
                <w:color w:val="000000"/>
                <w:kern w:val="0"/>
                <w:sz w:val="21"/>
                <w:szCs w:val="21"/>
                <w:lang w:val="en-US" w:eastAsia="zh-CN" w:bidi="ar"/>
              </w:rPr>
              <w:t>本项目供水、供电、公辅设施和雨污管网、污水预处理池环保设施均依托</w:t>
            </w:r>
            <w:r>
              <w:rPr>
                <w:rFonts w:hint="eastAsia"/>
                <w:sz w:val="21"/>
                <w:szCs w:val="21"/>
                <w:lang w:val="en-US" w:eastAsia="zh-CN"/>
              </w:rPr>
              <w:t>万象壹品门业</w:t>
            </w:r>
            <w:r>
              <w:rPr>
                <w:rFonts w:hint="eastAsia" w:ascii="宋体" w:hAnsi="宋体" w:eastAsia="宋体" w:cs="宋体"/>
                <w:color w:val="000000"/>
                <w:kern w:val="0"/>
                <w:sz w:val="21"/>
                <w:szCs w:val="21"/>
                <w:lang w:val="en-US" w:eastAsia="zh-CN" w:bidi="ar"/>
              </w:rPr>
              <w:t>已建设施。</w:t>
            </w:r>
          </w:p>
          <w:p w14:paraId="6AF808A0">
            <w:pPr>
              <w:bidi w:val="0"/>
              <w:spacing w:line="360" w:lineRule="auto"/>
              <w:ind w:firstLine="420" w:firstLineChars="200"/>
              <w:rPr>
                <w:rFonts w:hint="default"/>
                <w:lang w:val="en-US"/>
              </w:rPr>
            </w:pPr>
            <w:r>
              <w:rPr>
                <w:rFonts w:hint="default"/>
              </w:rPr>
              <w:t>根据现场调查，</w:t>
            </w:r>
            <w:r>
              <w:rPr>
                <w:rFonts w:hint="eastAsia"/>
                <w:lang w:eastAsia="zh-CN"/>
              </w:rPr>
              <w:t>租赁厂房为空置厂房</w:t>
            </w:r>
            <w:r>
              <w:t>，</w:t>
            </w:r>
            <w:r>
              <w:rPr>
                <w:rFonts w:hint="eastAsia"/>
                <w:lang w:val="en-US" w:eastAsia="zh-CN"/>
              </w:rPr>
              <w:t>未进行生产，</w:t>
            </w:r>
            <w:r>
              <w:rPr>
                <w:rFonts w:hint="default"/>
              </w:rPr>
              <w:t>未发现有遗留的环境问题。</w:t>
            </w:r>
          </w:p>
          <w:p w14:paraId="32A8A4C5">
            <w:pPr>
              <w:pStyle w:val="69"/>
              <w:spacing w:before="120" w:beforeLines="50"/>
              <w:ind w:firstLine="0" w:firstLineChars="0"/>
              <w:jc w:val="both"/>
              <w:rPr>
                <w:rFonts w:ascii="Times New Roman" w:hAnsi="Times New Roman" w:cs="Times New Roman"/>
              </w:rPr>
            </w:pPr>
          </w:p>
          <w:p w14:paraId="5845C65B">
            <w:pPr>
              <w:pStyle w:val="69"/>
              <w:spacing w:before="120" w:beforeLines="50"/>
              <w:ind w:firstLine="0" w:firstLineChars="0"/>
              <w:jc w:val="both"/>
              <w:rPr>
                <w:rFonts w:ascii="Times New Roman" w:hAnsi="Times New Roman" w:cs="Times New Roman"/>
              </w:rPr>
            </w:pPr>
          </w:p>
          <w:p w14:paraId="77E8AF80">
            <w:pPr>
              <w:pStyle w:val="69"/>
              <w:spacing w:before="120" w:beforeLines="50"/>
              <w:ind w:firstLine="0" w:firstLineChars="0"/>
              <w:jc w:val="both"/>
              <w:rPr>
                <w:rFonts w:ascii="Times New Roman" w:hAnsi="Times New Roman" w:cs="Times New Roman"/>
              </w:rPr>
            </w:pPr>
          </w:p>
          <w:p w14:paraId="46027D10">
            <w:pPr>
              <w:pStyle w:val="69"/>
              <w:spacing w:before="120" w:beforeLines="50"/>
              <w:ind w:firstLine="0" w:firstLineChars="0"/>
              <w:jc w:val="both"/>
              <w:rPr>
                <w:rFonts w:hint="default" w:ascii="Times New Roman" w:hAnsi="Times New Roman" w:cs="Times New Roman"/>
              </w:rPr>
            </w:pPr>
          </w:p>
        </w:tc>
      </w:tr>
    </w:tbl>
    <w:p w14:paraId="6BB37ABE">
      <w:pPr>
        <w:pStyle w:val="9"/>
        <w:jc w:val="center"/>
        <w:rPr>
          <w:rFonts w:ascii="Times New Roman" w:hAnsi="Times New Roman" w:eastAsia="黑体"/>
          <w:snapToGrid w:val="0"/>
          <w:sz w:val="36"/>
          <w:szCs w:val="36"/>
        </w:rPr>
        <w:sectPr>
          <w:pgSz w:w="11906" w:h="16838"/>
          <w:pgMar w:top="1636"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C0F2C7D">
      <w:pPr>
        <w:pStyle w:val="9"/>
        <w:spacing w:before="0" w:beforeAutospacing="0" w:after="0" w:afterAutospacing="0"/>
        <w:outlineLvl w:val="0"/>
        <w:rPr>
          <w:rFonts w:ascii="Times New Roman" w:hAnsi="Times New Roman" w:eastAsia="黑体"/>
          <w:snapToGrid w:val="0"/>
          <w:sz w:val="30"/>
          <w:szCs w:val="30"/>
        </w:rPr>
      </w:pPr>
      <w:bookmarkStart w:id="8" w:name="_Toc4574"/>
      <w:r>
        <w:rPr>
          <w:rFonts w:ascii="Times New Roman" w:hAnsi="Times New Roman" w:eastAsia="黑体"/>
          <w:snapToGrid w:val="0"/>
          <w:sz w:val="30"/>
          <w:szCs w:val="30"/>
        </w:rPr>
        <w:t>三、区域环境质量现状、环境保护目标及评价标准</w:t>
      </w:r>
      <w:bookmarkEnd w:id="8"/>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525"/>
      </w:tblGrid>
      <w:tr w14:paraId="4B889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65" w:type="dxa"/>
            <w:noWrap w:val="0"/>
            <w:vAlign w:val="center"/>
          </w:tcPr>
          <w:p w14:paraId="76F2BE51">
            <w:pPr>
              <w:adjustRightInd w:val="0"/>
              <w:snapToGrid w:val="0"/>
              <w:jc w:val="center"/>
              <w:rPr>
                <w:kern w:val="0"/>
                <w:sz w:val="21"/>
                <w:szCs w:val="21"/>
              </w:rPr>
            </w:pPr>
            <w:r>
              <w:rPr>
                <w:kern w:val="0"/>
                <w:sz w:val="21"/>
                <w:szCs w:val="21"/>
              </w:rPr>
              <w:t>区域</w:t>
            </w:r>
          </w:p>
          <w:p w14:paraId="7EEFC8B9">
            <w:pPr>
              <w:adjustRightInd w:val="0"/>
              <w:snapToGrid w:val="0"/>
              <w:jc w:val="center"/>
              <w:rPr>
                <w:kern w:val="0"/>
                <w:sz w:val="21"/>
                <w:szCs w:val="21"/>
              </w:rPr>
            </w:pPr>
            <w:r>
              <w:rPr>
                <w:kern w:val="0"/>
                <w:sz w:val="21"/>
                <w:szCs w:val="21"/>
              </w:rPr>
              <w:t>环境</w:t>
            </w:r>
          </w:p>
          <w:p w14:paraId="2BCDE805">
            <w:pPr>
              <w:adjustRightInd w:val="0"/>
              <w:snapToGrid w:val="0"/>
              <w:jc w:val="center"/>
              <w:rPr>
                <w:kern w:val="0"/>
                <w:sz w:val="21"/>
                <w:szCs w:val="21"/>
              </w:rPr>
            </w:pPr>
            <w:r>
              <w:rPr>
                <w:kern w:val="0"/>
                <w:sz w:val="21"/>
                <w:szCs w:val="21"/>
              </w:rPr>
              <w:t>质量</w:t>
            </w:r>
          </w:p>
          <w:p w14:paraId="52C4A77F">
            <w:pPr>
              <w:adjustRightInd w:val="0"/>
              <w:snapToGrid w:val="0"/>
              <w:jc w:val="center"/>
              <w:rPr>
                <w:kern w:val="0"/>
                <w:sz w:val="21"/>
                <w:szCs w:val="21"/>
              </w:rPr>
            </w:pPr>
            <w:r>
              <w:rPr>
                <w:kern w:val="0"/>
                <w:sz w:val="21"/>
                <w:szCs w:val="21"/>
              </w:rPr>
              <w:t>现状</w:t>
            </w:r>
          </w:p>
        </w:tc>
        <w:tc>
          <w:tcPr>
            <w:tcW w:w="8525" w:type="dxa"/>
            <w:noWrap w:val="0"/>
            <w:vAlign w:val="center"/>
          </w:tcPr>
          <w:p w14:paraId="32F20A2C">
            <w:pPr>
              <w:bidi w:val="0"/>
              <w:spacing w:line="360" w:lineRule="auto"/>
              <w:rPr>
                <w:rFonts w:hint="default"/>
                <w:b/>
                <w:bCs/>
              </w:rPr>
            </w:pPr>
            <w:r>
              <w:rPr>
                <w:rFonts w:hint="default"/>
                <w:b/>
                <w:bCs/>
              </w:rPr>
              <w:t>一、大气环境</w:t>
            </w:r>
          </w:p>
          <w:p w14:paraId="2C6FB04D">
            <w:pPr>
              <w:bidi w:val="0"/>
              <w:spacing w:line="360" w:lineRule="auto"/>
            </w:pPr>
            <w:r>
              <w:rPr>
                <w:b/>
                <w:bCs/>
              </w:rPr>
              <w:t>1、</w:t>
            </w:r>
            <w:r>
              <w:rPr>
                <w:rFonts w:hint="eastAsia"/>
                <w:b/>
                <w:bCs/>
              </w:rPr>
              <w:t>大气基本污染因子数据</w:t>
            </w:r>
          </w:p>
          <w:p w14:paraId="79CEE6FF">
            <w:pPr>
              <w:bidi w:val="0"/>
              <w:spacing w:line="360" w:lineRule="auto"/>
              <w:ind w:firstLine="420" w:firstLineChars="200"/>
              <w:rPr>
                <w:rFonts w:hint="default"/>
                <w:lang w:val="en-US" w:eastAsia="zh-CN"/>
              </w:rPr>
            </w:pPr>
            <w:r>
              <w:rPr>
                <w:rFonts w:hint="default"/>
                <w:lang w:val="en-US" w:eastAsia="zh-CN"/>
              </w:rPr>
              <w:t>本次环境空气质量污染因子现状评价引用遂宁市污染防治攻坚战领导小组办公室202</w:t>
            </w:r>
            <w:r>
              <w:rPr>
                <w:rFonts w:hint="eastAsia"/>
                <w:lang w:val="en-US" w:eastAsia="zh-CN"/>
              </w:rPr>
              <w:t>4</w:t>
            </w:r>
            <w:r>
              <w:rPr>
                <w:rFonts w:hint="default"/>
                <w:lang w:val="en-US" w:eastAsia="zh-CN"/>
              </w:rPr>
              <w:t>年1月</w:t>
            </w:r>
            <w:r>
              <w:rPr>
                <w:rFonts w:hint="eastAsia"/>
                <w:lang w:val="en-US" w:eastAsia="zh-CN"/>
              </w:rPr>
              <w:t>15</w:t>
            </w:r>
            <w:r>
              <w:rPr>
                <w:rFonts w:hint="default"/>
                <w:lang w:val="en-US" w:eastAsia="zh-CN"/>
              </w:rPr>
              <w:t>日发布的关于202</w:t>
            </w:r>
            <w:r>
              <w:rPr>
                <w:rFonts w:hint="eastAsia"/>
                <w:lang w:val="en-US" w:eastAsia="zh-CN"/>
              </w:rPr>
              <w:t>3</w:t>
            </w:r>
            <w:r>
              <w:rPr>
                <w:rFonts w:hint="default"/>
                <w:lang w:val="en-US" w:eastAsia="zh-CN"/>
              </w:rPr>
              <w:t>年全市环境空气质量的</w:t>
            </w:r>
            <w:r>
              <w:rPr>
                <w:rFonts w:hint="eastAsia"/>
                <w:lang w:val="en-US" w:eastAsia="zh-CN"/>
              </w:rPr>
              <w:t>排名情况的</w:t>
            </w:r>
            <w:r>
              <w:rPr>
                <w:rFonts w:hint="default"/>
                <w:lang w:val="en-US" w:eastAsia="zh-CN"/>
              </w:rPr>
              <w:t>通报（遂污防攻坚办〔202</w:t>
            </w:r>
            <w:r>
              <w:rPr>
                <w:rFonts w:hint="eastAsia"/>
                <w:lang w:val="en-US" w:eastAsia="zh-CN"/>
              </w:rPr>
              <w:t>4</w:t>
            </w:r>
            <w:r>
              <w:rPr>
                <w:rFonts w:hint="default"/>
                <w:lang w:val="en-US" w:eastAsia="zh-CN"/>
              </w:rPr>
              <w:t>〕</w:t>
            </w:r>
            <w:r>
              <w:rPr>
                <w:rFonts w:hint="eastAsia"/>
                <w:lang w:val="en-US" w:eastAsia="zh-CN"/>
              </w:rPr>
              <w:t>4</w:t>
            </w:r>
            <w:r>
              <w:rPr>
                <w:rFonts w:hint="default"/>
                <w:lang w:val="en-US" w:eastAsia="zh-CN"/>
              </w:rPr>
              <w:t>号）中公布的数据。</w:t>
            </w:r>
          </w:p>
          <w:p w14:paraId="7EB833AE">
            <w:pPr>
              <w:bidi w:val="0"/>
              <w:spacing w:line="360" w:lineRule="auto"/>
              <w:ind w:firstLine="420" w:firstLineChars="200"/>
              <w:rPr>
                <w:rFonts w:hint="eastAsia"/>
                <w:lang w:eastAsia="zh-CN"/>
              </w:rPr>
            </w:pPr>
            <w:r>
              <w:rPr>
                <w:rFonts w:hint="eastAsia"/>
              </w:rPr>
              <w:t>2023年遂宁市</w:t>
            </w:r>
            <w:r>
              <w:rPr>
                <w:rFonts w:hint="eastAsia"/>
                <w:lang w:val="en-US" w:eastAsia="zh-CN"/>
              </w:rPr>
              <w:t>城区</w:t>
            </w:r>
            <w:r>
              <w:t>环境空气质量详见下表</w:t>
            </w:r>
            <w:r>
              <w:rPr>
                <w:rFonts w:hint="eastAsia"/>
                <w:lang w:eastAsia="zh-CN"/>
              </w:rPr>
              <w:t>：</w:t>
            </w:r>
          </w:p>
          <w:tbl>
            <w:tblPr>
              <w:tblStyle w:val="27"/>
              <w:tblW w:w="5000" w:type="pct"/>
              <w:jc w:val="center"/>
              <w:tblLayout w:type="fixed"/>
              <w:tblCellMar>
                <w:top w:w="15" w:type="dxa"/>
                <w:left w:w="15" w:type="dxa"/>
                <w:bottom w:w="15" w:type="dxa"/>
                <w:right w:w="15" w:type="dxa"/>
              </w:tblCellMar>
            </w:tblPr>
            <w:tblGrid>
              <w:gridCol w:w="8309"/>
            </w:tblGrid>
            <w:tr w14:paraId="39FEED51">
              <w:tblPrEx>
                <w:tblCellMar>
                  <w:top w:w="15" w:type="dxa"/>
                  <w:left w:w="15" w:type="dxa"/>
                  <w:bottom w:w="15" w:type="dxa"/>
                  <w:right w:w="15" w:type="dxa"/>
                </w:tblCellMar>
              </w:tblPrEx>
              <w:trPr>
                <w:trHeight w:val="4114" w:hRule="atLeast"/>
                <w:jc w:val="center"/>
              </w:trPr>
              <w:tc>
                <w:tcPr>
                  <w:tcW w:w="5000" w:type="pct"/>
                  <w:noWrap w:val="0"/>
                  <w:vAlign w:val="center"/>
                </w:tcPr>
                <w:p w14:paraId="0B053027">
                  <w:pPr>
                    <w:widowControl/>
                    <w:jc w:val="center"/>
                    <w:textAlignment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表3-1遂宁市202</w:t>
                  </w:r>
                  <w:r>
                    <w:rPr>
                      <w:rFonts w:hint="eastAsia" w:ascii="Times New Roman" w:hAnsi="Times New Roman" w:eastAsia="宋体" w:cs="Times New Roman"/>
                      <w:b/>
                      <w:bCs/>
                      <w:color w:val="auto"/>
                      <w:sz w:val="21"/>
                      <w:szCs w:val="21"/>
                      <w:lang w:val="en-US" w:eastAsia="zh-CN"/>
                    </w:rPr>
                    <w:t>3</w:t>
                  </w:r>
                  <w:r>
                    <w:rPr>
                      <w:rFonts w:ascii="Times New Roman" w:hAnsi="Times New Roman" w:eastAsia="宋体" w:cs="Times New Roman"/>
                      <w:b/>
                      <w:bCs/>
                      <w:color w:val="auto"/>
                      <w:sz w:val="21"/>
                      <w:szCs w:val="21"/>
                    </w:rPr>
                    <w:t>年遂宁市空气质量情况</w:t>
                  </w:r>
                </w:p>
                <w:tbl>
                  <w:tblPr>
                    <w:tblStyle w:val="27"/>
                    <w:tblW w:w="81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307"/>
                    <w:gridCol w:w="663"/>
                    <w:gridCol w:w="480"/>
                    <w:gridCol w:w="672"/>
                    <w:gridCol w:w="996"/>
                    <w:gridCol w:w="924"/>
                    <w:gridCol w:w="943"/>
                    <w:gridCol w:w="977"/>
                    <w:gridCol w:w="1090"/>
                    <w:gridCol w:w="1146"/>
                  </w:tblGrid>
                  <w:tr w14:paraId="500F4E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151" w:hRule="atLeast"/>
                      <w:jc w:val="center"/>
                    </w:trPr>
                    <w:tc>
                      <w:tcPr>
                        <w:tcW w:w="307" w:type="dxa"/>
                        <w:noWrap w:val="0"/>
                        <w:vAlign w:val="center"/>
                      </w:tcPr>
                      <w:p w14:paraId="290C28D4">
                        <w:pPr>
                          <w:widowControl/>
                          <w:spacing w:line="240" w:lineRule="auto"/>
                          <w:jc w:val="center"/>
                          <w:textAlignment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排名</w:t>
                        </w:r>
                      </w:p>
                    </w:tc>
                    <w:tc>
                      <w:tcPr>
                        <w:tcW w:w="663" w:type="dxa"/>
                        <w:noWrap w:val="0"/>
                        <w:vAlign w:val="center"/>
                      </w:tcPr>
                      <w:p w14:paraId="4D6E65CA">
                        <w:pPr>
                          <w:widowControl/>
                          <w:spacing w:line="240" w:lineRule="auto"/>
                          <w:jc w:val="center"/>
                          <w:textAlignment w:val="center"/>
                          <w:rPr>
                            <w:rFonts w:hint="eastAsia" w:ascii="Times New Roman" w:hAnsi="Times New Roman" w:eastAsia="宋体" w:cs="Times New Roman"/>
                            <w:b/>
                            <w:color w:val="auto"/>
                            <w:kern w:val="0"/>
                            <w:sz w:val="21"/>
                            <w:szCs w:val="21"/>
                            <w:lang w:val="en-US" w:eastAsia="zh-CN"/>
                          </w:rPr>
                        </w:pPr>
                        <w:r>
                          <w:rPr>
                            <w:rFonts w:hint="eastAsia" w:ascii="Times New Roman" w:hAnsi="Times New Roman" w:eastAsia="宋体" w:cs="Times New Roman"/>
                            <w:b/>
                            <w:color w:val="auto"/>
                            <w:kern w:val="0"/>
                            <w:sz w:val="21"/>
                            <w:szCs w:val="21"/>
                            <w:lang w:val="en-US" w:eastAsia="zh-CN"/>
                          </w:rPr>
                          <w:t>县（市、区）市直园区</w:t>
                        </w:r>
                      </w:p>
                    </w:tc>
                    <w:tc>
                      <w:tcPr>
                        <w:tcW w:w="480" w:type="dxa"/>
                        <w:noWrap w:val="0"/>
                        <w:vAlign w:val="center"/>
                      </w:tcPr>
                      <w:p w14:paraId="76565470">
                        <w:pPr>
                          <w:widowControl/>
                          <w:spacing w:line="240" w:lineRule="auto"/>
                          <w:jc w:val="center"/>
                          <w:textAlignment w:val="center"/>
                          <w:rPr>
                            <w:rFonts w:hint="default" w:ascii="Times New Roman" w:hAnsi="Times New Roman" w:eastAsia="宋体" w:cs="Times New Roman"/>
                            <w:b/>
                            <w:color w:val="auto"/>
                            <w:kern w:val="0"/>
                            <w:sz w:val="21"/>
                            <w:szCs w:val="21"/>
                            <w:lang w:val="en-US" w:eastAsia="zh-CN"/>
                          </w:rPr>
                        </w:pPr>
                        <w:r>
                          <w:rPr>
                            <w:rFonts w:hint="eastAsia" w:ascii="Times New Roman" w:hAnsi="Times New Roman" w:eastAsia="宋体" w:cs="Times New Roman"/>
                            <w:b/>
                            <w:color w:val="auto"/>
                            <w:kern w:val="0"/>
                            <w:sz w:val="21"/>
                            <w:szCs w:val="21"/>
                            <w:lang w:val="en-US" w:eastAsia="zh-CN"/>
                          </w:rPr>
                          <w:t>综合指数</w:t>
                        </w:r>
                      </w:p>
                    </w:tc>
                    <w:tc>
                      <w:tcPr>
                        <w:tcW w:w="672" w:type="dxa"/>
                        <w:noWrap w:val="0"/>
                        <w:vAlign w:val="center"/>
                      </w:tcPr>
                      <w:p w14:paraId="25B0DEE6">
                        <w:pPr>
                          <w:widowControl/>
                          <w:spacing w:line="240" w:lineRule="auto"/>
                          <w:jc w:val="center"/>
                          <w:textAlignment w:val="center"/>
                          <w:rPr>
                            <w:rFonts w:hint="default" w:ascii="Times New Roman" w:hAnsi="Times New Roman" w:eastAsia="宋体" w:cs="Times New Roman"/>
                            <w:b/>
                            <w:color w:val="auto"/>
                            <w:kern w:val="0"/>
                            <w:sz w:val="21"/>
                            <w:szCs w:val="21"/>
                            <w:lang w:val="en-US" w:eastAsia="zh-CN"/>
                          </w:rPr>
                        </w:pPr>
                        <w:r>
                          <w:rPr>
                            <w:rFonts w:hint="eastAsia" w:ascii="Times New Roman" w:hAnsi="Times New Roman" w:eastAsia="宋体" w:cs="Times New Roman"/>
                            <w:b/>
                            <w:color w:val="auto"/>
                            <w:kern w:val="0"/>
                            <w:sz w:val="21"/>
                            <w:szCs w:val="21"/>
                            <w:lang w:val="en-US" w:eastAsia="zh-CN"/>
                          </w:rPr>
                          <w:t>优良天数</w:t>
                        </w:r>
                      </w:p>
                    </w:tc>
                    <w:tc>
                      <w:tcPr>
                        <w:tcW w:w="996" w:type="dxa"/>
                        <w:noWrap w:val="0"/>
                        <w:vAlign w:val="center"/>
                      </w:tcPr>
                      <w:p w14:paraId="38C6F894">
                        <w:pPr>
                          <w:widowControl/>
                          <w:spacing w:line="240" w:lineRule="auto"/>
                          <w:jc w:val="center"/>
                          <w:textAlignment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kern w:val="0"/>
                            <w:sz w:val="21"/>
                            <w:szCs w:val="21"/>
                            <w:lang w:val="en-US" w:eastAsia="zh-CN"/>
                          </w:rPr>
                          <w:t>PM</w:t>
                        </w:r>
                        <w:r>
                          <w:rPr>
                            <w:rFonts w:hint="eastAsia" w:ascii="Times New Roman" w:hAnsi="Times New Roman" w:eastAsia="宋体" w:cs="Times New Roman"/>
                            <w:b/>
                            <w:color w:val="auto"/>
                            <w:kern w:val="0"/>
                            <w:sz w:val="21"/>
                            <w:szCs w:val="21"/>
                            <w:vertAlign w:val="subscript"/>
                            <w:lang w:val="en-US" w:eastAsia="zh-CN"/>
                          </w:rPr>
                          <w:t>2.5</w:t>
                        </w:r>
                        <w:r>
                          <w:rPr>
                            <w:rFonts w:hint="eastAsia" w:ascii="Times New Roman" w:hAnsi="Times New Roman" w:eastAsia="宋体" w:cs="Times New Roman"/>
                            <w:b/>
                            <w:color w:val="auto"/>
                            <w:kern w:val="0"/>
                            <w:sz w:val="21"/>
                            <w:szCs w:val="21"/>
                            <w:lang w:val="en-US" w:eastAsia="zh-CN"/>
                          </w:rPr>
                          <w:t>平</w:t>
                        </w:r>
                        <w:r>
                          <w:rPr>
                            <w:rFonts w:hint="eastAsia" w:ascii="Times New Roman" w:hAnsi="Times New Roman" w:eastAsia="宋体" w:cs="Times New Roman"/>
                            <w:b/>
                            <w:color w:val="auto"/>
                            <w:kern w:val="0"/>
                            <w:sz w:val="21"/>
                            <w:szCs w:val="21"/>
                          </w:rPr>
                          <w:t>均浓</w:t>
                        </w:r>
                        <w:r>
                          <w:rPr>
                            <w:rFonts w:hint="eastAsia" w:ascii="Times New Roman" w:hAnsi="Times New Roman" w:eastAsia="宋体" w:cs="Times New Roman"/>
                            <w:b/>
                            <w:color w:val="auto"/>
                            <w:kern w:val="0"/>
                            <w:sz w:val="21"/>
                            <w:szCs w:val="21"/>
                            <w:lang w:eastAsia="zh-CN"/>
                          </w:rPr>
                          <w:t>度</w:t>
                        </w:r>
                        <w:r>
                          <w:rPr>
                            <w:rFonts w:hint="default" w:ascii="Times New Roman" w:hAnsi="Times New Roman" w:eastAsia="宋体" w:cs="Times New Roman"/>
                            <w:b/>
                            <w:color w:val="auto"/>
                            <w:kern w:val="0"/>
                            <w:sz w:val="21"/>
                            <w:szCs w:val="21"/>
                            <w:lang w:eastAsia="zh-CN"/>
                          </w:rPr>
                          <w:t>（</w:t>
                        </w:r>
                        <w:r>
                          <w:rPr>
                            <w:rFonts w:hint="default" w:ascii="Times New Roman" w:hAnsi="Times New Roman" w:eastAsia="宋体" w:cs="Times New Roman"/>
                            <w:b/>
                            <w:color w:val="auto"/>
                            <w:kern w:val="0"/>
                            <w:sz w:val="21"/>
                            <w:szCs w:val="21"/>
                            <w:lang w:val="en-US" w:eastAsia="zh-CN"/>
                          </w:rPr>
                          <w:t>μg/m</w:t>
                        </w:r>
                        <w:r>
                          <w:rPr>
                            <w:rFonts w:hint="default" w:ascii="Times New Roman" w:hAnsi="Times New Roman" w:eastAsia="宋体" w:cs="Times New Roman"/>
                            <w:b/>
                            <w:color w:val="auto"/>
                            <w:kern w:val="0"/>
                            <w:sz w:val="21"/>
                            <w:szCs w:val="21"/>
                            <w:vertAlign w:val="superscript"/>
                            <w:lang w:val="en-US" w:eastAsia="zh-CN"/>
                          </w:rPr>
                          <w:t>3</w:t>
                        </w:r>
                        <w:r>
                          <w:rPr>
                            <w:rFonts w:hint="default" w:ascii="Times New Roman" w:hAnsi="Times New Roman" w:eastAsia="宋体" w:cs="Times New Roman"/>
                            <w:b/>
                            <w:color w:val="auto"/>
                            <w:kern w:val="0"/>
                            <w:sz w:val="21"/>
                            <w:szCs w:val="21"/>
                            <w:lang w:eastAsia="zh-CN"/>
                          </w:rPr>
                          <w:t>）</w:t>
                        </w:r>
                      </w:p>
                    </w:tc>
                    <w:tc>
                      <w:tcPr>
                        <w:tcW w:w="924" w:type="dxa"/>
                        <w:noWrap w:val="0"/>
                        <w:vAlign w:val="center"/>
                      </w:tcPr>
                      <w:p w14:paraId="1235DFA4">
                        <w:pPr>
                          <w:widowControl/>
                          <w:spacing w:line="240" w:lineRule="auto"/>
                          <w:jc w:val="center"/>
                          <w:textAlignment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kern w:val="0"/>
                            <w:sz w:val="21"/>
                            <w:szCs w:val="21"/>
                            <w:lang w:val="en-US" w:eastAsia="zh-CN"/>
                          </w:rPr>
                          <w:t>PM</w:t>
                        </w:r>
                        <w:r>
                          <w:rPr>
                            <w:rFonts w:hint="eastAsia" w:ascii="Times New Roman" w:hAnsi="Times New Roman" w:eastAsia="宋体" w:cs="Times New Roman"/>
                            <w:b/>
                            <w:color w:val="auto"/>
                            <w:kern w:val="0"/>
                            <w:sz w:val="21"/>
                            <w:szCs w:val="21"/>
                            <w:vertAlign w:val="subscript"/>
                            <w:lang w:val="en-US" w:eastAsia="zh-CN"/>
                          </w:rPr>
                          <w:t>10</w:t>
                        </w:r>
                        <w:r>
                          <w:rPr>
                            <w:rFonts w:hint="eastAsia" w:ascii="Times New Roman" w:hAnsi="Times New Roman" w:eastAsia="宋体" w:cs="Times New Roman"/>
                            <w:b/>
                            <w:color w:val="auto"/>
                            <w:kern w:val="0"/>
                            <w:sz w:val="21"/>
                            <w:szCs w:val="21"/>
                            <w:lang w:val="en-US" w:eastAsia="zh-CN"/>
                          </w:rPr>
                          <w:t>平</w:t>
                        </w:r>
                        <w:r>
                          <w:rPr>
                            <w:rFonts w:hint="eastAsia" w:ascii="Times New Roman" w:hAnsi="Times New Roman" w:eastAsia="宋体" w:cs="Times New Roman"/>
                            <w:b/>
                            <w:color w:val="auto"/>
                            <w:kern w:val="0"/>
                            <w:sz w:val="21"/>
                            <w:szCs w:val="21"/>
                          </w:rPr>
                          <w:t>均浓</w:t>
                        </w:r>
                        <w:r>
                          <w:rPr>
                            <w:rFonts w:hint="eastAsia" w:ascii="Times New Roman" w:hAnsi="Times New Roman" w:eastAsia="宋体" w:cs="Times New Roman"/>
                            <w:b/>
                            <w:color w:val="auto"/>
                            <w:kern w:val="0"/>
                            <w:sz w:val="21"/>
                            <w:szCs w:val="21"/>
                            <w:lang w:eastAsia="zh-CN"/>
                          </w:rPr>
                          <w:t>度</w:t>
                        </w:r>
                        <w:r>
                          <w:rPr>
                            <w:rFonts w:hint="default" w:ascii="Times New Roman" w:hAnsi="Times New Roman" w:eastAsia="宋体" w:cs="Times New Roman"/>
                            <w:b/>
                            <w:color w:val="auto"/>
                            <w:kern w:val="0"/>
                            <w:sz w:val="21"/>
                            <w:szCs w:val="21"/>
                            <w:lang w:eastAsia="zh-CN"/>
                          </w:rPr>
                          <w:t>（</w:t>
                        </w:r>
                        <w:r>
                          <w:rPr>
                            <w:rFonts w:hint="default" w:ascii="Times New Roman" w:hAnsi="Times New Roman" w:eastAsia="宋体" w:cs="Times New Roman"/>
                            <w:b/>
                            <w:color w:val="auto"/>
                            <w:kern w:val="0"/>
                            <w:sz w:val="21"/>
                            <w:szCs w:val="21"/>
                            <w:lang w:val="en-US" w:eastAsia="zh-CN"/>
                          </w:rPr>
                          <w:t>μg/m</w:t>
                        </w:r>
                        <w:r>
                          <w:rPr>
                            <w:rFonts w:hint="default" w:ascii="Times New Roman" w:hAnsi="Times New Roman" w:eastAsia="宋体" w:cs="Times New Roman"/>
                            <w:b/>
                            <w:color w:val="auto"/>
                            <w:kern w:val="0"/>
                            <w:sz w:val="21"/>
                            <w:szCs w:val="21"/>
                            <w:vertAlign w:val="superscript"/>
                            <w:lang w:val="en-US" w:eastAsia="zh-CN"/>
                          </w:rPr>
                          <w:t>3</w:t>
                        </w:r>
                        <w:r>
                          <w:rPr>
                            <w:rFonts w:hint="default" w:ascii="Times New Roman" w:hAnsi="Times New Roman" w:eastAsia="宋体" w:cs="Times New Roman"/>
                            <w:b/>
                            <w:color w:val="auto"/>
                            <w:kern w:val="0"/>
                            <w:sz w:val="21"/>
                            <w:szCs w:val="21"/>
                            <w:lang w:eastAsia="zh-CN"/>
                          </w:rPr>
                          <w:t>）</w:t>
                        </w:r>
                      </w:p>
                    </w:tc>
                    <w:tc>
                      <w:tcPr>
                        <w:tcW w:w="943" w:type="dxa"/>
                        <w:noWrap w:val="0"/>
                        <w:vAlign w:val="center"/>
                      </w:tcPr>
                      <w:p w14:paraId="00D1AB75">
                        <w:pPr>
                          <w:widowControl/>
                          <w:spacing w:line="240" w:lineRule="auto"/>
                          <w:jc w:val="center"/>
                          <w:textAlignment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rPr>
                          <w:t>SO</w:t>
                        </w:r>
                        <w:r>
                          <w:rPr>
                            <w:rFonts w:hint="eastAsia" w:ascii="Times New Roman" w:hAnsi="Times New Roman" w:eastAsia="宋体" w:cs="Times New Roman"/>
                            <w:b/>
                            <w:color w:val="auto"/>
                            <w:kern w:val="0"/>
                            <w:sz w:val="21"/>
                            <w:szCs w:val="21"/>
                            <w:vertAlign w:val="subscript"/>
                            <w:lang w:val="en-US" w:eastAsia="zh-CN"/>
                          </w:rPr>
                          <w:t>2</w:t>
                        </w:r>
                        <w:r>
                          <w:rPr>
                            <w:rFonts w:hint="eastAsia" w:ascii="Times New Roman" w:hAnsi="Times New Roman" w:eastAsia="宋体" w:cs="Times New Roman"/>
                            <w:b/>
                            <w:color w:val="auto"/>
                            <w:kern w:val="0"/>
                            <w:sz w:val="21"/>
                            <w:szCs w:val="21"/>
                            <w:lang w:val="en-US" w:eastAsia="zh-CN"/>
                          </w:rPr>
                          <w:t>平</w:t>
                        </w:r>
                        <w:r>
                          <w:rPr>
                            <w:rFonts w:hint="eastAsia" w:ascii="Times New Roman" w:hAnsi="Times New Roman" w:eastAsia="宋体" w:cs="Times New Roman"/>
                            <w:b/>
                            <w:color w:val="auto"/>
                            <w:kern w:val="0"/>
                            <w:sz w:val="21"/>
                            <w:szCs w:val="21"/>
                          </w:rPr>
                          <w:t>均浓</w:t>
                        </w:r>
                        <w:r>
                          <w:rPr>
                            <w:rFonts w:hint="default" w:ascii="Times New Roman" w:hAnsi="Times New Roman" w:eastAsia="宋体" w:cs="Times New Roman"/>
                            <w:b/>
                            <w:color w:val="auto"/>
                            <w:kern w:val="0"/>
                            <w:sz w:val="21"/>
                            <w:szCs w:val="21"/>
                            <w:lang w:val="en-US" w:eastAsia="zh-CN" w:bidi="ar-SA"/>
                          </w:rPr>
                          <w:t>（μg/m</w:t>
                        </w:r>
                        <w:r>
                          <w:rPr>
                            <w:rFonts w:hint="default" w:ascii="Times New Roman" w:hAnsi="Times New Roman" w:eastAsia="宋体" w:cs="Times New Roman"/>
                            <w:b/>
                            <w:color w:val="auto"/>
                            <w:kern w:val="0"/>
                            <w:sz w:val="21"/>
                            <w:szCs w:val="21"/>
                            <w:vertAlign w:val="superscript"/>
                            <w:lang w:val="en-US" w:eastAsia="zh-CN" w:bidi="ar-SA"/>
                          </w:rPr>
                          <w:t>3</w:t>
                        </w:r>
                        <w:r>
                          <w:rPr>
                            <w:rFonts w:hint="default" w:ascii="Times New Roman" w:hAnsi="Times New Roman" w:eastAsia="宋体" w:cs="Times New Roman"/>
                            <w:b/>
                            <w:color w:val="auto"/>
                            <w:kern w:val="0"/>
                            <w:sz w:val="21"/>
                            <w:szCs w:val="21"/>
                            <w:lang w:val="en-US" w:eastAsia="zh-CN" w:bidi="ar-SA"/>
                          </w:rPr>
                          <w:t>）</w:t>
                        </w:r>
                      </w:p>
                    </w:tc>
                    <w:tc>
                      <w:tcPr>
                        <w:tcW w:w="977" w:type="dxa"/>
                        <w:noWrap w:val="0"/>
                        <w:vAlign w:val="center"/>
                      </w:tcPr>
                      <w:p w14:paraId="68F999EE">
                        <w:pPr>
                          <w:widowControl/>
                          <w:spacing w:line="240" w:lineRule="auto"/>
                          <w:jc w:val="center"/>
                          <w:textAlignment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rPr>
                          <w:t>NO</w:t>
                        </w:r>
                        <w:r>
                          <w:rPr>
                            <w:rFonts w:hint="eastAsia" w:ascii="Times New Roman" w:hAnsi="Times New Roman" w:eastAsia="宋体" w:cs="Times New Roman"/>
                            <w:b/>
                            <w:color w:val="auto"/>
                            <w:kern w:val="0"/>
                            <w:sz w:val="21"/>
                            <w:szCs w:val="21"/>
                            <w:vertAlign w:val="subscript"/>
                            <w:lang w:val="en-US" w:eastAsia="zh-CN"/>
                          </w:rPr>
                          <w:t>2</w:t>
                        </w:r>
                        <w:r>
                          <w:rPr>
                            <w:rFonts w:hint="eastAsia" w:ascii="Times New Roman" w:hAnsi="Times New Roman" w:eastAsia="宋体" w:cs="Times New Roman"/>
                            <w:b/>
                            <w:color w:val="auto"/>
                            <w:kern w:val="0"/>
                            <w:sz w:val="21"/>
                            <w:szCs w:val="21"/>
                            <w:lang w:val="en-US" w:eastAsia="zh-CN"/>
                          </w:rPr>
                          <w:t>平</w:t>
                        </w:r>
                        <w:r>
                          <w:rPr>
                            <w:rFonts w:hint="eastAsia" w:ascii="Times New Roman" w:hAnsi="Times New Roman" w:eastAsia="宋体" w:cs="Times New Roman"/>
                            <w:b/>
                            <w:color w:val="auto"/>
                            <w:kern w:val="0"/>
                            <w:sz w:val="21"/>
                            <w:szCs w:val="21"/>
                          </w:rPr>
                          <w:t>均浓</w:t>
                        </w:r>
                        <w:r>
                          <w:rPr>
                            <w:rFonts w:hint="eastAsia" w:ascii="Times New Roman" w:hAnsi="Times New Roman" w:eastAsia="宋体" w:cs="Times New Roman"/>
                            <w:b/>
                            <w:color w:val="auto"/>
                            <w:kern w:val="0"/>
                            <w:sz w:val="21"/>
                            <w:szCs w:val="21"/>
                            <w:lang w:eastAsia="zh-CN"/>
                          </w:rPr>
                          <w:t>度</w:t>
                        </w:r>
                        <w:r>
                          <w:rPr>
                            <w:rFonts w:hint="default" w:ascii="Times New Roman" w:hAnsi="Times New Roman" w:eastAsia="宋体" w:cs="Times New Roman"/>
                            <w:b/>
                            <w:color w:val="auto"/>
                            <w:kern w:val="0"/>
                            <w:sz w:val="21"/>
                            <w:szCs w:val="21"/>
                            <w:lang w:val="en-US" w:eastAsia="zh-CN" w:bidi="ar-SA"/>
                          </w:rPr>
                          <w:t>（μg/m</w:t>
                        </w:r>
                        <w:r>
                          <w:rPr>
                            <w:rFonts w:hint="default" w:ascii="Times New Roman" w:hAnsi="Times New Roman" w:eastAsia="宋体" w:cs="Times New Roman"/>
                            <w:b/>
                            <w:color w:val="auto"/>
                            <w:kern w:val="0"/>
                            <w:sz w:val="21"/>
                            <w:szCs w:val="21"/>
                            <w:vertAlign w:val="superscript"/>
                            <w:lang w:val="en-US" w:eastAsia="zh-CN" w:bidi="ar-SA"/>
                          </w:rPr>
                          <w:t>3</w:t>
                        </w:r>
                        <w:r>
                          <w:rPr>
                            <w:rFonts w:hint="default" w:ascii="Times New Roman" w:hAnsi="Times New Roman" w:eastAsia="宋体" w:cs="Times New Roman"/>
                            <w:b/>
                            <w:color w:val="auto"/>
                            <w:kern w:val="0"/>
                            <w:sz w:val="21"/>
                            <w:szCs w:val="21"/>
                            <w:lang w:val="en-US" w:eastAsia="zh-CN" w:bidi="ar-SA"/>
                          </w:rPr>
                          <w:t>）</w:t>
                        </w:r>
                      </w:p>
                    </w:tc>
                    <w:tc>
                      <w:tcPr>
                        <w:tcW w:w="1090" w:type="dxa"/>
                        <w:noWrap w:val="0"/>
                        <w:vAlign w:val="center"/>
                      </w:tcPr>
                      <w:p w14:paraId="17C1F846">
                        <w:pPr>
                          <w:widowControl/>
                          <w:spacing w:line="240" w:lineRule="auto"/>
                          <w:jc w:val="center"/>
                          <w:textAlignment w:val="center"/>
                          <w:rPr>
                            <w:rFonts w:hint="eastAsia" w:ascii="Times New Roman" w:hAnsi="Times New Roman" w:eastAsia="宋体" w:cs="Times New Roman"/>
                            <w:b/>
                            <w:color w:val="auto"/>
                            <w:kern w:val="0"/>
                            <w:sz w:val="21"/>
                            <w:szCs w:val="21"/>
                            <w:lang w:eastAsia="zh-CN"/>
                          </w:rPr>
                        </w:pPr>
                        <w:r>
                          <w:rPr>
                            <w:rFonts w:hint="eastAsia" w:ascii="Times New Roman" w:hAnsi="Times New Roman" w:eastAsia="宋体" w:cs="Times New Roman"/>
                            <w:b/>
                            <w:color w:val="auto"/>
                            <w:kern w:val="0"/>
                            <w:sz w:val="21"/>
                            <w:szCs w:val="21"/>
                            <w:lang w:val="en-US" w:eastAsia="zh-CN"/>
                          </w:rPr>
                          <w:t>O</w:t>
                        </w:r>
                        <w:r>
                          <w:rPr>
                            <w:rFonts w:hint="eastAsia" w:ascii="Times New Roman" w:hAnsi="Times New Roman" w:eastAsia="宋体" w:cs="Times New Roman"/>
                            <w:b/>
                            <w:color w:val="auto"/>
                            <w:kern w:val="0"/>
                            <w:sz w:val="21"/>
                            <w:szCs w:val="21"/>
                            <w:vertAlign w:val="subscript"/>
                            <w:lang w:val="en-US" w:eastAsia="zh-CN"/>
                          </w:rPr>
                          <w:t>3</w:t>
                        </w:r>
                        <w:r>
                          <w:rPr>
                            <w:rFonts w:hint="eastAsia" w:ascii="Times New Roman" w:hAnsi="Times New Roman" w:eastAsia="宋体" w:cs="Times New Roman"/>
                            <w:b/>
                            <w:color w:val="auto"/>
                            <w:kern w:val="0"/>
                            <w:sz w:val="21"/>
                            <w:szCs w:val="21"/>
                            <w:vertAlign w:val="baseline"/>
                            <w:lang w:val="en-US" w:eastAsia="zh-CN"/>
                          </w:rPr>
                          <w:t>-8h90</w:t>
                        </w:r>
                        <w:r>
                          <w:rPr>
                            <w:rFonts w:hint="eastAsia" w:cs="Times New Roman"/>
                            <w:b/>
                            <w:color w:val="auto"/>
                            <w:kern w:val="0"/>
                            <w:sz w:val="21"/>
                            <w:szCs w:val="21"/>
                            <w:vertAlign w:val="baseline"/>
                            <w:lang w:val="en-US" w:eastAsia="zh-CN"/>
                          </w:rPr>
                          <w:t>%</w:t>
                        </w:r>
                      </w:p>
                      <w:p w14:paraId="402052E7">
                        <w:pPr>
                          <w:widowControl/>
                          <w:snapToGrid w:val="0"/>
                          <w:spacing w:before="60" w:after="160" w:line="240" w:lineRule="auto"/>
                          <w:ind w:right="113"/>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（μg/m</w:t>
                        </w:r>
                        <w:r>
                          <w:rPr>
                            <w:rFonts w:hint="default" w:ascii="Times New Roman" w:hAnsi="Times New Roman" w:eastAsia="宋体" w:cs="Times New Roman"/>
                            <w:b/>
                            <w:color w:val="auto"/>
                            <w:kern w:val="0"/>
                            <w:sz w:val="21"/>
                            <w:szCs w:val="21"/>
                            <w:vertAlign w:val="superscript"/>
                            <w:lang w:val="en-US" w:eastAsia="zh-CN" w:bidi="ar-SA"/>
                          </w:rPr>
                          <w:t>3</w:t>
                        </w:r>
                        <w:r>
                          <w:rPr>
                            <w:rFonts w:hint="default" w:ascii="Times New Roman" w:hAnsi="Times New Roman" w:eastAsia="宋体" w:cs="Times New Roman"/>
                            <w:b/>
                            <w:color w:val="auto"/>
                            <w:kern w:val="0"/>
                            <w:sz w:val="21"/>
                            <w:szCs w:val="21"/>
                            <w:lang w:val="en-US" w:eastAsia="zh-CN" w:bidi="ar-SA"/>
                          </w:rPr>
                          <w:t>）</w:t>
                        </w:r>
                      </w:p>
                    </w:tc>
                    <w:tc>
                      <w:tcPr>
                        <w:tcW w:w="1146" w:type="dxa"/>
                        <w:noWrap w:val="0"/>
                        <w:vAlign w:val="center"/>
                      </w:tcPr>
                      <w:p w14:paraId="49029E40">
                        <w:pPr>
                          <w:widowControl/>
                          <w:spacing w:line="240" w:lineRule="auto"/>
                          <w:jc w:val="center"/>
                          <w:textAlignment w:val="center"/>
                          <w:rPr>
                            <w:rFonts w:hint="eastAsia" w:ascii="Times New Roman" w:hAnsi="Times New Roman" w:eastAsia="宋体" w:cs="Times New Roman"/>
                            <w:b/>
                            <w:color w:val="auto"/>
                            <w:kern w:val="0"/>
                            <w:sz w:val="21"/>
                            <w:szCs w:val="21"/>
                            <w:lang w:eastAsia="zh-CN"/>
                          </w:rPr>
                        </w:pPr>
                        <w:r>
                          <w:rPr>
                            <w:rFonts w:hint="eastAsia" w:ascii="Times New Roman" w:hAnsi="Times New Roman" w:eastAsia="宋体" w:cs="Times New Roman"/>
                            <w:b/>
                            <w:color w:val="auto"/>
                            <w:kern w:val="0"/>
                            <w:sz w:val="21"/>
                            <w:szCs w:val="21"/>
                            <w:vertAlign w:val="baseline"/>
                            <w:lang w:val="en-US" w:eastAsia="zh-CN"/>
                          </w:rPr>
                          <w:t>CO-8h90</w:t>
                        </w:r>
                        <w:r>
                          <w:rPr>
                            <w:rFonts w:hint="eastAsia" w:cs="Times New Roman"/>
                            <w:b/>
                            <w:color w:val="auto"/>
                            <w:kern w:val="0"/>
                            <w:sz w:val="21"/>
                            <w:szCs w:val="21"/>
                            <w:vertAlign w:val="baseline"/>
                            <w:lang w:val="en-US" w:eastAsia="zh-CN"/>
                          </w:rPr>
                          <w:t>%</w:t>
                        </w:r>
                      </w:p>
                      <w:p w14:paraId="0A1A9714">
                        <w:pPr>
                          <w:widowControl/>
                          <w:snapToGrid w:val="0"/>
                          <w:spacing w:before="60" w:after="160" w:line="240" w:lineRule="auto"/>
                          <w:ind w:right="113"/>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w:t>
                        </w:r>
                        <w:r>
                          <w:rPr>
                            <w:rFonts w:hint="eastAsia" w:ascii="Times New Roman" w:hAnsi="Times New Roman" w:eastAsia="宋体" w:cs="Times New Roman"/>
                            <w:b/>
                            <w:color w:val="auto"/>
                            <w:kern w:val="0"/>
                            <w:sz w:val="21"/>
                            <w:szCs w:val="21"/>
                            <w:lang w:val="en-US" w:eastAsia="zh-CN" w:bidi="ar-SA"/>
                          </w:rPr>
                          <w:t>m</w:t>
                        </w:r>
                        <w:r>
                          <w:rPr>
                            <w:rFonts w:hint="default" w:ascii="Times New Roman" w:hAnsi="Times New Roman" w:eastAsia="宋体" w:cs="Times New Roman"/>
                            <w:b/>
                            <w:color w:val="auto"/>
                            <w:kern w:val="0"/>
                            <w:sz w:val="21"/>
                            <w:szCs w:val="21"/>
                            <w:lang w:val="en-US" w:eastAsia="zh-CN" w:bidi="ar-SA"/>
                          </w:rPr>
                          <w:t>g/m</w:t>
                        </w:r>
                        <w:r>
                          <w:rPr>
                            <w:rFonts w:hint="default" w:ascii="Times New Roman" w:hAnsi="Times New Roman" w:eastAsia="宋体" w:cs="Times New Roman"/>
                            <w:b/>
                            <w:color w:val="auto"/>
                            <w:kern w:val="0"/>
                            <w:sz w:val="21"/>
                            <w:szCs w:val="21"/>
                            <w:vertAlign w:val="superscript"/>
                            <w:lang w:val="en-US" w:eastAsia="zh-CN" w:bidi="ar-SA"/>
                          </w:rPr>
                          <w:t>3</w:t>
                        </w:r>
                        <w:r>
                          <w:rPr>
                            <w:rFonts w:hint="default" w:ascii="Times New Roman" w:hAnsi="Times New Roman" w:eastAsia="宋体" w:cs="Times New Roman"/>
                            <w:b/>
                            <w:color w:val="auto"/>
                            <w:kern w:val="0"/>
                            <w:sz w:val="21"/>
                            <w:szCs w:val="21"/>
                            <w:lang w:val="en-US" w:eastAsia="zh-CN" w:bidi="ar-SA"/>
                          </w:rPr>
                          <w:t>）</w:t>
                        </w:r>
                      </w:p>
                    </w:tc>
                  </w:tr>
                  <w:tr w14:paraId="752FDE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28" w:hRule="atLeast"/>
                      <w:jc w:val="center"/>
                    </w:trPr>
                    <w:tc>
                      <w:tcPr>
                        <w:tcW w:w="307" w:type="dxa"/>
                        <w:noWrap w:val="0"/>
                        <w:vAlign w:val="center"/>
                      </w:tcPr>
                      <w:p w14:paraId="03AAA156">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63" w:type="dxa"/>
                        <w:noWrap w:val="0"/>
                        <w:vAlign w:val="center"/>
                      </w:tcPr>
                      <w:p w14:paraId="638A8603">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安居区</w:t>
                        </w:r>
                      </w:p>
                    </w:tc>
                    <w:tc>
                      <w:tcPr>
                        <w:tcW w:w="480" w:type="dxa"/>
                        <w:noWrap w:val="0"/>
                        <w:vAlign w:val="center"/>
                      </w:tcPr>
                      <w:p w14:paraId="05C3B0F1">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2.69</w:t>
                        </w:r>
                      </w:p>
                    </w:tc>
                    <w:tc>
                      <w:tcPr>
                        <w:tcW w:w="672" w:type="dxa"/>
                        <w:noWrap w:val="0"/>
                        <w:vAlign w:val="center"/>
                      </w:tcPr>
                      <w:p w14:paraId="1E16CA2D">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94.8%</w:t>
                        </w:r>
                      </w:p>
                    </w:tc>
                    <w:tc>
                      <w:tcPr>
                        <w:tcW w:w="996" w:type="dxa"/>
                        <w:noWrap w:val="0"/>
                        <w:vAlign w:val="center"/>
                      </w:tcPr>
                      <w:p w14:paraId="5BB9B51B">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19.8</w:t>
                        </w:r>
                      </w:p>
                    </w:tc>
                    <w:tc>
                      <w:tcPr>
                        <w:tcW w:w="924" w:type="dxa"/>
                        <w:noWrap w:val="0"/>
                        <w:vAlign w:val="center"/>
                      </w:tcPr>
                      <w:p w14:paraId="3ABA8AC1">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42.0</w:t>
                        </w:r>
                      </w:p>
                    </w:tc>
                    <w:tc>
                      <w:tcPr>
                        <w:tcW w:w="943" w:type="dxa"/>
                        <w:noWrap w:val="0"/>
                        <w:vAlign w:val="center"/>
                      </w:tcPr>
                      <w:p w14:paraId="307F9E5A">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977" w:type="dxa"/>
                        <w:noWrap w:val="0"/>
                        <w:vAlign w:val="center"/>
                      </w:tcPr>
                      <w:p w14:paraId="7BFD9DF6">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9.8</w:t>
                        </w:r>
                      </w:p>
                    </w:tc>
                    <w:tc>
                      <w:tcPr>
                        <w:tcW w:w="1090" w:type="dxa"/>
                        <w:noWrap w:val="0"/>
                        <w:vAlign w:val="center"/>
                      </w:tcPr>
                      <w:p w14:paraId="7C9FDF1C">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144.6</w:t>
                        </w:r>
                      </w:p>
                    </w:tc>
                    <w:tc>
                      <w:tcPr>
                        <w:tcW w:w="1146" w:type="dxa"/>
                        <w:noWrap w:val="0"/>
                        <w:vAlign w:val="center"/>
                      </w:tcPr>
                      <w:p w14:paraId="27C5A853">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r>
                  <w:tr w14:paraId="01F839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81" w:hRule="atLeast"/>
                      <w:jc w:val="center"/>
                    </w:trPr>
                    <w:tc>
                      <w:tcPr>
                        <w:tcW w:w="307" w:type="dxa"/>
                        <w:noWrap w:val="0"/>
                        <w:vAlign w:val="center"/>
                      </w:tcPr>
                      <w:p w14:paraId="61FA31F5">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663" w:type="dxa"/>
                        <w:noWrap w:val="0"/>
                        <w:vAlign w:val="center"/>
                      </w:tcPr>
                      <w:p w14:paraId="05FBBDC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大英县</w:t>
                        </w:r>
                      </w:p>
                    </w:tc>
                    <w:tc>
                      <w:tcPr>
                        <w:tcW w:w="480" w:type="dxa"/>
                        <w:noWrap w:val="0"/>
                        <w:vAlign w:val="center"/>
                      </w:tcPr>
                      <w:p w14:paraId="132BFF9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2.86</w:t>
                        </w:r>
                      </w:p>
                    </w:tc>
                    <w:tc>
                      <w:tcPr>
                        <w:tcW w:w="672" w:type="dxa"/>
                        <w:noWrap w:val="0"/>
                        <w:vAlign w:val="center"/>
                      </w:tcPr>
                      <w:p w14:paraId="58DAE77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91.5%</w:t>
                        </w:r>
                      </w:p>
                    </w:tc>
                    <w:tc>
                      <w:tcPr>
                        <w:tcW w:w="996" w:type="dxa"/>
                        <w:noWrap w:val="0"/>
                        <w:vAlign w:val="center"/>
                      </w:tcPr>
                      <w:p w14:paraId="44E845D3">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25.8</w:t>
                        </w:r>
                      </w:p>
                    </w:tc>
                    <w:tc>
                      <w:tcPr>
                        <w:tcW w:w="924" w:type="dxa"/>
                        <w:noWrap w:val="0"/>
                        <w:vAlign w:val="center"/>
                      </w:tcPr>
                      <w:p w14:paraId="41E72EE2">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39.8</w:t>
                        </w:r>
                      </w:p>
                    </w:tc>
                    <w:tc>
                      <w:tcPr>
                        <w:tcW w:w="943" w:type="dxa"/>
                        <w:noWrap w:val="0"/>
                        <w:vAlign w:val="center"/>
                      </w:tcPr>
                      <w:p w14:paraId="2CD713BC">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977" w:type="dxa"/>
                        <w:noWrap w:val="0"/>
                        <w:vAlign w:val="center"/>
                      </w:tcPr>
                      <w:p w14:paraId="03C16AF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13.4</w:t>
                        </w:r>
                      </w:p>
                    </w:tc>
                    <w:tc>
                      <w:tcPr>
                        <w:tcW w:w="1090" w:type="dxa"/>
                        <w:noWrap w:val="0"/>
                        <w:vAlign w:val="center"/>
                      </w:tcPr>
                      <w:p w14:paraId="2C1AE9AC">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141.2</w:t>
                        </w:r>
                      </w:p>
                    </w:tc>
                    <w:tc>
                      <w:tcPr>
                        <w:tcW w:w="1146" w:type="dxa"/>
                        <w:noWrap w:val="0"/>
                        <w:vAlign w:val="center"/>
                      </w:tcPr>
                      <w:p w14:paraId="1A4EB92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r>
                  <w:tr w14:paraId="3174FD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17" w:hRule="atLeast"/>
                      <w:jc w:val="center"/>
                    </w:trPr>
                    <w:tc>
                      <w:tcPr>
                        <w:tcW w:w="307" w:type="dxa"/>
                        <w:noWrap w:val="0"/>
                        <w:vAlign w:val="center"/>
                      </w:tcPr>
                      <w:p w14:paraId="046A6E3F">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63" w:type="dxa"/>
                        <w:noWrap w:val="0"/>
                        <w:vAlign w:val="center"/>
                      </w:tcPr>
                      <w:p w14:paraId="6EBA0D4E">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蓬溪县</w:t>
                        </w:r>
                      </w:p>
                    </w:tc>
                    <w:tc>
                      <w:tcPr>
                        <w:tcW w:w="480" w:type="dxa"/>
                        <w:noWrap w:val="0"/>
                        <w:vAlign w:val="center"/>
                      </w:tcPr>
                      <w:p w14:paraId="58AEF2BB">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2.99</w:t>
                        </w:r>
                      </w:p>
                    </w:tc>
                    <w:tc>
                      <w:tcPr>
                        <w:tcW w:w="672" w:type="dxa"/>
                        <w:noWrap w:val="0"/>
                        <w:vAlign w:val="center"/>
                      </w:tcPr>
                      <w:p w14:paraId="7E54BE07">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93.7%</w:t>
                        </w:r>
                      </w:p>
                    </w:tc>
                    <w:tc>
                      <w:tcPr>
                        <w:tcW w:w="996" w:type="dxa"/>
                        <w:noWrap w:val="0"/>
                        <w:vAlign w:val="center"/>
                      </w:tcPr>
                      <w:p w14:paraId="6392EBE9">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30.9</w:t>
                        </w:r>
                      </w:p>
                    </w:tc>
                    <w:tc>
                      <w:tcPr>
                        <w:tcW w:w="924" w:type="dxa"/>
                        <w:noWrap w:val="0"/>
                        <w:vAlign w:val="center"/>
                      </w:tcPr>
                      <w:p w14:paraId="287E35C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56.6</w:t>
                        </w:r>
                      </w:p>
                    </w:tc>
                    <w:tc>
                      <w:tcPr>
                        <w:tcW w:w="943" w:type="dxa"/>
                        <w:noWrap w:val="0"/>
                        <w:vAlign w:val="center"/>
                      </w:tcPr>
                      <w:p w14:paraId="7765932B">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p>
                    </w:tc>
                    <w:tc>
                      <w:tcPr>
                        <w:tcW w:w="977" w:type="dxa"/>
                        <w:noWrap w:val="0"/>
                        <w:vAlign w:val="center"/>
                      </w:tcPr>
                      <w:p w14:paraId="0A45A36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5.5</w:t>
                        </w:r>
                      </w:p>
                    </w:tc>
                    <w:tc>
                      <w:tcPr>
                        <w:tcW w:w="1090" w:type="dxa"/>
                        <w:noWrap w:val="0"/>
                        <w:vAlign w:val="center"/>
                      </w:tcPr>
                      <w:p w14:paraId="5910CC84">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134.2</w:t>
                        </w:r>
                      </w:p>
                    </w:tc>
                    <w:tc>
                      <w:tcPr>
                        <w:tcW w:w="1146" w:type="dxa"/>
                        <w:noWrap w:val="0"/>
                        <w:vAlign w:val="center"/>
                      </w:tcPr>
                      <w:p w14:paraId="1DDEDA2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w:t>
                        </w:r>
                      </w:p>
                    </w:tc>
                  </w:tr>
                  <w:tr w14:paraId="44DE6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307" w:type="dxa"/>
                        <w:noWrap w:val="0"/>
                        <w:vAlign w:val="center"/>
                      </w:tcPr>
                      <w:p w14:paraId="59C99DEB">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663" w:type="dxa"/>
                        <w:noWrap w:val="0"/>
                        <w:vAlign w:val="center"/>
                      </w:tcPr>
                      <w:p w14:paraId="65C58E7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射洪市</w:t>
                        </w:r>
                      </w:p>
                    </w:tc>
                    <w:tc>
                      <w:tcPr>
                        <w:tcW w:w="480" w:type="dxa"/>
                        <w:noWrap w:val="0"/>
                        <w:vAlign w:val="center"/>
                      </w:tcPr>
                      <w:p w14:paraId="2ABE251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3.13</w:t>
                        </w:r>
                      </w:p>
                    </w:tc>
                    <w:tc>
                      <w:tcPr>
                        <w:tcW w:w="672" w:type="dxa"/>
                        <w:noWrap w:val="0"/>
                        <w:vAlign w:val="center"/>
                      </w:tcPr>
                      <w:p w14:paraId="7C458B4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93.2%</w:t>
                        </w:r>
                      </w:p>
                    </w:tc>
                    <w:tc>
                      <w:tcPr>
                        <w:tcW w:w="996" w:type="dxa"/>
                        <w:noWrap w:val="0"/>
                        <w:vAlign w:val="center"/>
                      </w:tcPr>
                      <w:p w14:paraId="4E590A5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30.3</w:t>
                        </w:r>
                      </w:p>
                    </w:tc>
                    <w:tc>
                      <w:tcPr>
                        <w:tcW w:w="924" w:type="dxa"/>
                        <w:noWrap w:val="0"/>
                        <w:vAlign w:val="center"/>
                      </w:tcPr>
                      <w:p w14:paraId="46176EA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51.7</w:t>
                        </w:r>
                      </w:p>
                    </w:tc>
                    <w:tc>
                      <w:tcPr>
                        <w:tcW w:w="943" w:type="dxa"/>
                        <w:noWrap w:val="0"/>
                        <w:vAlign w:val="center"/>
                      </w:tcPr>
                      <w:p w14:paraId="4E18C8A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6.5</w:t>
                        </w:r>
                      </w:p>
                    </w:tc>
                    <w:tc>
                      <w:tcPr>
                        <w:tcW w:w="977" w:type="dxa"/>
                        <w:noWrap w:val="0"/>
                        <w:vAlign w:val="center"/>
                      </w:tcPr>
                      <w:p w14:paraId="3D17603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15.0</w:t>
                        </w:r>
                      </w:p>
                    </w:tc>
                    <w:tc>
                      <w:tcPr>
                        <w:tcW w:w="1090" w:type="dxa"/>
                        <w:noWrap w:val="0"/>
                        <w:vAlign w:val="center"/>
                      </w:tcPr>
                      <w:p w14:paraId="52B1EBB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128.0</w:t>
                        </w:r>
                      </w:p>
                    </w:tc>
                    <w:tc>
                      <w:tcPr>
                        <w:tcW w:w="1146" w:type="dxa"/>
                        <w:noWrap w:val="0"/>
                        <w:vAlign w:val="center"/>
                      </w:tcPr>
                      <w:p w14:paraId="7B8D6D7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r>
                  <w:tr w14:paraId="4E1589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05" w:hRule="atLeast"/>
                      <w:jc w:val="center"/>
                    </w:trPr>
                    <w:tc>
                      <w:tcPr>
                        <w:tcW w:w="307" w:type="dxa"/>
                        <w:noWrap w:val="0"/>
                        <w:vAlign w:val="center"/>
                      </w:tcPr>
                      <w:p w14:paraId="3EA6EFAB">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663" w:type="dxa"/>
                        <w:noWrap w:val="0"/>
                        <w:vAlign w:val="center"/>
                      </w:tcPr>
                      <w:p w14:paraId="46B6437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船山区</w:t>
                        </w:r>
                      </w:p>
                    </w:tc>
                    <w:tc>
                      <w:tcPr>
                        <w:tcW w:w="480" w:type="dxa"/>
                        <w:noWrap w:val="0"/>
                        <w:vAlign w:val="center"/>
                      </w:tcPr>
                      <w:p w14:paraId="73D5663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3.30</w:t>
                        </w:r>
                      </w:p>
                    </w:tc>
                    <w:tc>
                      <w:tcPr>
                        <w:tcW w:w="672" w:type="dxa"/>
                        <w:noWrap w:val="0"/>
                        <w:vAlign w:val="center"/>
                      </w:tcPr>
                      <w:p w14:paraId="25B1CED1">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90.1%</w:t>
                        </w:r>
                      </w:p>
                    </w:tc>
                    <w:tc>
                      <w:tcPr>
                        <w:tcW w:w="996" w:type="dxa"/>
                        <w:noWrap w:val="0"/>
                        <w:vAlign w:val="center"/>
                      </w:tcPr>
                      <w:p w14:paraId="6D849AA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29.5</w:t>
                        </w:r>
                      </w:p>
                    </w:tc>
                    <w:tc>
                      <w:tcPr>
                        <w:tcW w:w="924" w:type="dxa"/>
                        <w:noWrap w:val="0"/>
                        <w:vAlign w:val="center"/>
                      </w:tcPr>
                      <w:p w14:paraId="3C5EC75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50.3</w:t>
                        </w:r>
                      </w:p>
                    </w:tc>
                    <w:tc>
                      <w:tcPr>
                        <w:tcW w:w="943" w:type="dxa"/>
                        <w:noWrap w:val="0"/>
                        <w:vAlign w:val="center"/>
                      </w:tcPr>
                      <w:p w14:paraId="282F4DD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5.6</w:t>
                        </w:r>
                      </w:p>
                    </w:tc>
                    <w:tc>
                      <w:tcPr>
                        <w:tcW w:w="977" w:type="dxa"/>
                        <w:noWrap w:val="0"/>
                        <w:vAlign w:val="center"/>
                      </w:tcPr>
                      <w:p w14:paraId="773E644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19.7</w:t>
                        </w:r>
                      </w:p>
                    </w:tc>
                    <w:tc>
                      <w:tcPr>
                        <w:tcW w:w="1090" w:type="dxa"/>
                        <w:noWrap w:val="0"/>
                        <w:vAlign w:val="center"/>
                      </w:tcPr>
                      <w:p w14:paraId="5D32A04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105</w:t>
                        </w:r>
                        <w:r>
                          <w:rPr>
                            <w:rFonts w:hint="eastAsia" w:ascii="Times New Roman" w:hAnsi="Times New Roman" w:eastAsia="宋体" w:cs="Times New Roman"/>
                            <w:color w:val="auto"/>
                            <w:kern w:val="0"/>
                            <w:sz w:val="21"/>
                            <w:szCs w:val="21"/>
                            <w:lang w:val="en-US" w:eastAsia="zh-CN"/>
                          </w:rPr>
                          <w:t>.7</w:t>
                        </w:r>
                      </w:p>
                    </w:tc>
                    <w:tc>
                      <w:tcPr>
                        <w:tcW w:w="1146" w:type="dxa"/>
                        <w:noWrap w:val="0"/>
                        <w:vAlign w:val="center"/>
                      </w:tcPr>
                      <w:p w14:paraId="50E72EF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0.9</w:t>
                        </w:r>
                      </w:p>
                    </w:tc>
                  </w:tr>
                  <w:tr w14:paraId="4118B4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07" w:type="dxa"/>
                        <w:noWrap w:val="0"/>
                        <w:vAlign w:val="center"/>
                      </w:tcPr>
                      <w:p w14:paraId="41306E8E">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663" w:type="dxa"/>
                        <w:noWrap w:val="0"/>
                        <w:vAlign w:val="center"/>
                      </w:tcPr>
                      <w:p w14:paraId="0450072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市河东新区</w:t>
                        </w:r>
                      </w:p>
                    </w:tc>
                    <w:tc>
                      <w:tcPr>
                        <w:tcW w:w="480" w:type="dxa"/>
                        <w:noWrap w:val="0"/>
                        <w:vAlign w:val="center"/>
                      </w:tcPr>
                      <w:p w14:paraId="4A5E934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3.36</w:t>
                        </w:r>
                      </w:p>
                    </w:tc>
                    <w:tc>
                      <w:tcPr>
                        <w:tcW w:w="672" w:type="dxa"/>
                        <w:noWrap w:val="0"/>
                        <w:vAlign w:val="center"/>
                      </w:tcPr>
                      <w:p w14:paraId="0FB0177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88.2%</w:t>
                        </w:r>
                      </w:p>
                    </w:tc>
                    <w:tc>
                      <w:tcPr>
                        <w:tcW w:w="996" w:type="dxa"/>
                        <w:noWrap w:val="0"/>
                        <w:vAlign w:val="center"/>
                      </w:tcPr>
                      <w:p w14:paraId="4A4840C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29.8</w:t>
                        </w:r>
                      </w:p>
                    </w:tc>
                    <w:tc>
                      <w:tcPr>
                        <w:tcW w:w="924" w:type="dxa"/>
                        <w:noWrap w:val="0"/>
                        <w:vAlign w:val="center"/>
                      </w:tcPr>
                      <w:p w14:paraId="2846D7A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49.2</w:t>
                        </w:r>
                      </w:p>
                    </w:tc>
                    <w:tc>
                      <w:tcPr>
                        <w:tcW w:w="943" w:type="dxa"/>
                        <w:noWrap w:val="0"/>
                        <w:vAlign w:val="center"/>
                      </w:tcPr>
                      <w:p w14:paraId="3B440B2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7.2</w:t>
                        </w:r>
                      </w:p>
                    </w:tc>
                    <w:tc>
                      <w:tcPr>
                        <w:tcW w:w="977" w:type="dxa"/>
                        <w:noWrap w:val="0"/>
                        <w:vAlign w:val="center"/>
                      </w:tcPr>
                      <w:p w14:paraId="34D6C24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20.9</w:t>
                        </w:r>
                      </w:p>
                    </w:tc>
                    <w:tc>
                      <w:tcPr>
                        <w:tcW w:w="1090" w:type="dxa"/>
                        <w:noWrap w:val="0"/>
                        <w:vAlign w:val="center"/>
                      </w:tcPr>
                      <w:p w14:paraId="5BB05891">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105</w:t>
                        </w:r>
                        <w:r>
                          <w:rPr>
                            <w:rFonts w:hint="eastAsia" w:ascii="Times New Roman" w:hAnsi="Times New Roman" w:eastAsia="宋体" w:cs="Times New Roman"/>
                            <w:color w:val="auto"/>
                            <w:kern w:val="0"/>
                            <w:sz w:val="21"/>
                            <w:szCs w:val="21"/>
                            <w:lang w:val="en-US" w:eastAsia="zh-CN"/>
                          </w:rPr>
                          <w:t>.0</w:t>
                        </w:r>
                      </w:p>
                    </w:tc>
                    <w:tc>
                      <w:tcPr>
                        <w:tcW w:w="1146" w:type="dxa"/>
                        <w:noWrap w:val="0"/>
                        <w:vAlign w:val="center"/>
                      </w:tcPr>
                      <w:p w14:paraId="36F1B38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r>
                  <w:tr w14:paraId="3D0B00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07" w:type="dxa"/>
                        <w:noWrap w:val="0"/>
                        <w:vAlign w:val="center"/>
                      </w:tcPr>
                      <w:p w14:paraId="4977ECD6">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663" w:type="dxa"/>
                        <w:noWrap w:val="0"/>
                        <w:vAlign w:val="center"/>
                      </w:tcPr>
                      <w:p w14:paraId="103C9AD1">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遂宁经开区</w:t>
                        </w:r>
                      </w:p>
                    </w:tc>
                    <w:tc>
                      <w:tcPr>
                        <w:tcW w:w="480" w:type="dxa"/>
                        <w:noWrap w:val="0"/>
                        <w:vAlign w:val="center"/>
                      </w:tcPr>
                      <w:p w14:paraId="630D7AE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3.55</w:t>
                        </w:r>
                      </w:p>
                    </w:tc>
                    <w:tc>
                      <w:tcPr>
                        <w:tcW w:w="672" w:type="dxa"/>
                        <w:noWrap w:val="0"/>
                        <w:vAlign w:val="center"/>
                      </w:tcPr>
                      <w:p w14:paraId="4AA06D0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87.4%</w:t>
                        </w:r>
                      </w:p>
                    </w:tc>
                    <w:tc>
                      <w:tcPr>
                        <w:tcW w:w="996" w:type="dxa"/>
                        <w:noWrap w:val="0"/>
                        <w:vAlign w:val="center"/>
                      </w:tcPr>
                      <w:p w14:paraId="231FF07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30.0</w:t>
                        </w:r>
                      </w:p>
                    </w:tc>
                    <w:tc>
                      <w:tcPr>
                        <w:tcW w:w="924" w:type="dxa"/>
                        <w:noWrap w:val="0"/>
                        <w:vAlign w:val="center"/>
                      </w:tcPr>
                      <w:p w14:paraId="499EBEA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53.0</w:t>
                        </w:r>
                      </w:p>
                    </w:tc>
                    <w:tc>
                      <w:tcPr>
                        <w:tcW w:w="943" w:type="dxa"/>
                        <w:noWrap w:val="0"/>
                        <w:vAlign w:val="center"/>
                      </w:tcPr>
                      <w:p w14:paraId="72417DE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8.0</w:t>
                        </w:r>
                      </w:p>
                    </w:tc>
                    <w:tc>
                      <w:tcPr>
                        <w:tcW w:w="977" w:type="dxa"/>
                        <w:noWrap w:val="0"/>
                        <w:vAlign w:val="center"/>
                      </w:tcPr>
                      <w:p w14:paraId="22B95F5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26.4</w:t>
                        </w:r>
                      </w:p>
                    </w:tc>
                    <w:tc>
                      <w:tcPr>
                        <w:tcW w:w="1090" w:type="dxa"/>
                        <w:noWrap w:val="0"/>
                        <w:vAlign w:val="center"/>
                      </w:tcPr>
                      <w:p w14:paraId="47A817D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143.6</w:t>
                        </w:r>
                      </w:p>
                    </w:tc>
                    <w:tc>
                      <w:tcPr>
                        <w:tcW w:w="1146" w:type="dxa"/>
                        <w:noWrap w:val="0"/>
                        <w:vAlign w:val="center"/>
                      </w:tcPr>
                      <w:p w14:paraId="78B9568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r>
                </w:tbl>
                <w:p w14:paraId="40C10D40">
                  <w:pPr>
                    <w:keepNext/>
                    <w:widowControl w:val="0"/>
                    <w:overflowPunct w:val="0"/>
                    <w:snapToGrid w:val="0"/>
                    <w:spacing w:before="120" w:after="160" w:line="240" w:lineRule="auto"/>
                    <w:ind w:left="178" w:leftChars="85" w:firstLine="0" w:firstLineChars="0"/>
                    <w:jc w:val="both"/>
                    <w:outlineLvl w:val="9"/>
                    <w:rPr>
                      <w:rFonts w:ascii="Times New Roman" w:hAnsi="Times New Roman" w:eastAsia="黑体" w:cs="Times New Roman"/>
                      <w:b/>
                      <w:bCs/>
                      <w:color w:val="auto"/>
                      <w:kern w:val="44"/>
                      <w:sz w:val="21"/>
                      <w:szCs w:val="21"/>
                      <w:lang w:val="en-US" w:eastAsia="zh-CN" w:bidi="ar-SA"/>
                    </w:rPr>
                  </w:pPr>
                </w:p>
              </w:tc>
            </w:tr>
          </w:tbl>
          <w:p w14:paraId="133BD27D">
            <w:pPr>
              <w:widowControl w:val="0"/>
              <w:adjustRightInd w:val="0"/>
              <w:snapToGrid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综上</w:t>
            </w:r>
            <w:r>
              <w:rPr>
                <w:rFonts w:hint="default" w:ascii="Times New Roman" w:hAnsi="Times New Roman" w:eastAsia="宋体" w:cs="Times New Roman"/>
                <w:color w:val="auto"/>
                <w:kern w:val="2"/>
                <w:sz w:val="21"/>
                <w:szCs w:val="21"/>
                <w:lang w:val="en-US" w:eastAsia="zh-CN" w:bidi="ar-SA"/>
              </w:rPr>
              <w:t>，202</w:t>
            </w: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年遂宁</w:t>
            </w:r>
            <w:r>
              <w:rPr>
                <w:rFonts w:hint="eastAsia" w:ascii="Times New Roman" w:hAnsi="Times New Roman" w:eastAsia="宋体" w:cs="Times New Roman"/>
                <w:color w:val="auto"/>
                <w:kern w:val="2"/>
                <w:sz w:val="21"/>
                <w:szCs w:val="21"/>
                <w:lang w:val="en-US" w:eastAsia="zh-CN" w:bidi="ar-SA"/>
              </w:rPr>
              <w:t>市</w:t>
            </w:r>
            <w:r>
              <w:rPr>
                <w:rFonts w:hint="default" w:ascii="Times New Roman" w:hAnsi="Times New Roman" w:eastAsia="宋体" w:cs="Times New Roman"/>
                <w:color w:val="auto"/>
                <w:kern w:val="2"/>
                <w:sz w:val="21"/>
                <w:szCs w:val="21"/>
                <w:lang w:val="en-US" w:eastAsia="zh-CN" w:bidi="ar-SA"/>
              </w:rPr>
              <w:t>全域环境空气质量符合《环境空气质量标准》（GB3095-2012）二级标准</w:t>
            </w:r>
            <w:r>
              <w:rPr>
                <w:rFonts w:hint="eastAsia" w:ascii="Times New Roman" w:hAnsi="Times New Roman" w:eastAsia="宋体" w:cs="Times New Roman"/>
                <w:color w:val="auto"/>
                <w:kern w:val="2"/>
                <w:sz w:val="21"/>
                <w:szCs w:val="21"/>
                <w:lang w:val="en-US" w:eastAsia="zh-CN" w:bidi="ar-SA"/>
              </w:rPr>
              <w:t>，项目区</w:t>
            </w:r>
            <w:r>
              <w:rPr>
                <w:rFonts w:hint="eastAsia" w:ascii="Times New Roman" w:hAnsi="Times New Roman" w:eastAsia="宋体" w:cs="Times New Roman"/>
                <w:color w:val="auto"/>
                <w:kern w:val="0"/>
                <w:sz w:val="21"/>
                <w:szCs w:val="21"/>
                <w:lang w:val="en-US" w:eastAsia="zh-CN"/>
              </w:rPr>
              <w:t>蓬溪县</w:t>
            </w:r>
            <w:r>
              <w:rPr>
                <w:rFonts w:hint="eastAsia" w:ascii="Times New Roman" w:hAnsi="Times New Roman" w:eastAsia="宋体" w:cs="Times New Roman"/>
                <w:color w:val="auto"/>
                <w:kern w:val="2"/>
                <w:sz w:val="21"/>
                <w:szCs w:val="21"/>
                <w:lang w:val="en-US" w:eastAsia="zh-CN" w:bidi="ar-SA"/>
              </w:rPr>
              <w:t>属于达标区域。</w:t>
            </w:r>
          </w:p>
          <w:p w14:paraId="2B842615">
            <w:pPr>
              <w:widowControl w:val="0"/>
              <w:adjustRightInd w:val="0"/>
              <w:snapToGrid w:val="0"/>
              <w:spacing w:line="360" w:lineRule="auto"/>
              <w:ind w:firstLine="422"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2、特征因子监测数据</w:t>
            </w:r>
          </w:p>
          <w:p w14:paraId="5FA2CC0F">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本项目特征污染因子为</w:t>
            </w:r>
            <w:r>
              <w:rPr>
                <w:rFonts w:hint="eastAsia" w:ascii="Times New Roman" w:hAnsi="Times New Roman" w:eastAsia="宋体" w:cs="Times New Roman"/>
                <w:color w:val="auto"/>
                <w:kern w:val="2"/>
                <w:sz w:val="21"/>
                <w:szCs w:val="21"/>
                <w:highlight w:val="none"/>
                <w:lang w:val="en-US" w:eastAsia="zh-CN" w:bidi="ar-SA"/>
              </w:rPr>
              <w:t>TSP</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非甲烷总烃</w:t>
            </w:r>
            <w:r>
              <w:rPr>
                <w:rFonts w:hint="eastAsia" w:cs="Times New Roman"/>
                <w:color w:val="auto"/>
                <w:kern w:val="2"/>
                <w:sz w:val="21"/>
                <w:szCs w:val="21"/>
                <w:highlight w:val="none"/>
                <w:lang w:val="en-US" w:eastAsia="zh-CN" w:bidi="ar-SA"/>
              </w:rPr>
              <w:t>、二甲苯、苯乙烯</w:t>
            </w:r>
            <w:r>
              <w:rPr>
                <w:rFonts w:hint="eastAsia" w:ascii="Times New Roman" w:hAnsi="Times New Roman" w:eastAsia="宋体" w:cs="Times New Roman"/>
                <w:color w:val="auto"/>
                <w:kern w:val="2"/>
                <w:sz w:val="21"/>
                <w:szCs w:val="21"/>
                <w:highlight w:val="none"/>
                <w:lang w:val="en-US" w:eastAsia="zh-CN" w:bidi="ar-SA"/>
              </w:rPr>
              <w:t>。为了解本项目区域TSP</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非甲烷总烃</w:t>
            </w:r>
            <w:r>
              <w:rPr>
                <w:rFonts w:hint="eastAsia" w:cs="Times New Roman"/>
                <w:color w:val="auto"/>
                <w:kern w:val="2"/>
                <w:sz w:val="21"/>
                <w:szCs w:val="21"/>
                <w:highlight w:val="none"/>
                <w:lang w:val="en-US" w:eastAsia="zh-CN" w:bidi="ar-SA"/>
              </w:rPr>
              <w:t>、二甲苯、苯乙烯</w:t>
            </w:r>
            <w:r>
              <w:rPr>
                <w:rFonts w:hint="eastAsia" w:ascii="Times New Roman" w:hAnsi="Times New Roman" w:eastAsia="宋体" w:cs="Times New Roman"/>
                <w:color w:val="auto"/>
                <w:kern w:val="2"/>
                <w:sz w:val="21"/>
                <w:szCs w:val="21"/>
                <w:highlight w:val="none"/>
                <w:lang w:val="en-US" w:eastAsia="zh-CN" w:bidi="ar-SA"/>
              </w:rPr>
              <w:t>环境质量现状，本次环评引用《</w:t>
            </w:r>
            <w:r>
              <w:rPr>
                <w:rFonts w:hint="eastAsia" w:cs="Times New Roman"/>
                <w:color w:val="auto"/>
                <w:kern w:val="2"/>
                <w:sz w:val="21"/>
                <w:szCs w:val="21"/>
                <w:highlight w:val="none"/>
                <w:lang w:val="en-US" w:eastAsia="zh-CN" w:bidi="ar-SA"/>
              </w:rPr>
              <w:t>四川乐辰木业有限公司环境影响评价环境质量现状监测</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的</w:t>
            </w:r>
            <w:r>
              <w:rPr>
                <w:rFonts w:hint="eastAsia" w:ascii="Times New Roman" w:hAnsi="Times New Roman" w:eastAsia="宋体" w:cs="Times New Roman"/>
                <w:color w:val="auto"/>
                <w:kern w:val="2"/>
                <w:sz w:val="21"/>
                <w:szCs w:val="21"/>
                <w:highlight w:val="none"/>
                <w:lang w:val="en-US" w:eastAsia="zh-CN" w:bidi="ar-SA"/>
              </w:rPr>
              <w:t>监测数据，数据点位</w:t>
            </w:r>
            <w:r>
              <w:rPr>
                <w:rFonts w:hint="eastAsia" w:cs="Times New Roman"/>
                <w:color w:val="auto"/>
                <w:kern w:val="2"/>
                <w:sz w:val="21"/>
                <w:szCs w:val="21"/>
                <w:highlight w:val="none"/>
                <w:lang w:val="en-US" w:eastAsia="zh-CN" w:bidi="ar-SA"/>
              </w:rPr>
              <w:t>1个，</w:t>
            </w:r>
            <w:r>
              <w:rPr>
                <w:rFonts w:hint="eastAsia" w:ascii="Times New Roman" w:hAnsi="Times New Roman" w:eastAsia="宋体" w:cs="Times New Roman"/>
                <w:color w:val="auto"/>
                <w:kern w:val="2"/>
                <w:sz w:val="21"/>
                <w:szCs w:val="21"/>
                <w:highlight w:val="none"/>
                <w:lang w:val="en-US" w:eastAsia="zh-CN" w:bidi="ar-SA"/>
              </w:rPr>
              <w:t>位于本项目</w:t>
            </w:r>
            <w:r>
              <w:rPr>
                <w:rFonts w:hint="eastAsia" w:cs="Times New Roman"/>
                <w:color w:val="auto"/>
                <w:kern w:val="2"/>
                <w:sz w:val="21"/>
                <w:szCs w:val="21"/>
                <w:highlight w:val="none"/>
                <w:lang w:val="en-US" w:eastAsia="zh-CN" w:bidi="ar-SA"/>
              </w:rPr>
              <w:t>东侧218</w:t>
            </w:r>
            <w:r>
              <w:rPr>
                <w:rFonts w:hint="eastAsia" w:ascii="Times New Roman" w:hAnsi="Times New Roman" w:eastAsia="宋体" w:cs="Times New Roman"/>
                <w:color w:val="auto"/>
                <w:kern w:val="2"/>
                <w:sz w:val="21"/>
                <w:szCs w:val="21"/>
                <w:highlight w:val="none"/>
                <w:lang w:val="en-US" w:eastAsia="zh-CN" w:bidi="ar-SA"/>
              </w:rPr>
              <w:t>m处，数据属于3年内，5km范围内的数据，该数据时限和范围满足指南要求，属于可引用的有效监测数据。监测时间为2024年4月</w:t>
            </w:r>
            <w:r>
              <w:rPr>
                <w:rFonts w:hint="eastAsia" w:cs="Times New Roman"/>
                <w:color w:val="auto"/>
                <w:kern w:val="2"/>
                <w:sz w:val="21"/>
                <w:szCs w:val="21"/>
                <w:highlight w:val="none"/>
                <w:lang w:val="en-US" w:eastAsia="zh-CN" w:bidi="ar-SA"/>
              </w:rPr>
              <w:t>4</w:t>
            </w:r>
            <w:r>
              <w:rPr>
                <w:rFonts w:hint="eastAsia" w:ascii="Times New Roman" w:hAnsi="Times New Roman" w:eastAsia="宋体" w:cs="Times New Roman"/>
                <w:color w:val="auto"/>
                <w:kern w:val="2"/>
                <w:sz w:val="21"/>
                <w:szCs w:val="21"/>
                <w:highlight w:val="none"/>
                <w:lang w:val="en-US" w:eastAsia="zh-CN" w:bidi="ar-SA"/>
              </w:rPr>
              <w:t>日——2024年4月</w:t>
            </w:r>
            <w:r>
              <w:rPr>
                <w:rFonts w:hint="eastAsia" w:cs="Times New Roman"/>
                <w:color w:val="auto"/>
                <w:kern w:val="2"/>
                <w:sz w:val="21"/>
                <w:szCs w:val="21"/>
                <w:highlight w:val="none"/>
                <w:lang w:val="en-US" w:eastAsia="zh-CN" w:bidi="ar-SA"/>
              </w:rPr>
              <w:t>10</w:t>
            </w:r>
            <w:r>
              <w:rPr>
                <w:rFonts w:hint="eastAsia" w:ascii="Times New Roman" w:hAnsi="Times New Roman" w:eastAsia="宋体" w:cs="Times New Roman"/>
                <w:color w:val="auto"/>
                <w:kern w:val="2"/>
                <w:sz w:val="21"/>
                <w:szCs w:val="21"/>
                <w:highlight w:val="none"/>
                <w:lang w:val="en-US" w:eastAsia="zh-CN" w:bidi="ar-SA"/>
              </w:rPr>
              <w:t>日，监测数据如下</w:t>
            </w:r>
            <w:r>
              <w:rPr>
                <w:rFonts w:hint="default" w:ascii="Times New Roman" w:hAnsi="Times New Roman" w:eastAsia="宋体" w:cs="Times New Roman"/>
                <w:color w:val="auto"/>
                <w:kern w:val="2"/>
                <w:sz w:val="21"/>
                <w:szCs w:val="21"/>
                <w:highlight w:val="none"/>
                <w:lang w:val="en-US" w:eastAsia="zh-CN" w:bidi="ar-SA"/>
              </w:rPr>
              <w:t>。</w:t>
            </w:r>
          </w:p>
          <w:p w14:paraId="2A209568">
            <w:pPr>
              <w:widowControl w:val="0"/>
              <w:bidi w:val="0"/>
              <w:spacing w:line="240" w:lineRule="auto"/>
              <w:ind w:firstLine="0"/>
              <w:jc w:val="center"/>
              <w:rPr>
                <w:rFonts w:hint="default" w:ascii="宋体" w:hAnsi="宋体"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 xml:space="preserve">表3-2 </w:t>
            </w:r>
            <w:r>
              <w:rPr>
                <w:rFonts w:hint="eastAsia" w:ascii="Times New Roman" w:hAnsi="Times New Roman" w:cs="Times New Roman"/>
                <w:b/>
                <w:bCs/>
                <w:color w:val="auto"/>
                <w:kern w:val="2"/>
                <w:sz w:val="21"/>
                <w:szCs w:val="21"/>
                <w:highlight w:val="none"/>
                <w:lang w:val="en-US" w:eastAsia="zh-CN" w:bidi="ar-SA"/>
              </w:rPr>
              <w:t>引用报告环境质量现状</w:t>
            </w:r>
            <w:r>
              <w:rPr>
                <w:rFonts w:hint="default" w:ascii="Times New Roman" w:hAnsi="Times New Roman" w:eastAsia="宋体" w:cs="Times New Roman"/>
                <w:b/>
                <w:bCs/>
                <w:color w:val="auto"/>
                <w:kern w:val="2"/>
                <w:sz w:val="21"/>
                <w:szCs w:val="21"/>
                <w:highlight w:val="none"/>
                <w:lang w:val="en-US" w:eastAsia="zh-CN" w:bidi="ar-SA"/>
              </w:rPr>
              <w:t>监</w:t>
            </w:r>
            <w:r>
              <w:rPr>
                <w:rFonts w:hint="default" w:ascii="宋体" w:hAnsi="宋体" w:eastAsia="宋体" w:cs="Times New Roman"/>
                <w:b/>
                <w:bCs/>
                <w:color w:val="auto"/>
                <w:kern w:val="2"/>
                <w:sz w:val="21"/>
                <w:szCs w:val="21"/>
                <w:highlight w:val="none"/>
                <w:lang w:val="en-US" w:eastAsia="zh-CN" w:bidi="ar-SA"/>
              </w:rPr>
              <w:t>测值</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62"/>
              <w:gridCol w:w="1062"/>
              <w:gridCol w:w="1063"/>
              <w:gridCol w:w="1063"/>
              <w:gridCol w:w="1063"/>
              <w:gridCol w:w="1063"/>
              <w:gridCol w:w="1072"/>
            </w:tblGrid>
            <w:tr w14:paraId="6762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12" w:type="pct"/>
                  <w:tcBorders>
                    <w:tl2br w:val="nil"/>
                    <w:tr2bl w:val="nil"/>
                  </w:tcBorders>
                  <w:noWrap w:val="0"/>
                  <w:vAlign w:val="center"/>
                </w:tcPr>
                <w:p w14:paraId="461FDB9F">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监测</w:t>
                  </w:r>
                </w:p>
                <w:p w14:paraId="240082AD">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项目</w:t>
                  </w:r>
                </w:p>
              </w:tc>
              <w:tc>
                <w:tcPr>
                  <w:tcW w:w="4487" w:type="pct"/>
                  <w:gridSpan w:val="7"/>
                  <w:tcBorders>
                    <w:tl2br w:val="nil"/>
                    <w:tr2bl w:val="nil"/>
                  </w:tcBorders>
                  <w:noWrap w:val="0"/>
                  <w:vAlign w:val="center"/>
                </w:tcPr>
                <w:p w14:paraId="74C7526F">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lang w:val="en-US" w:eastAsia="zh-CN" w:bidi="ar-SA"/>
                    </w:rPr>
                    <w:t>监测结果</w:t>
                  </w:r>
                  <w:r>
                    <w:rPr>
                      <w:rFonts w:hint="eastAsia" w:cs="Times New Roman"/>
                      <w:kern w:val="2"/>
                      <w:sz w:val="21"/>
                      <w:szCs w:val="21"/>
                      <w:lang w:val="en-US" w:eastAsia="zh-CN" w:bidi="ar-SA"/>
                    </w:rPr>
                    <w:t>（</w:t>
                  </w:r>
                  <w:r>
                    <w:rPr>
                      <w:rFonts w:hint="eastAsia"/>
                      <w:lang w:val="en-US" w:eastAsia="zh-CN"/>
                    </w:rPr>
                    <w:t>mg/m</w:t>
                  </w:r>
                  <w:r>
                    <w:rPr>
                      <w:rFonts w:hint="eastAsia"/>
                      <w:vertAlign w:val="superscript"/>
                      <w:lang w:val="en-US" w:eastAsia="zh-CN"/>
                    </w:rPr>
                    <w:t>3</w:t>
                  </w:r>
                  <w:r>
                    <w:rPr>
                      <w:rFonts w:hint="eastAsia" w:cs="Times New Roman"/>
                      <w:kern w:val="2"/>
                      <w:sz w:val="21"/>
                      <w:szCs w:val="21"/>
                      <w:lang w:val="en-US" w:eastAsia="zh-CN" w:bidi="ar-SA"/>
                    </w:rPr>
                    <w:t>）</w:t>
                  </w:r>
                </w:p>
              </w:tc>
            </w:tr>
            <w:tr w14:paraId="26A2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2" w:type="pct"/>
                  <w:tcBorders>
                    <w:tl2br w:val="nil"/>
                    <w:tr2bl w:val="nil"/>
                  </w:tcBorders>
                  <w:noWrap w:val="0"/>
                  <w:vAlign w:val="center"/>
                </w:tcPr>
                <w:p w14:paraId="2319550C">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时间</w:t>
                  </w:r>
                </w:p>
              </w:tc>
              <w:tc>
                <w:tcPr>
                  <w:tcW w:w="639" w:type="pct"/>
                  <w:tcBorders>
                    <w:tl2br w:val="nil"/>
                    <w:tr2bl w:val="nil"/>
                  </w:tcBorders>
                  <w:noWrap w:val="0"/>
                  <w:vAlign w:val="center"/>
                </w:tcPr>
                <w:p w14:paraId="4EF2179B">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2024.4.4</w:t>
                  </w:r>
                </w:p>
              </w:tc>
              <w:tc>
                <w:tcPr>
                  <w:tcW w:w="639" w:type="pct"/>
                  <w:tcBorders>
                    <w:tl2br w:val="nil"/>
                    <w:tr2bl w:val="nil"/>
                  </w:tcBorders>
                  <w:noWrap w:val="0"/>
                  <w:vAlign w:val="center"/>
                </w:tcPr>
                <w:p w14:paraId="56206E5D">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2024.4.5</w:t>
                  </w:r>
                </w:p>
              </w:tc>
              <w:tc>
                <w:tcPr>
                  <w:tcW w:w="640" w:type="pct"/>
                  <w:tcBorders>
                    <w:tl2br w:val="nil"/>
                    <w:tr2bl w:val="nil"/>
                  </w:tcBorders>
                  <w:noWrap w:val="0"/>
                  <w:vAlign w:val="center"/>
                </w:tcPr>
                <w:p w14:paraId="3958EEA5">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2024.4.6</w:t>
                  </w:r>
                </w:p>
              </w:tc>
              <w:tc>
                <w:tcPr>
                  <w:tcW w:w="640" w:type="pct"/>
                  <w:tcBorders>
                    <w:tl2br w:val="nil"/>
                    <w:tr2bl w:val="nil"/>
                  </w:tcBorders>
                  <w:noWrap w:val="0"/>
                  <w:vAlign w:val="center"/>
                </w:tcPr>
                <w:p w14:paraId="15B6D82B">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2024.4.7</w:t>
                  </w:r>
                </w:p>
              </w:tc>
              <w:tc>
                <w:tcPr>
                  <w:tcW w:w="640" w:type="pct"/>
                  <w:tcBorders>
                    <w:tl2br w:val="nil"/>
                    <w:tr2bl w:val="nil"/>
                  </w:tcBorders>
                  <w:noWrap w:val="0"/>
                  <w:vAlign w:val="center"/>
                </w:tcPr>
                <w:p w14:paraId="7366FE13">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2024.4.8</w:t>
                  </w:r>
                </w:p>
              </w:tc>
              <w:tc>
                <w:tcPr>
                  <w:tcW w:w="640" w:type="pct"/>
                  <w:tcBorders>
                    <w:tl2br w:val="nil"/>
                    <w:tr2bl w:val="nil"/>
                  </w:tcBorders>
                  <w:noWrap w:val="0"/>
                  <w:vAlign w:val="center"/>
                </w:tcPr>
                <w:p w14:paraId="17B33394">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2024.4.9</w:t>
                  </w:r>
                </w:p>
              </w:tc>
              <w:tc>
                <w:tcPr>
                  <w:tcW w:w="645" w:type="pct"/>
                  <w:tcBorders>
                    <w:tl2br w:val="nil"/>
                    <w:tr2bl w:val="nil"/>
                  </w:tcBorders>
                  <w:noWrap w:val="0"/>
                  <w:vAlign w:val="center"/>
                </w:tcPr>
                <w:p w14:paraId="49ED8411">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2024.4.10</w:t>
                  </w:r>
                </w:p>
              </w:tc>
            </w:tr>
            <w:tr w14:paraId="37EC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2" w:type="pct"/>
                  <w:tcBorders>
                    <w:tl2br w:val="nil"/>
                    <w:tr2bl w:val="nil"/>
                  </w:tcBorders>
                  <w:noWrap w:val="0"/>
                  <w:vAlign w:val="center"/>
                </w:tcPr>
                <w:p w14:paraId="7D899EBF">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kern w:val="0"/>
                      <w:sz w:val="21"/>
                      <w:szCs w:val="21"/>
                      <w:lang w:val="en-US" w:eastAsia="zh-CN" w:bidi="ar-SA"/>
                    </w:rPr>
                  </w:pPr>
                  <w:r>
                    <w:rPr>
                      <w:rFonts w:hint="default" w:ascii="Times New Roman" w:hAnsi="Times New Roman" w:cs="Times New Roman"/>
                      <w:kern w:val="0"/>
                      <w:sz w:val="21"/>
                      <w:szCs w:val="21"/>
                      <w:lang w:val="en-US" w:eastAsia="zh-CN" w:bidi="ar-SA"/>
                    </w:rPr>
                    <w:t>TSP</w:t>
                  </w:r>
                </w:p>
                <w:p w14:paraId="65240011">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cs="Times New Roman"/>
                      <w:kern w:val="0"/>
                      <w:sz w:val="21"/>
                      <w:szCs w:val="21"/>
                      <w:lang w:val="en-US" w:eastAsia="zh-CN" w:bidi="ar-SA"/>
                    </w:rPr>
                  </w:pPr>
                  <w:r>
                    <w:rPr>
                      <w:rFonts w:hint="default" w:ascii="Times New Roman" w:hAnsi="Times New Roman" w:eastAsia="宋体" w:cs="Times New Roman"/>
                      <w:kern w:val="2"/>
                      <w:sz w:val="21"/>
                      <w:szCs w:val="21"/>
                      <w:lang w:val="en-US" w:eastAsia="zh-CN" w:bidi="ar-SA"/>
                    </w:rPr>
                    <w:t>μg/m</w:t>
                  </w:r>
                  <w:r>
                    <w:rPr>
                      <w:rFonts w:hint="eastAsia" w:cs="Times New Roman"/>
                      <w:kern w:val="2"/>
                      <w:sz w:val="21"/>
                      <w:szCs w:val="21"/>
                      <w:vertAlign w:val="superscript"/>
                      <w:lang w:val="en-US" w:eastAsia="zh-CN" w:bidi="ar-SA"/>
                    </w:rPr>
                    <w:t>3</w:t>
                  </w:r>
                </w:p>
              </w:tc>
              <w:tc>
                <w:tcPr>
                  <w:tcW w:w="639" w:type="pct"/>
                  <w:tcBorders>
                    <w:tl2br w:val="nil"/>
                    <w:tr2bl w:val="nil"/>
                  </w:tcBorders>
                  <w:noWrap w:val="0"/>
                  <w:vAlign w:val="center"/>
                </w:tcPr>
                <w:p w14:paraId="351CDAB5">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135</w:t>
                  </w:r>
                </w:p>
              </w:tc>
              <w:tc>
                <w:tcPr>
                  <w:tcW w:w="639" w:type="pct"/>
                  <w:tcBorders>
                    <w:tl2br w:val="nil"/>
                    <w:tr2bl w:val="nil"/>
                  </w:tcBorders>
                  <w:noWrap w:val="0"/>
                  <w:vAlign w:val="center"/>
                </w:tcPr>
                <w:p w14:paraId="7ED4C264">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144</w:t>
                  </w:r>
                </w:p>
              </w:tc>
              <w:tc>
                <w:tcPr>
                  <w:tcW w:w="640" w:type="pct"/>
                  <w:tcBorders>
                    <w:tl2br w:val="nil"/>
                    <w:tr2bl w:val="nil"/>
                  </w:tcBorders>
                  <w:noWrap w:val="0"/>
                  <w:vAlign w:val="center"/>
                </w:tcPr>
                <w:p w14:paraId="358D0FA3">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139</w:t>
                  </w:r>
                </w:p>
              </w:tc>
              <w:tc>
                <w:tcPr>
                  <w:tcW w:w="640" w:type="pct"/>
                  <w:tcBorders>
                    <w:tl2br w:val="nil"/>
                    <w:tr2bl w:val="nil"/>
                  </w:tcBorders>
                  <w:noWrap w:val="0"/>
                  <w:vAlign w:val="center"/>
                </w:tcPr>
                <w:p w14:paraId="56B06B0C">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124</w:t>
                  </w:r>
                </w:p>
              </w:tc>
              <w:tc>
                <w:tcPr>
                  <w:tcW w:w="640" w:type="pct"/>
                  <w:tcBorders>
                    <w:tl2br w:val="nil"/>
                    <w:tr2bl w:val="nil"/>
                  </w:tcBorders>
                  <w:noWrap w:val="0"/>
                  <w:vAlign w:val="center"/>
                </w:tcPr>
                <w:p w14:paraId="47E16026">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111</w:t>
                  </w:r>
                </w:p>
              </w:tc>
              <w:tc>
                <w:tcPr>
                  <w:tcW w:w="640" w:type="pct"/>
                  <w:tcBorders>
                    <w:tl2br w:val="nil"/>
                    <w:tr2bl w:val="nil"/>
                  </w:tcBorders>
                  <w:noWrap w:val="0"/>
                  <w:vAlign w:val="center"/>
                </w:tcPr>
                <w:p w14:paraId="40850E5A">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 w:val="0"/>
                      <w:bCs w:val="0"/>
                      <w:color w:val="auto"/>
                      <w:kern w:val="0"/>
                      <w:sz w:val="21"/>
                      <w:szCs w:val="21"/>
                      <w:lang w:val="en-US" w:eastAsia="zh-CN" w:bidi="ar-SA"/>
                    </w:rPr>
                    <w:t>132</w:t>
                  </w:r>
                </w:p>
              </w:tc>
              <w:tc>
                <w:tcPr>
                  <w:tcW w:w="645" w:type="pct"/>
                  <w:tcBorders>
                    <w:tl2br w:val="nil"/>
                    <w:tr2bl w:val="nil"/>
                  </w:tcBorders>
                  <w:noWrap w:val="0"/>
                  <w:vAlign w:val="center"/>
                </w:tcPr>
                <w:p w14:paraId="4D24B972">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144</w:t>
                  </w:r>
                </w:p>
              </w:tc>
            </w:tr>
            <w:tr w14:paraId="3C3F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2" w:type="pct"/>
                  <w:vMerge w:val="restart"/>
                  <w:tcBorders>
                    <w:tl2br w:val="nil"/>
                    <w:tr2bl w:val="nil"/>
                  </w:tcBorders>
                  <w:noWrap w:val="0"/>
                  <w:vAlign w:val="center"/>
                </w:tcPr>
                <w:p w14:paraId="5B298947">
                  <w:pPr>
                    <w:bidi w:val="0"/>
                    <w:rPr>
                      <w:rFonts w:hint="default"/>
                      <w:vertAlign w:val="superscript"/>
                      <w:lang w:val="en-US" w:eastAsia="zh-CN"/>
                    </w:rPr>
                  </w:pPr>
                  <w:r>
                    <w:rPr>
                      <w:rFonts w:hint="default"/>
                      <w:lang w:val="en-US" w:eastAsia="zh-CN"/>
                    </w:rPr>
                    <w:t>NMHC</w:t>
                  </w:r>
                </w:p>
              </w:tc>
              <w:tc>
                <w:tcPr>
                  <w:tcW w:w="639" w:type="pct"/>
                  <w:tcBorders>
                    <w:tl2br w:val="nil"/>
                    <w:tr2bl w:val="nil"/>
                  </w:tcBorders>
                  <w:noWrap w:val="0"/>
                  <w:vAlign w:val="center"/>
                </w:tcPr>
                <w:p w14:paraId="46C9DA85">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0.43</w:t>
                  </w:r>
                </w:p>
              </w:tc>
              <w:tc>
                <w:tcPr>
                  <w:tcW w:w="639" w:type="pct"/>
                  <w:tcBorders>
                    <w:tl2br w:val="nil"/>
                    <w:tr2bl w:val="nil"/>
                  </w:tcBorders>
                  <w:noWrap w:val="0"/>
                  <w:vAlign w:val="center"/>
                </w:tcPr>
                <w:p w14:paraId="573C0B3A">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0.46</w:t>
                  </w:r>
                </w:p>
              </w:tc>
              <w:tc>
                <w:tcPr>
                  <w:tcW w:w="640" w:type="pct"/>
                  <w:tcBorders>
                    <w:tl2br w:val="nil"/>
                    <w:tr2bl w:val="nil"/>
                  </w:tcBorders>
                  <w:noWrap w:val="0"/>
                  <w:vAlign w:val="center"/>
                </w:tcPr>
                <w:p w14:paraId="09C63301">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0.55</w:t>
                  </w:r>
                </w:p>
              </w:tc>
              <w:tc>
                <w:tcPr>
                  <w:tcW w:w="640" w:type="pct"/>
                  <w:tcBorders>
                    <w:tl2br w:val="nil"/>
                    <w:tr2bl w:val="nil"/>
                  </w:tcBorders>
                  <w:noWrap w:val="0"/>
                  <w:vAlign w:val="center"/>
                </w:tcPr>
                <w:p w14:paraId="3C9BA072">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0.49</w:t>
                  </w:r>
                </w:p>
              </w:tc>
              <w:tc>
                <w:tcPr>
                  <w:tcW w:w="640" w:type="pct"/>
                  <w:tcBorders>
                    <w:tl2br w:val="nil"/>
                    <w:tr2bl w:val="nil"/>
                  </w:tcBorders>
                  <w:noWrap w:val="0"/>
                  <w:vAlign w:val="center"/>
                </w:tcPr>
                <w:p w14:paraId="38B26365">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0.41</w:t>
                  </w:r>
                </w:p>
              </w:tc>
              <w:tc>
                <w:tcPr>
                  <w:tcW w:w="640" w:type="pct"/>
                  <w:tcBorders>
                    <w:tl2br w:val="nil"/>
                    <w:tr2bl w:val="nil"/>
                  </w:tcBorders>
                  <w:noWrap w:val="0"/>
                  <w:vAlign w:val="center"/>
                </w:tcPr>
                <w:p w14:paraId="14EAB2F9">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0.34</w:t>
                  </w:r>
                </w:p>
              </w:tc>
              <w:tc>
                <w:tcPr>
                  <w:tcW w:w="645" w:type="pct"/>
                  <w:tcBorders>
                    <w:tl2br w:val="nil"/>
                    <w:tr2bl w:val="nil"/>
                  </w:tcBorders>
                  <w:noWrap w:val="0"/>
                  <w:vAlign w:val="center"/>
                </w:tcPr>
                <w:p w14:paraId="2B46DB76">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0.33</w:t>
                  </w:r>
                </w:p>
              </w:tc>
            </w:tr>
            <w:tr w14:paraId="5F86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2" w:type="pct"/>
                  <w:vMerge w:val="continue"/>
                  <w:tcBorders>
                    <w:tl2br w:val="nil"/>
                    <w:tr2bl w:val="nil"/>
                  </w:tcBorders>
                  <w:noWrap w:val="0"/>
                  <w:vAlign w:val="center"/>
                </w:tcPr>
                <w:p w14:paraId="5C19E54A">
                  <w:pPr>
                    <w:pStyle w:val="22"/>
                    <w:keepNext w:val="0"/>
                    <w:keepLines w:val="0"/>
                    <w:pageBreakBefore w:val="0"/>
                    <w:kinsoku/>
                    <w:wordWrap/>
                    <w:overflowPunct/>
                    <w:topLinePunct w:val="0"/>
                    <w:bidi w:val="0"/>
                    <w:adjustRightInd/>
                    <w:snapToGrid/>
                    <w:spacing w:line="240" w:lineRule="auto"/>
                    <w:ind w:left="0" w:leftChars="0" w:firstLine="0" w:firstLineChars="0"/>
                    <w:jc w:val="both"/>
                    <w:textAlignment w:val="auto"/>
                    <w:rPr>
                      <w:rFonts w:hint="default" w:ascii="宋体" w:hAnsi="宋体" w:eastAsia="宋体" w:cs="宋体"/>
                      <w:kern w:val="0"/>
                      <w:sz w:val="21"/>
                      <w:szCs w:val="21"/>
                      <w:lang w:val="en-US" w:eastAsia="zh-CN" w:bidi="ar-SA"/>
                    </w:rPr>
                  </w:pPr>
                </w:p>
              </w:tc>
              <w:tc>
                <w:tcPr>
                  <w:tcW w:w="639" w:type="pct"/>
                  <w:tcBorders>
                    <w:tl2br w:val="nil"/>
                    <w:tr2bl w:val="nil"/>
                  </w:tcBorders>
                  <w:noWrap w:val="0"/>
                  <w:vAlign w:val="center"/>
                </w:tcPr>
                <w:p w14:paraId="5EE4092B">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0.31</w:t>
                  </w:r>
                </w:p>
              </w:tc>
              <w:tc>
                <w:tcPr>
                  <w:tcW w:w="639" w:type="pct"/>
                  <w:tcBorders>
                    <w:tl2br w:val="nil"/>
                    <w:tr2bl w:val="nil"/>
                  </w:tcBorders>
                  <w:noWrap w:val="0"/>
                  <w:vAlign w:val="center"/>
                </w:tcPr>
                <w:p w14:paraId="3109A859">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0.39</w:t>
                  </w:r>
                </w:p>
              </w:tc>
              <w:tc>
                <w:tcPr>
                  <w:tcW w:w="640" w:type="pct"/>
                  <w:tcBorders>
                    <w:tl2br w:val="nil"/>
                    <w:tr2bl w:val="nil"/>
                  </w:tcBorders>
                  <w:noWrap w:val="0"/>
                  <w:vAlign w:val="center"/>
                </w:tcPr>
                <w:p w14:paraId="28DF6A22">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0.37</w:t>
                  </w:r>
                </w:p>
              </w:tc>
              <w:tc>
                <w:tcPr>
                  <w:tcW w:w="640" w:type="pct"/>
                  <w:tcBorders>
                    <w:tl2br w:val="nil"/>
                    <w:tr2bl w:val="nil"/>
                  </w:tcBorders>
                  <w:noWrap w:val="0"/>
                  <w:vAlign w:val="center"/>
                </w:tcPr>
                <w:p w14:paraId="54805C53">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0.45</w:t>
                  </w:r>
                </w:p>
              </w:tc>
              <w:tc>
                <w:tcPr>
                  <w:tcW w:w="640" w:type="pct"/>
                  <w:tcBorders>
                    <w:tl2br w:val="nil"/>
                    <w:tr2bl w:val="nil"/>
                  </w:tcBorders>
                  <w:noWrap w:val="0"/>
                  <w:vAlign w:val="center"/>
                </w:tcPr>
                <w:p w14:paraId="315E805F">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0.64</w:t>
                  </w:r>
                </w:p>
              </w:tc>
              <w:tc>
                <w:tcPr>
                  <w:tcW w:w="640" w:type="pct"/>
                  <w:tcBorders>
                    <w:tl2br w:val="nil"/>
                    <w:tr2bl w:val="nil"/>
                  </w:tcBorders>
                  <w:noWrap w:val="0"/>
                  <w:vAlign w:val="center"/>
                </w:tcPr>
                <w:p w14:paraId="4A6990F9">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0.39</w:t>
                  </w:r>
                </w:p>
              </w:tc>
              <w:tc>
                <w:tcPr>
                  <w:tcW w:w="645" w:type="pct"/>
                  <w:tcBorders>
                    <w:tl2br w:val="nil"/>
                    <w:tr2bl w:val="nil"/>
                  </w:tcBorders>
                  <w:noWrap w:val="0"/>
                  <w:vAlign w:val="center"/>
                </w:tcPr>
                <w:p w14:paraId="1556F81F">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0.43</w:t>
                  </w:r>
                </w:p>
              </w:tc>
            </w:tr>
            <w:tr w14:paraId="58AE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2" w:type="pct"/>
                  <w:vMerge w:val="continue"/>
                  <w:tcBorders>
                    <w:tl2br w:val="nil"/>
                    <w:tr2bl w:val="nil"/>
                  </w:tcBorders>
                  <w:noWrap w:val="0"/>
                  <w:vAlign w:val="center"/>
                </w:tcPr>
                <w:p w14:paraId="41D730CD">
                  <w:pPr>
                    <w:pStyle w:val="22"/>
                    <w:keepNext w:val="0"/>
                    <w:keepLines w:val="0"/>
                    <w:pageBreakBefore w:val="0"/>
                    <w:kinsoku/>
                    <w:wordWrap/>
                    <w:overflowPunct/>
                    <w:topLinePunct w:val="0"/>
                    <w:bidi w:val="0"/>
                    <w:adjustRightInd/>
                    <w:snapToGrid/>
                    <w:spacing w:line="240" w:lineRule="auto"/>
                    <w:ind w:left="0" w:leftChars="0" w:firstLine="0" w:firstLineChars="0"/>
                    <w:jc w:val="both"/>
                    <w:textAlignment w:val="auto"/>
                    <w:rPr>
                      <w:rFonts w:hint="default" w:ascii="宋体" w:hAnsi="宋体" w:eastAsia="宋体" w:cs="宋体"/>
                      <w:b/>
                      <w:bCs/>
                      <w:kern w:val="0"/>
                      <w:sz w:val="21"/>
                      <w:szCs w:val="21"/>
                      <w:lang w:val="en-US" w:eastAsia="zh-CN" w:bidi="ar-SA"/>
                    </w:rPr>
                  </w:pPr>
                </w:p>
              </w:tc>
              <w:tc>
                <w:tcPr>
                  <w:tcW w:w="639" w:type="pct"/>
                  <w:tcBorders>
                    <w:tl2br w:val="nil"/>
                    <w:tr2bl w:val="nil"/>
                  </w:tcBorders>
                  <w:noWrap w:val="0"/>
                  <w:vAlign w:val="center"/>
                </w:tcPr>
                <w:p w14:paraId="6A56C09A">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val="0"/>
                      <w:bCs w:val="0"/>
                      <w:color w:val="000000"/>
                      <w:kern w:val="2"/>
                      <w:sz w:val="21"/>
                      <w:szCs w:val="21"/>
                      <w:lang w:val="en-US" w:eastAsia="zh-CN" w:bidi="ar-SA"/>
                    </w:rPr>
                    <w:t>0.46</w:t>
                  </w:r>
                </w:p>
              </w:tc>
              <w:tc>
                <w:tcPr>
                  <w:tcW w:w="639" w:type="pct"/>
                  <w:tcBorders>
                    <w:tl2br w:val="nil"/>
                    <w:tr2bl w:val="nil"/>
                  </w:tcBorders>
                  <w:noWrap w:val="0"/>
                  <w:vAlign w:val="center"/>
                </w:tcPr>
                <w:p w14:paraId="028D3F9D">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val="0"/>
                      <w:bCs w:val="0"/>
                      <w:color w:val="000000"/>
                      <w:kern w:val="2"/>
                      <w:sz w:val="21"/>
                      <w:szCs w:val="21"/>
                      <w:lang w:val="en-US" w:eastAsia="zh-CN" w:bidi="ar-SA"/>
                    </w:rPr>
                    <w:t>0.37</w:t>
                  </w:r>
                </w:p>
              </w:tc>
              <w:tc>
                <w:tcPr>
                  <w:tcW w:w="640" w:type="pct"/>
                  <w:tcBorders>
                    <w:tl2br w:val="nil"/>
                    <w:tr2bl w:val="nil"/>
                  </w:tcBorders>
                  <w:noWrap w:val="0"/>
                  <w:vAlign w:val="center"/>
                </w:tcPr>
                <w:p w14:paraId="734BF998">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val="0"/>
                      <w:bCs w:val="0"/>
                      <w:color w:val="000000"/>
                      <w:kern w:val="2"/>
                      <w:sz w:val="21"/>
                      <w:szCs w:val="21"/>
                      <w:lang w:val="en-US" w:eastAsia="zh-CN" w:bidi="ar-SA"/>
                    </w:rPr>
                    <w:t>0.50</w:t>
                  </w:r>
                </w:p>
              </w:tc>
              <w:tc>
                <w:tcPr>
                  <w:tcW w:w="640" w:type="pct"/>
                  <w:tcBorders>
                    <w:tl2br w:val="nil"/>
                    <w:tr2bl w:val="nil"/>
                  </w:tcBorders>
                  <w:noWrap w:val="0"/>
                  <w:vAlign w:val="center"/>
                </w:tcPr>
                <w:p w14:paraId="18F8F85C">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val="0"/>
                      <w:bCs w:val="0"/>
                      <w:color w:val="000000"/>
                      <w:kern w:val="2"/>
                      <w:sz w:val="21"/>
                      <w:szCs w:val="21"/>
                      <w:lang w:val="en-US" w:eastAsia="zh-CN" w:bidi="ar-SA"/>
                    </w:rPr>
                    <w:t>0.40</w:t>
                  </w:r>
                </w:p>
              </w:tc>
              <w:tc>
                <w:tcPr>
                  <w:tcW w:w="640" w:type="pct"/>
                  <w:tcBorders>
                    <w:tl2br w:val="nil"/>
                    <w:tr2bl w:val="nil"/>
                  </w:tcBorders>
                  <w:noWrap w:val="0"/>
                  <w:vAlign w:val="center"/>
                </w:tcPr>
                <w:p w14:paraId="6387FEED">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val="0"/>
                      <w:bCs w:val="0"/>
                      <w:color w:val="000000"/>
                      <w:kern w:val="2"/>
                      <w:sz w:val="21"/>
                      <w:szCs w:val="21"/>
                      <w:lang w:val="en-US" w:eastAsia="zh-CN" w:bidi="ar-SA"/>
                    </w:rPr>
                    <w:t>0.42</w:t>
                  </w:r>
                </w:p>
              </w:tc>
              <w:tc>
                <w:tcPr>
                  <w:tcW w:w="640" w:type="pct"/>
                  <w:tcBorders>
                    <w:tl2br w:val="nil"/>
                    <w:tr2bl w:val="nil"/>
                  </w:tcBorders>
                  <w:noWrap w:val="0"/>
                  <w:vAlign w:val="center"/>
                </w:tcPr>
                <w:p w14:paraId="2E8718BF">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val="0"/>
                      <w:bCs w:val="0"/>
                      <w:color w:val="000000"/>
                      <w:kern w:val="2"/>
                      <w:sz w:val="21"/>
                      <w:szCs w:val="21"/>
                      <w:lang w:val="en-US" w:eastAsia="zh-CN" w:bidi="ar-SA"/>
                    </w:rPr>
                    <w:t>0.38</w:t>
                  </w:r>
                </w:p>
              </w:tc>
              <w:tc>
                <w:tcPr>
                  <w:tcW w:w="645" w:type="pct"/>
                  <w:tcBorders>
                    <w:tl2br w:val="nil"/>
                    <w:tr2bl w:val="nil"/>
                  </w:tcBorders>
                  <w:noWrap w:val="0"/>
                  <w:vAlign w:val="center"/>
                </w:tcPr>
                <w:p w14:paraId="007E61CD">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cs="Times New Roman"/>
                      <w:b w:val="0"/>
                      <w:bCs w:val="0"/>
                      <w:color w:val="000000"/>
                      <w:kern w:val="2"/>
                      <w:sz w:val="21"/>
                      <w:szCs w:val="21"/>
                      <w:lang w:val="en-US" w:eastAsia="zh-CN" w:bidi="ar-SA"/>
                    </w:rPr>
                    <w:t>0.35</w:t>
                  </w:r>
                </w:p>
              </w:tc>
            </w:tr>
            <w:tr w14:paraId="04C8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12" w:type="pct"/>
                  <w:vMerge w:val="continue"/>
                  <w:tcBorders>
                    <w:tl2br w:val="nil"/>
                    <w:tr2bl w:val="nil"/>
                  </w:tcBorders>
                  <w:noWrap w:val="0"/>
                  <w:vAlign w:val="center"/>
                </w:tcPr>
                <w:p w14:paraId="34D2F3A8">
                  <w:pPr>
                    <w:pStyle w:val="22"/>
                    <w:keepNext w:val="0"/>
                    <w:keepLines w:val="0"/>
                    <w:pageBreakBefore w:val="0"/>
                    <w:kinsoku/>
                    <w:wordWrap/>
                    <w:overflowPunct/>
                    <w:topLinePunct w:val="0"/>
                    <w:bidi w:val="0"/>
                    <w:adjustRightInd/>
                    <w:snapToGrid/>
                    <w:spacing w:line="240" w:lineRule="auto"/>
                    <w:ind w:left="0" w:leftChars="0" w:firstLine="0" w:firstLineChars="0"/>
                    <w:jc w:val="both"/>
                    <w:textAlignment w:val="auto"/>
                    <w:rPr>
                      <w:rFonts w:hint="eastAsia" w:ascii="宋体" w:hAnsi="宋体" w:eastAsia="宋体" w:cs="宋体"/>
                      <w:kern w:val="0"/>
                      <w:sz w:val="21"/>
                      <w:szCs w:val="21"/>
                      <w:lang w:val="en-US" w:eastAsia="zh-CN" w:bidi="ar-SA"/>
                    </w:rPr>
                  </w:pPr>
                </w:p>
              </w:tc>
              <w:tc>
                <w:tcPr>
                  <w:tcW w:w="639" w:type="pct"/>
                  <w:tcBorders>
                    <w:tl2br w:val="nil"/>
                    <w:tr2bl w:val="nil"/>
                  </w:tcBorders>
                  <w:noWrap w:val="0"/>
                  <w:vAlign w:val="center"/>
                </w:tcPr>
                <w:p w14:paraId="74A06C1C">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r>
                    <w:rPr>
                      <w:rFonts w:hint="eastAsia" w:cs="Times New Roman"/>
                      <w:color w:val="000000"/>
                      <w:kern w:val="2"/>
                      <w:sz w:val="21"/>
                      <w:szCs w:val="21"/>
                      <w:lang w:val="en-US" w:eastAsia="zh-CN" w:bidi="ar-SA"/>
                    </w:rPr>
                    <w:t>58</w:t>
                  </w:r>
                </w:p>
              </w:tc>
              <w:tc>
                <w:tcPr>
                  <w:tcW w:w="639" w:type="pct"/>
                  <w:tcBorders>
                    <w:tl2br w:val="nil"/>
                    <w:tr2bl w:val="nil"/>
                  </w:tcBorders>
                  <w:noWrap w:val="0"/>
                  <w:vAlign w:val="center"/>
                </w:tcPr>
                <w:p w14:paraId="30E7B75B">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r>
                    <w:rPr>
                      <w:rFonts w:hint="eastAsia" w:cs="Times New Roman"/>
                      <w:color w:val="000000"/>
                      <w:kern w:val="2"/>
                      <w:sz w:val="21"/>
                      <w:szCs w:val="21"/>
                      <w:lang w:val="en-US" w:eastAsia="zh-CN" w:bidi="ar-SA"/>
                    </w:rPr>
                    <w:t>48</w:t>
                  </w:r>
                </w:p>
              </w:tc>
              <w:tc>
                <w:tcPr>
                  <w:tcW w:w="640" w:type="pct"/>
                  <w:tcBorders>
                    <w:tl2br w:val="nil"/>
                    <w:tr2bl w:val="nil"/>
                  </w:tcBorders>
                  <w:noWrap w:val="0"/>
                  <w:vAlign w:val="center"/>
                </w:tcPr>
                <w:p w14:paraId="371E6A48">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0.49</w:t>
                  </w:r>
                </w:p>
              </w:tc>
              <w:tc>
                <w:tcPr>
                  <w:tcW w:w="640" w:type="pct"/>
                  <w:tcBorders>
                    <w:tl2br w:val="nil"/>
                    <w:tr2bl w:val="nil"/>
                  </w:tcBorders>
                  <w:noWrap w:val="0"/>
                  <w:vAlign w:val="center"/>
                </w:tcPr>
                <w:p w14:paraId="7E741695">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0.63</w:t>
                  </w:r>
                </w:p>
              </w:tc>
              <w:tc>
                <w:tcPr>
                  <w:tcW w:w="640" w:type="pct"/>
                  <w:tcBorders>
                    <w:tl2br w:val="nil"/>
                    <w:tr2bl w:val="nil"/>
                  </w:tcBorders>
                  <w:noWrap w:val="0"/>
                  <w:vAlign w:val="center"/>
                </w:tcPr>
                <w:p w14:paraId="7DC97119">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0.48</w:t>
                  </w:r>
                </w:p>
              </w:tc>
              <w:tc>
                <w:tcPr>
                  <w:tcW w:w="640" w:type="pct"/>
                  <w:tcBorders>
                    <w:tl2br w:val="nil"/>
                    <w:tr2bl w:val="nil"/>
                  </w:tcBorders>
                  <w:noWrap w:val="0"/>
                  <w:vAlign w:val="center"/>
                </w:tcPr>
                <w:p w14:paraId="153E4AD1">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0.26</w:t>
                  </w:r>
                </w:p>
              </w:tc>
              <w:tc>
                <w:tcPr>
                  <w:tcW w:w="645" w:type="pct"/>
                  <w:tcBorders>
                    <w:tl2br w:val="nil"/>
                    <w:tr2bl w:val="nil"/>
                  </w:tcBorders>
                  <w:noWrap w:val="0"/>
                  <w:vAlign w:val="center"/>
                </w:tcPr>
                <w:p w14:paraId="542780C9">
                  <w:pPr>
                    <w:pStyle w:val="22"/>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0.42</w:t>
                  </w:r>
                </w:p>
              </w:tc>
            </w:tr>
            <w:tr w14:paraId="7108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2" w:type="pct"/>
                  <w:tcBorders>
                    <w:tl2br w:val="nil"/>
                    <w:tr2bl w:val="nil"/>
                  </w:tcBorders>
                  <w:noWrap w:val="0"/>
                  <w:vAlign w:val="center"/>
                </w:tcPr>
                <w:p w14:paraId="3C2075C5">
                  <w:pPr>
                    <w:pStyle w:val="22"/>
                    <w:keepNext w:val="0"/>
                    <w:keepLines w:val="0"/>
                    <w:pageBreakBefore w:val="0"/>
                    <w:kinsoku/>
                    <w:wordWrap/>
                    <w:overflowPunct/>
                    <w:topLinePunct w:val="0"/>
                    <w:bidi w:val="0"/>
                    <w:adjustRightInd/>
                    <w:snapToGrid/>
                    <w:spacing w:line="240" w:lineRule="auto"/>
                    <w:ind w:left="0" w:leftChars="0" w:firstLine="0" w:firstLineChars="0"/>
                    <w:jc w:val="both"/>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二</w:t>
                  </w:r>
                  <w:r>
                    <w:rPr>
                      <w:rFonts w:hint="default" w:ascii="Times New Roman" w:hAnsi="Times New Roman" w:eastAsia="宋体" w:cs="Times New Roman"/>
                      <w:kern w:val="0"/>
                      <w:sz w:val="21"/>
                      <w:szCs w:val="21"/>
                      <w:lang w:val="en-US" w:eastAsia="zh-CN" w:bidi="ar-SA"/>
                    </w:rPr>
                    <w:t>甲苯</w:t>
                  </w:r>
                </w:p>
              </w:tc>
              <w:tc>
                <w:tcPr>
                  <w:tcW w:w="639" w:type="pct"/>
                  <w:tcBorders>
                    <w:tl2br w:val="nil"/>
                    <w:tr2bl w:val="nil"/>
                  </w:tcBorders>
                  <w:noWrap w:val="0"/>
                  <w:vAlign w:val="center"/>
                </w:tcPr>
                <w:p w14:paraId="35966A13">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39" w:type="pct"/>
                  <w:tcBorders>
                    <w:tl2br w:val="nil"/>
                    <w:tr2bl w:val="nil"/>
                  </w:tcBorders>
                  <w:noWrap w:val="0"/>
                  <w:vAlign w:val="center"/>
                </w:tcPr>
                <w:p w14:paraId="03A7933D">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40" w:type="pct"/>
                  <w:tcBorders>
                    <w:tl2br w:val="nil"/>
                    <w:tr2bl w:val="nil"/>
                  </w:tcBorders>
                  <w:noWrap w:val="0"/>
                  <w:vAlign w:val="center"/>
                </w:tcPr>
                <w:p w14:paraId="140FE9E1">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40" w:type="pct"/>
                  <w:tcBorders>
                    <w:tl2br w:val="nil"/>
                    <w:tr2bl w:val="nil"/>
                  </w:tcBorders>
                  <w:noWrap w:val="0"/>
                  <w:vAlign w:val="center"/>
                </w:tcPr>
                <w:p w14:paraId="024663BF">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40" w:type="pct"/>
                  <w:tcBorders>
                    <w:tl2br w:val="nil"/>
                    <w:tr2bl w:val="nil"/>
                  </w:tcBorders>
                  <w:noWrap w:val="0"/>
                  <w:vAlign w:val="center"/>
                </w:tcPr>
                <w:p w14:paraId="1F67EFD0">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40" w:type="pct"/>
                  <w:tcBorders>
                    <w:tl2br w:val="nil"/>
                    <w:tr2bl w:val="nil"/>
                  </w:tcBorders>
                  <w:noWrap w:val="0"/>
                  <w:vAlign w:val="center"/>
                </w:tcPr>
                <w:p w14:paraId="2005ED9F">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45" w:type="pct"/>
                  <w:tcBorders>
                    <w:tl2br w:val="nil"/>
                    <w:tr2bl w:val="nil"/>
                  </w:tcBorders>
                  <w:noWrap w:val="0"/>
                  <w:vAlign w:val="center"/>
                </w:tcPr>
                <w:p w14:paraId="5359716D">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r>
            <w:tr w14:paraId="0CA3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2" w:type="pct"/>
                  <w:tcBorders>
                    <w:tl2br w:val="nil"/>
                    <w:tr2bl w:val="nil"/>
                  </w:tcBorders>
                  <w:noWrap w:val="0"/>
                  <w:vAlign w:val="center"/>
                </w:tcPr>
                <w:p w14:paraId="4CFF47A1">
                  <w:pPr>
                    <w:pStyle w:val="22"/>
                    <w:keepNext w:val="0"/>
                    <w:keepLines w:val="0"/>
                    <w:pageBreakBefore w:val="0"/>
                    <w:kinsoku/>
                    <w:wordWrap/>
                    <w:overflowPunct/>
                    <w:topLinePunct w:val="0"/>
                    <w:bidi w:val="0"/>
                    <w:adjustRightInd/>
                    <w:snapToGrid/>
                    <w:spacing w:line="240" w:lineRule="auto"/>
                    <w:ind w:left="0" w:leftChars="0" w:firstLine="0" w:firstLineChars="0"/>
                    <w:jc w:val="both"/>
                    <w:textAlignment w:val="auto"/>
                    <w:rPr>
                      <w:rFonts w:hint="default" w:ascii="Times New Roman" w:hAnsi="Times New Roman" w:cs="Times New Roman"/>
                      <w:kern w:val="0"/>
                      <w:sz w:val="21"/>
                      <w:szCs w:val="21"/>
                      <w:lang w:val="en-US" w:eastAsia="zh-CN" w:bidi="ar-SA"/>
                    </w:rPr>
                  </w:pPr>
                  <w:r>
                    <w:rPr>
                      <w:rFonts w:hint="eastAsia" w:cs="Times New Roman"/>
                      <w:kern w:val="0"/>
                      <w:sz w:val="21"/>
                      <w:szCs w:val="21"/>
                      <w:lang w:val="en-US" w:eastAsia="zh-CN" w:bidi="ar-SA"/>
                    </w:rPr>
                    <w:t>苯乙烯</w:t>
                  </w:r>
                </w:p>
              </w:tc>
              <w:tc>
                <w:tcPr>
                  <w:tcW w:w="639" w:type="pct"/>
                  <w:tcBorders>
                    <w:tl2br w:val="nil"/>
                    <w:tr2bl w:val="nil"/>
                  </w:tcBorders>
                  <w:noWrap w:val="0"/>
                  <w:vAlign w:val="center"/>
                </w:tcPr>
                <w:p w14:paraId="086A1671">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39" w:type="pct"/>
                  <w:tcBorders>
                    <w:tl2br w:val="nil"/>
                    <w:tr2bl w:val="nil"/>
                  </w:tcBorders>
                  <w:noWrap w:val="0"/>
                  <w:vAlign w:val="center"/>
                </w:tcPr>
                <w:p w14:paraId="17D6A81C">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40" w:type="pct"/>
                  <w:tcBorders>
                    <w:tl2br w:val="nil"/>
                    <w:tr2bl w:val="nil"/>
                  </w:tcBorders>
                  <w:noWrap w:val="0"/>
                  <w:vAlign w:val="center"/>
                </w:tcPr>
                <w:p w14:paraId="1821A9FA">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40" w:type="pct"/>
                  <w:tcBorders>
                    <w:tl2br w:val="nil"/>
                    <w:tr2bl w:val="nil"/>
                  </w:tcBorders>
                  <w:noWrap w:val="0"/>
                  <w:vAlign w:val="center"/>
                </w:tcPr>
                <w:p w14:paraId="5A72EFE7">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40" w:type="pct"/>
                  <w:tcBorders>
                    <w:tl2br w:val="nil"/>
                    <w:tr2bl w:val="nil"/>
                  </w:tcBorders>
                  <w:noWrap w:val="0"/>
                  <w:vAlign w:val="center"/>
                </w:tcPr>
                <w:p w14:paraId="7A7C4608">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40" w:type="pct"/>
                  <w:tcBorders>
                    <w:tl2br w:val="nil"/>
                    <w:tr2bl w:val="nil"/>
                  </w:tcBorders>
                  <w:noWrap w:val="0"/>
                  <w:vAlign w:val="center"/>
                </w:tcPr>
                <w:p w14:paraId="0B09FCE9">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c>
                <w:tcPr>
                  <w:tcW w:w="645" w:type="pct"/>
                  <w:tcBorders>
                    <w:tl2br w:val="nil"/>
                    <w:tr2bl w:val="nil"/>
                  </w:tcBorders>
                  <w:noWrap w:val="0"/>
                  <w:vAlign w:val="center"/>
                </w:tcPr>
                <w:p w14:paraId="1E5F30FB">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未检出</w:t>
                  </w:r>
                </w:p>
              </w:tc>
            </w:tr>
          </w:tbl>
          <w:p w14:paraId="0D83E40C">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根据监测结果，项目区域TSP满足《环境空气质量标准》（GB3095-2012）的限值要求，</w:t>
            </w:r>
            <w:r>
              <w:rPr>
                <w:rFonts w:ascii="Times New Roman" w:hAnsi="Times New Roman" w:eastAsia="宋体"/>
                <w:b w:val="0"/>
                <w:color w:val="auto"/>
              </w:rPr>
              <w:t>甲苯、二甲苯、</w:t>
            </w:r>
            <w:r>
              <w:rPr>
                <w:rFonts w:ascii="Times New Roman" w:hAnsi="Times New Roman" w:eastAsia="宋体"/>
                <w:b w:val="0"/>
                <w:color w:val="000000" w:themeColor="text1"/>
                <w14:textFill>
                  <w14:solidFill>
                    <w14:schemeClr w14:val="tx1"/>
                  </w14:solidFill>
                </w14:textFill>
              </w:rPr>
              <w:t>TVOC</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非甲烷总烃</w:t>
            </w:r>
            <w:r>
              <w:rPr>
                <w:rFonts w:hint="eastAsia" w:cs="Times New Roman"/>
                <w:color w:val="auto"/>
                <w:kern w:val="2"/>
                <w:sz w:val="21"/>
                <w:szCs w:val="21"/>
                <w:highlight w:val="none"/>
                <w:lang w:val="en-US" w:eastAsia="zh-CN" w:bidi="ar-SA"/>
              </w:rPr>
              <w:t>）、苯乙烯</w:t>
            </w:r>
            <w:r>
              <w:rPr>
                <w:rFonts w:ascii="Times New Roman" w:hAnsi="Times New Roman" w:eastAsia="宋体"/>
                <w:b w:val="0"/>
                <w:color w:val="auto"/>
              </w:rPr>
              <w:t>监测值均满足《环境影响评价技术导则—大气环境》（HJ2.2-2018）附录D中表D.1</w:t>
            </w:r>
            <w:r>
              <w:rPr>
                <w:rFonts w:ascii="宋体" w:hAnsi="宋体" w:eastAsia="宋体"/>
                <w:b w:val="0"/>
                <w:color w:val="auto"/>
              </w:rPr>
              <w:t>“其他污染空气质量浓度参考限值”</w:t>
            </w:r>
            <w:r>
              <w:rPr>
                <w:rFonts w:ascii="Times New Roman" w:hAnsi="Times New Roman" w:eastAsia="宋体"/>
                <w:b w:val="0"/>
                <w:color w:val="auto"/>
              </w:rPr>
              <w:t>相应要求</w:t>
            </w:r>
            <w:r>
              <w:rPr>
                <w:rFonts w:hint="eastAsia" w:ascii="Times New Roman" w:hAnsi="Times New Roman" w:eastAsia="宋体"/>
                <w:b w:val="0"/>
                <w:color w:val="auto"/>
                <w:lang w:eastAsia="zh-CN"/>
              </w:rPr>
              <w:t>。</w:t>
            </w:r>
            <w:r>
              <w:rPr>
                <w:rFonts w:hint="default" w:ascii="Times New Roman" w:hAnsi="Times New Roman" w:eastAsia="宋体" w:cs="Times New Roman"/>
                <w:color w:val="auto"/>
                <w:kern w:val="2"/>
                <w:sz w:val="21"/>
                <w:szCs w:val="21"/>
                <w:highlight w:val="none"/>
                <w:lang w:val="en-US" w:eastAsia="zh-CN" w:bidi="ar-SA"/>
              </w:rPr>
              <w:t>因此项目区域大气环境质量良好。</w:t>
            </w:r>
            <w:r>
              <w:rPr>
                <w:rFonts w:hint="eastAsia" w:ascii="Times New Roman" w:hAnsi="Times New Roman" w:eastAsia="宋体" w:cs="Times New Roman"/>
                <w:color w:val="auto"/>
                <w:kern w:val="2"/>
                <w:sz w:val="21"/>
                <w:szCs w:val="21"/>
                <w:highlight w:val="none"/>
                <w:lang w:val="en-US" w:eastAsia="zh-CN" w:bidi="ar-SA"/>
              </w:rPr>
              <w:t>非甲烷总烃无环境质量标准，不予评价。</w:t>
            </w:r>
          </w:p>
          <w:p w14:paraId="69D987F3">
            <w:pPr>
              <w:widowControl w:val="0"/>
              <w:adjustRightInd w:val="0"/>
              <w:snapToGrid w:val="0"/>
              <w:spacing w:line="42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二、地表水环境</w:t>
            </w:r>
          </w:p>
          <w:p w14:paraId="7C910886">
            <w:pPr>
              <w:widowControl w:val="0"/>
              <w:bidi w:val="0"/>
              <w:adjustRightInd w:val="0"/>
              <w:snapToGrid w:val="0"/>
              <w:spacing w:line="360" w:lineRule="auto"/>
              <w:ind w:firstLine="42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本项目处于蓬溪县上游工业园，项目附近地表水体为芝溪河。</w:t>
            </w:r>
          </w:p>
          <w:p w14:paraId="0FD97B6B">
            <w:pPr>
              <w:widowControl w:val="0"/>
              <w:adjustRightInd w:val="0"/>
              <w:snapToGrid w:val="0"/>
              <w:spacing w:line="360" w:lineRule="auto"/>
              <w:ind w:firstLine="42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次环境地表水质量现状评价引用遂宁市污染防治攻坚战领导小组办公室2024年1月15日发布的关于2023年12月全市地表水和环境空气质量排名的通报（遂污防攻坚办〔2024〕4号）中公布的数据。根据“2023年1—12月全市地表水水质指数累计排名表”，芝溪河水质评价详情如下：</w:t>
            </w:r>
          </w:p>
          <w:p w14:paraId="2EBFD0A1">
            <w:pPr>
              <w:widowControl w:val="0"/>
              <w:spacing w:line="240" w:lineRule="auto"/>
              <w:ind w:firstLine="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表3-3  2023年芝溪河水质指数</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45"/>
              <w:gridCol w:w="699"/>
              <w:gridCol w:w="1247"/>
              <w:gridCol w:w="695"/>
              <w:gridCol w:w="479"/>
              <w:gridCol w:w="612"/>
              <w:gridCol w:w="851"/>
              <w:gridCol w:w="720"/>
              <w:gridCol w:w="592"/>
              <w:gridCol w:w="487"/>
              <w:gridCol w:w="982"/>
            </w:tblGrid>
            <w:tr w14:paraId="0F21AD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69" w:type="pct"/>
                  <w:tcBorders>
                    <w:tl2br w:val="nil"/>
                    <w:tr2bl w:val="nil"/>
                  </w:tcBorders>
                  <w:noWrap/>
                  <w:vAlign w:val="center"/>
                </w:tcPr>
                <w:p w14:paraId="1298654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default" w:ascii="Times New Roman" w:hAnsi="Times New Roman" w:eastAsia="宋体" w:cs="Times New Roman"/>
                      <w:b/>
                      <w:bCs/>
                      <w:i w:val="0"/>
                      <w:iCs w:val="0"/>
                      <w:color w:val="auto"/>
                      <w:kern w:val="0"/>
                      <w:sz w:val="21"/>
                      <w:szCs w:val="21"/>
                      <w:u w:val="none"/>
                      <w:lang w:val="en-US" w:eastAsia="zh-CN" w:bidi="ar"/>
                    </w:rPr>
                    <w:t>断面所在辖区</w:t>
                  </w:r>
                </w:p>
              </w:tc>
              <w:tc>
                <w:tcPr>
                  <w:tcW w:w="421" w:type="pct"/>
                  <w:tcBorders>
                    <w:tl2br w:val="nil"/>
                    <w:tr2bl w:val="nil"/>
                  </w:tcBorders>
                  <w:noWrap/>
                  <w:vAlign w:val="center"/>
                </w:tcPr>
                <w:p w14:paraId="3F471E8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断面名称</w:t>
                  </w:r>
                </w:p>
              </w:tc>
              <w:tc>
                <w:tcPr>
                  <w:tcW w:w="751" w:type="pct"/>
                  <w:tcBorders>
                    <w:tl2br w:val="nil"/>
                    <w:tr2bl w:val="nil"/>
                  </w:tcBorders>
                  <w:noWrap/>
                  <w:vAlign w:val="center"/>
                </w:tcPr>
                <w:p w14:paraId="5EB07C1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断面级别</w:t>
                  </w:r>
                </w:p>
              </w:tc>
              <w:tc>
                <w:tcPr>
                  <w:tcW w:w="418" w:type="pct"/>
                  <w:tcBorders>
                    <w:tl2br w:val="nil"/>
                    <w:tr2bl w:val="nil"/>
                  </w:tcBorders>
                  <w:noWrap/>
                  <w:vAlign w:val="center"/>
                </w:tcPr>
                <w:p w14:paraId="39009E2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eastAsia" w:cs="Times New Roman"/>
                      <w:b/>
                      <w:bCs/>
                      <w:i w:val="0"/>
                      <w:iCs w:val="0"/>
                      <w:color w:val="auto"/>
                      <w:kern w:val="0"/>
                      <w:sz w:val="21"/>
                      <w:szCs w:val="21"/>
                      <w:u w:val="none"/>
                      <w:lang w:val="en-US" w:eastAsia="zh-CN" w:bidi="ar"/>
                    </w:rPr>
                    <w:t>水质</w:t>
                  </w:r>
                  <w:r>
                    <w:rPr>
                      <w:rFonts w:hint="default" w:ascii="Times New Roman" w:hAnsi="Times New Roman" w:eastAsia="宋体" w:cs="Times New Roman"/>
                      <w:b/>
                      <w:bCs/>
                      <w:i w:val="0"/>
                      <w:iCs w:val="0"/>
                      <w:color w:val="auto"/>
                      <w:kern w:val="0"/>
                      <w:sz w:val="21"/>
                      <w:szCs w:val="21"/>
                      <w:u w:val="none"/>
                      <w:lang w:val="en-US" w:eastAsia="zh-CN" w:bidi="ar"/>
                    </w:rPr>
                    <w:t>级别</w:t>
                  </w:r>
                </w:p>
              </w:tc>
              <w:tc>
                <w:tcPr>
                  <w:tcW w:w="288" w:type="pct"/>
                  <w:tcBorders>
                    <w:tl2br w:val="nil"/>
                    <w:tr2bl w:val="nil"/>
                  </w:tcBorders>
                  <w:noWrap/>
                  <w:vAlign w:val="center"/>
                </w:tcPr>
                <w:p w14:paraId="69A8B11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ph</w:t>
                  </w:r>
                </w:p>
              </w:tc>
              <w:tc>
                <w:tcPr>
                  <w:tcW w:w="368" w:type="pct"/>
                  <w:tcBorders>
                    <w:tl2br w:val="nil"/>
                    <w:tr2bl w:val="nil"/>
                  </w:tcBorders>
                  <w:noWrap/>
                  <w:vAlign w:val="center"/>
                </w:tcPr>
                <w:p w14:paraId="658CC04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溶解氧</w:t>
                  </w:r>
                </w:p>
              </w:tc>
              <w:tc>
                <w:tcPr>
                  <w:tcW w:w="512" w:type="pct"/>
                  <w:tcBorders>
                    <w:tl2br w:val="nil"/>
                    <w:tr2bl w:val="nil"/>
                  </w:tcBorders>
                  <w:noWrap/>
                  <w:vAlign w:val="center"/>
                </w:tcPr>
                <w:p w14:paraId="6C9B527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default" w:ascii="Times New Roman" w:hAnsi="Times New Roman" w:eastAsia="宋体" w:cs="Times New Roman"/>
                      <w:b/>
                      <w:bCs/>
                      <w:i w:val="0"/>
                      <w:iCs w:val="0"/>
                      <w:color w:val="auto"/>
                      <w:kern w:val="0"/>
                      <w:sz w:val="21"/>
                      <w:szCs w:val="21"/>
                      <w:u w:val="none"/>
                      <w:lang w:val="en-US" w:eastAsia="zh-CN" w:bidi="ar"/>
                    </w:rPr>
                    <w:t>高锰酸盐指数</w:t>
                  </w:r>
                </w:p>
              </w:tc>
              <w:tc>
                <w:tcPr>
                  <w:tcW w:w="433" w:type="pct"/>
                  <w:tcBorders>
                    <w:tl2br w:val="nil"/>
                    <w:tr2bl w:val="nil"/>
                  </w:tcBorders>
                  <w:noWrap/>
                  <w:vAlign w:val="center"/>
                </w:tcPr>
                <w:p w14:paraId="514F9BE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化学需氧量</w:t>
                  </w:r>
                </w:p>
              </w:tc>
              <w:tc>
                <w:tcPr>
                  <w:tcW w:w="356" w:type="pct"/>
                  <w:tcBorders>
                    <w:tl2br w:val="nil"/>
                    <w:tr2bl w:val="nil"/>
                  </w:tcBorders>
                  <w:noWrap/>
                  <w:vAlign w:val="center"/>
                </w:tcPr>
                <w:p w14:paraId="4A313F4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293" w:type="pct"/>
                  <w:tcBorders>
                    <w:tl2br w:val="nil"/>
                    <w:tr2bl w:val="nil"/>
                  </w:tcBorders>
                  <w:noWrap/>
                  <w:vAlign w:val="center"/>
                </w:tcPr>
                <w:p w14:paraId="51813F3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总磷</w:t>
                  </w:r>
                </w:p>
              </w:tc>
              <w:tc>
                <w:tcPr>
                  <w:tcW w:w="585" w:type="pct"/>
                  <w:tcBorders>
                    <w:tl2br w:val="nil"/>
                    <w:tr2bl w:val="nil"/>
                  </w:tcBorders>
                  <w:noWrap/>
                  <w:vAlign w:val="center"/>
                </w:tcPr>
                <w:p w14:paraId="7A1CB24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断面水质指数</w:t>
                  </w:r>
                </w:p>
              </w:tc>
            </w:tr>
            <w:tr w14:paraId="1F71D6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69" w:type="pct"/>
                  <w:tcBorders>
                    <w:tl2br w:val="nil"/>
                    <w:tr2bl w:val="nil"/>
                  </w:tcBorders>
                  <w:noWrap/>
                  <w:vAlign w:val="center"/>
                </w:tcPr>
                <w:p w14:paraId="5C5D12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蓬溪县</w:t>
                  </w:r>
                </w:p>
              </w:tc>
              <w:tc>
                <w:tcPr>
                  <w:tcW w:w="421" w:type="pct"/>
                  <w:tcBorders>
                    <w:tl2br w:val="nil"/>
                    <w:tr2bl w:val="nil"/>
                  </w:tcBorders>
                  <w:noWrap/>
                  <w:vAlign w:val="center"/>
                </w:tcPr>
                <w:p w14:paraId="6092EF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涪江坝</w:t>
                  </w:r>
                </w:p>
              </w:tc>
              <w:tc>
                <w:tcPr>
                  <w:tcW w:w="751" w:type="pct"/>
                  <w:tcBorders>
                    <w:tl2br w:val="nil"/>
                    <w:tr2bl w:val="nil"/>
                  </w:tcBorders>
                  <w:noWrap/>
                  <w:vAlign w:val="center"/>
                </w:tcPr>
                <w:p w14:paraId="2F03C5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省控（长江经济带）</w:t>
                  </w:r>
                </w:p>
              </w:tc>
              <w:tc>
                <w:tcPr>
                  <w:tcW w:w="418" w:type="pct"/>
                  <w:tcBorders>
                    <w:tl2br w:val="nil"/>
                    <w:tr2bl w:val="nil"/>
                  </w:tcBorders>
                  <w:noWrap/>
                  <w:vAlign w:val="center"/>
                </w:tcPr>
                <w:p w14:paraId="66C4D9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fldChar w:fldCharType="begin"/>
                  </w:r>
                  <w:r>
                    <w:rPr>
                      <w:rFonts w:hint="default" w:ascii="Times New Roman" w:hAnsi="Times New Roman" w:eastAsia="宋体" w:cs="Times New Roman"/>
                      <w:i w:val="0"/>
                      <w:iCs w:val="0"/>
                      <w:color w:val="auto"/>
                      <w:kern w:val="0"/>
                      <w:sz w:val="21"/>
                      <w:szCs w:val="21"/>
                      <w:u w:val="none"/>
                      <w:lang w:val="en-US" w:eastAsia="zh-CN" w:bidi="ar"/>
                    </w:rPr>
                    <w:instrText xml:space="preserve"> = 3 \* ROMAN \* MERGEFORMAT </w:instrText>
                  </w:r>
                  <w:r>
                    <w:rPr>
                      <w:rFonts w:hint="default" w:ascii="Times New Roman" w:hAnsi="Times New Roman" w:eastAsia="宋体" w:cs="Times New Roman"/>
                      <w:i w:val="0"/>
                      <w:iCs w:val="0"/>
                      <w:color w:val="auto"/>
                      <w:kern w:val="0"/>
                      <w:sz w:val="21"/>
                      <w:szCs w:val="21"/>
                      <w:u w:val="none"/>
                      <w:lang w:val="en-US" w:eastAsia="zh-CN" w:bidi="ar"/>
                    </w:rPr>
                    <w:fldChar w:fldCharType="separate"/>
                  </w:r>
                  <w:r>
                    <w:rPr>
                      <w:rFonts w:hint="default" w:ascii="Times New Roman" w:hAnsi="Times New Roman" w:eastAsia="宋体" w:cs="Times New Roman"/>
                      <w:sz w:val="21"/>
                      <w:szCs w:val="21"/>
                    </w:rPr>
                    <w:t>III</w:t>
                  </w:r>
                  <w:r>
                    <w:rPr>
                      <w:rFonts w:hint="default" w:ascii="Times New Roman" w:hAnsi="Times New Roman" w:eastAsia="宋体" w:cs="Times New Roman"/>
                      <w:i w:val="0"/>
                      <w:iCs w:val="0"/>
                      <w:color w:val="auto"/>
                      <w:kern w:val="0"/>
                      <w:sz w:val="21"/>
                      <w:szCs w:val="21"/>
                      <w:u w:val="none"/>
                      <w:lang w:val="en-US" w:eastAsia="zh-CN" w:bidi="ar"/>
                    </w:rPr>
                    <w:fldChar w:fldCharType="end"/>
                  </w:r>
                </w:p>
              </w:tc>
              <w:tc>
                <w:tcPr>
                  <w:tcW w:w="288" w:type="pct"/>
                  <w:tcBorders>
                    <w:tl2br w:val="nil"/>
                    <w:tr2bl w:val="nil"/>
                  </w:tcBorders>
                  <w:noWrap/>
                  <w:vAlign w:val="center"/>
                </w:tcPr>
                <w:p w14:paraId="2D3FFD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82</w:t>
                  </w:r>
                </w:p>
              </w:tc>
              <w:tc>
                <w:tcPr>
                  <w:tcW w:w="368" w:type="pct"/>
                  <w:tcBorders>
                    <w:tl2br w:val="nil"/>
                    <w:tr2bl w:val="nil"/>
                  </w:tcBorders>
                  <w:noWrap/>
                  <w:vAlign w:val="center"/>
                </w:tcPr>
                <w:p w14:paraId="03A37A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8.23</w:t>
                  </w:r>
                </w:p>
              </w:tc>
              <w:tc>
                <w:tcPr>
                  <w:tcW w:w="512" w:type="pct"/>
                  <w:tcBorders>
                    <w:tl2br w:val="nil"/>
                    <w:tr2bl w:val="nil"/>
                  </w:tcBorders>
                  <w:noWrap/>
                  <w:vAlign w:val="center"/>
                </w:tcPr>
                <w:p w14:paraId="715451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33" w:type="pct"/>
                  <w:tcBorders>
                    <w:tl2br w:val="nil"/>
                    <w:tr2bl w:val="nil"/>
                  </w:tcBorders>
                  <w:noWrap/>
                  <w:vAlign w:val="center"/>
                </w:tcPr>
                <w:p w14:paraId="1F52BE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356" w:type="pct"/>
                  <w:tcBorders>
                    <w:tl2br w:val="nil"/>
                    <w:tr2bl w:val="nil"/>
                  </w:tcBorders>
                  <w:noWrap/>
                  <w:vAlign w:val="center"/>
                </w:tcPr>
                <w:p w14:paraId="2FD96A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0.163</w:t>
                  </w:r>
                </w:p>
              </w:tc>
              <w:tc>
                <w:tcPr>
                  <w:tcW w:w="293" w:type="pct"/>
                  <w:tcBorders>
                    <w:tl2br w:val="nil"/>
                    <w:tr2bl w:val="nil"/>
                  </w:tcBorders>
                  <w:noWrap/>
                  <w:vAlign w:val="center"/>
                </w:tcPr>
                <w:p w14:paraId="037077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0.132</w:t>
                  </w:r>
                </w:p>
              </w:tc>
              <w:tc>
                <w:tcPr>
                  <w:tcW w:w="585" w:type="pct"/>
                  <w:tcBorders>
                    <w:tl2br w:val="nil"/>
                    <w:tr2bl w:val="nil"/>
                  </w:tcBorders>
                  <w:noWrap/>
                  <w:vAlign w:val="center"/>
                </w:tcPr>
                <w:p w14:paraId="609C9F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3.6968</w:t>
                  </w:r>
                </w:p>
              </w:tc>
            </w:tr>
            <w:tr w14:paraId="1077EA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7" w:hRule="atLeast"/>
                <w:jc w:val="center"/>
              </w:trPr>
              <w:tc>
                <w:tcPr>
                  <w:tcW w:w="5000" w:type="pct"/>
                  <w:gridSpan w:val="11"/>
                  <w:tcBorders>
                    <w:tl2br w:val="nil"/>
                    <w:tr2bl w:val="nil"/>
                  </w:tcBorders>
                  <w:noWrap/>
                  <w:vAlign w:val="center"/>
                </w:tcPr>
                <w:p w14:paraId="5B5CD6A2">
                  <w:pPr>
                    <w:keepNext w:val="0"/>
                    <w:keepLines w:val="0"/>
                    <w:widowControl/>
                    <w:suppressLineNumbers w:val="0"/>
                    <w:jc w:val="left"/>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注：本</w:t>
                  </w:r>
                  <w:r>
                    <w:rPr>
                      <w:rFonts w:hint="default" w:ascii="Times New Roman" w:hAnsi="Times New Roman" w:cs="Times New Roman"/>
                      <w:sz w:val="21"/>
                      <w:szCs w:val="21"/>
                    </w:rPr>
                    <w:t>项目区域地表水芝溪河于吉祥镇与双江河汇流，最终汇入涪江</w:t>
                  </w:r>
                  <w:r>
                    <w:rPr>
                      <w:rFonts w:hint="eastAsia" w:ascii="Times New Roman" w:hAnsi="Times New Roman" w:cs="Times New Roman"/>
                      <w:sz w:val="21"/>
                      <w:szCs w:val="21"/>
                      <w:lang w:eastAsia="zh-CN"/>
                    </w:rPr>
                    <w:t>。</w:t>
                  </w:r>
                </w:p>
              </w:tc>
            </w:tr>
          </w:tbl>
          <w:p w14:paraId="68D273A4">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综上，本项目附近地表水域（</w:t>
            </w:r>
            <w:r>
              <w:rPr>
                <w:rFonts w:hint="eastAsia" w:ascii="Times New Roman" w:hAnsi="Times New Roman" w:eastAsia="宋体" w:cs="Times New Roman"/>
                <w:color w:val="auto"/>
                <w:kern w:val="2"/>
                <w:sz w:val="21"/>
                <w:szCs w:val="21"/>
                <w:lang w:val="en-US" w:eastAsia="zh-CN" w:bidi="ar-SA"/>
              </w:rPr>
              <w:t>芝溪河</w:t>
            </w:r>
            <w:r>
              <w:rPr>
                <w:rFonts w:hint="eastAsia" w:ascii="宋体" w:hAnsi="宋体" w:eastAsia="宋体" w:cs="宋体"/>
                <w:color w:val="auto"/>
                <w:kern w:val="2"/>
                <w:sz w:val="21"/>
                <w:szCs w:val="21"/>
                <w:lang w:val="en-US" w:eastAsia="zh-CN" w:bidi="ar-SA"/>
              </w:rPr>
              <w:t>）水质情况良好，</w:t>
            </w:r>
            <w:r>
              <w:rPr>
                <w:rFonts w:hint="default" w:ascii="Times New Roman" w:hAnsi="Times New Roman" w:eastAsia="宋体" w:cs="Times New Roman"/>
                <w:color w:val="auto"/>
                <w:kern w:val="2"/>
                <w:sz w:val="21"/>
                <w:szCs w:val="21"/>
                <w:lang w:val="en-US" w:eastAsia="zh-CN" w:bidi="ar-SA"/>
              </w:rPr>
              <w:t>满足《地表水环境质量标准》（GB3838-2002）III类水质要求。</w:t>
            </w:r>
            <w:r>
              <w:rPr>
                <w:rFonts w:hint="eastAsia" w:ascii="Times New Roman" w:hAnsi="Times New Roman" w:eastAsia="宋体" w:cs="Times New Roman"/>
                <w:color w:val="auto"/>
                <w:kern w:val="2"/>
                <w:sz w:val="21"/>
                <w:szCs w:val="21"/>
                <w:lang w:val="en-US" w:eastAsia="zh-CN" w:bidi="ar-SA"/>
              </w:rPr>
              <w:t>本项目生产废水和生活污水经厂区总排放口排入市政污水管网送蓬溪经开区污水处理厂处理，项目的运营不会加重区域水环境污染。</w:t>
            </w:r>
          </w:p>
          <w:p w14:paraId="77775779">
            <w:pPr>
              <w:widowControl w:val="0"/>
              <w:spacing w:line="360" w:lineRule="auto"/>
              <w:ind w:left="0" w:firstLine="0" w:firstLineChars="0"/>
              <w:jc w:val="both"/>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三、声环境质量现状监测与评价</w:t>
            </w:r>
          </w:p>
          <w:p w14:paraId="3B7B4E15">
            <w:pPr>
              <w:widowControl w:val="0"/>
              <w:bidi w:val="0"/>
              <w:adjustRightInd w:val="0"/>
              <w:snapToGrid w:val="0"/>
              <w:spacing w:line="360" w:lineRule="auto"/>
              <w:ind w:firstLine="42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w:t>
            </w:r>
            <w:r>
              <w:rPr>
                <w:rFonts w:hint="eastAsia" w:cs="Times New Roman"/>
                <w:color w:val="auto"/>
                <w:kern w:val="2"/>
                <w:sz w:val="21"/>
                <w:szCs w:val="21"/>
                <w:lang w:val="en-US" w:eastAsia="zh-CN" w:bidi="ar-SA"/>
              </w:rPr>
              <w:t>仅项目西南侧56m处为居民敏感点（</w:t>
            </w:r>
            <w:r>
              <w:rPr>
                <w:rFonts w:hint="eastAsia"/>
                <w:color w:val="auto"/>
                <w:sz w:val="21"/>
                <w:szCs w:val="21"/>
                <w:lang w:val="en-US" w:eastAsia="zh-CN"/>
              </w:rPr>
              <w:t>西华安置小区</w:t>
            </w:r>
            <w:r>
              <w:rPr>
                <w:rFonts w:hint="eastAsia" w:cs="Times New Roman"/>
                <w:color w:val="auto"/>
                <w:kern w:val="2"/>
                <w:sz w:val="21"/>
                <w:szCs w:val="21"/>
                <w:lang w:val="en-US" w:eastAsia="zh-CN" w:bidi="ar-SA"/>
              </w:rPr>
              <w:t>）</w:t>
            </w:r>
            <w:r>
              <w:rPr>
                <w:rFonts w:hint="eastAsia"/>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周边</w:t>
            </w:r>
            <w:r>
              <w:rPr>
                <w:rFonts w:hint="eastAsia"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0m范围内均为工业企业</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为了解本项目所在区域声环境质量现状,本次环评委托四川</w:t>
            </w:r>
            <w:r>
              <w:rPr>
                <w:rFonts w:hint="eastAsia" w:cs="Times New Roman"/>
                <w:color w:val="auto"/>
                <w:kern w:val="2"/>
                <w:sz w:val="21"/>
                <w:szCs w:val="21"/>
                <w:lang w:val="en-US" w:eastAsia="zh-CN" w:bidi="ar-SA"/>
              </w:rPr>
              <w:t>省允诺信</w:t>
            </w:r>
            <w:r>
              <w:rPr>
                <w:rFonts w:hint="default" w:ascii="Times New Roman" w:hAnsi="Times New Roman" w:eastAsia="宋体" w:cs="Times New Roman"/>
                <w:color w:val="auto"/>
                <w:kern w:val="2"/>
                <w:sz w:val="21"/>
                <w:szCs w:val="21"/>
                <w:lang w:val="en-US" w:eastAsia="zh-CN" w:bidi="ar-SA"/>
              </w:rPr>
              <w:t>检测技术有限公司于20</w:t>
            </w:r>
            <w:r>
              <w:rPr>
                <w:rFonts w:hint="eastAsia" w:cs="Times New Roman"/>
                <w:color w:val="auto"/>
                <w:kern w:val="2"/>
                <w:sz w:val="21"/>
                <w:szCs w:val="21"/>
                <w:lang w:val="en-US" w:eastAsia="zh-CN" w:bidi="ar-SA"/>
              </w:rPr>
              <w:t>24</w:t>
            </w:r>
            <w:r>
              <w:rPr>
                <w:rFonts w:hint="default" w:ascii="Times New Roman" w:hAnsi="Times New Roman" w:eastAsia="宋体" w:cs="Times New Roman"/>
                <w:color w:val="auto"/>
                <w:kern w:val="2"/>
                <w:sz w:val="21"/>
                <w:szCs w:val="21"/>
                <w:lang w:val="en-US" w:eastAsia="zh-CN" w:bidi="ar-SA"/>
              </w:rPr>
              <w:t>年</w:t>
            </w:r>
            <w:r>
              <w:rPr>
                <w:rFonts w:hint="eastAsia"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月</w:t>
            </w:r>
            <w:r>
              <w:rPr>
                <w:rFonts w:hint="eastAsia"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日对本项目厂界环境噪声进行了监测。</w:t>
            </w:r>
          </w:p>
          <w:p w14:paraId="7B92A84B">
            <w:pPr>
              <w:bidi w:val="0"/>
              <w:spacing w:line="360" w:lineRule="auto"/>
              <w:ind w:firstLine="422" w:firstLineChars="200"/>
              <w:rPr>
                <w:rFonts w:hint="default"/>
                <w:b/>
                <w:bCs/>
                <w:lang w:val="en-US" w:eastAsia="zh-CN"/>
              </w:rPr>
            </w:pPr>
            <w:r>
              <w:rPr>
                <w:rFonts w:hint="eastAsia"/>
                <w:b/>
                <w:bCs/>
                <w:lang w:val="en-US" w:eastAsia="zh-CN"/>
              </w:rPr>
              <w:t>1、</w:t>
            </w:r>
            <w:r>
              <w:rPr>
                <w:rFonts w:hint="default"/>
                <w:b/>
                <w:bCs/>
                <w:lang w:val="en-US" w:eastAsia="zh-CN"/>
              </w:rPr>
              <w:t>监测点位</w:t>
            </w:r>
          </w:p>
          <w:p w14:paraId="0D5498F3">
            <w:pPr>
              <w:bidi w:val="0"/>
              <w:spacing w:line="360" w:lineRule="auto"/>
              <w:ind w:firstLine="420" w:firstLineChars="200"/>
              <w:rPr>
                <w:rFonts w:hint="default"/>
                <w:lang w:val="en-US" w:eastAsia="zh-CN"/>
              </w:rPr>
            </w:pPr>
            <w:r>
              <w:rPr>
                <w:rFonts w:hint="default"/>
                <w:lang w:val="en-US" w:eastAsia="zh-CN"/>
              </w:rPr>
              <w:t>分别在</w:t>
            </w:r>
            <w:r>
              <w:rPr>
                <w:rFonts w:hint="eastAsia" w:ascii="Times New Roman" w:hAnsi="Times New Roman"/>
                <w:sz w:val="21"/>
                <w:szCs w:val="21"/>
                <w:lang w:val="en-US" w:eastAsia="zh-CN"/>
              </w:rPr>
              <w:t>四川万象壹品门业有限责任公司厂房</w:t>
            </w:r>
            <w:r>
              <w:rPr>
                <w:rFonts w:hint="default"/>
                <w:lang w:val="en-US" w:eastAsia="zh-CN"/>
              </w:rPr>
              <w:t>东、南、西、北四个方向</w:t>
            </w:r>
            <w:r>
              <w:rPr>
                <w:rFonts w:hint="eastAsia"/>
                <w:lang w:val="en-US" w:eastAsia="zh-CN"/>
              </w:rPr>
              <w:t>各</w:t>
            </w:r>
            <w:r>
              <w:rPr>
                <w:rFonts w:hint="default"/>
                <w:lang w:val="en-US" w:eastAsia="zh-CN"/>
              </w:rPr>
              <w:t>设置1个噪声监测点位</w:t>
            </w:r>
            <w:r>
              <w:rPr>
                <w:rFonts w:hint="eastAsia"/>
                <w:lang w:val="en-US" w:eastAsia="zh-CN"/>
              </w:rPr>
              <w:t>，</w:t>
            </w:r>
            <w:r>
              <w:rPr>
                <w:rFonts w:hint="eastAsia" w:ascii="Times New Roman" w:hAnsi="Times New Roman"/>
                <w:sz w:val="21"/>
                <w:szCs w:val="21"/>
                <w:lang w:val="en-US" w:eastAsia="zh-CN"/>
              </w:rPr>
              <w:t>在西华安置小区布设1个</w:t>
            </w:r>
            <w:r>
              <w:rPr>
                <w:rFonts w:hint="default"/>
                <w:lang w:val="en-US" w:eastAsia="zh-CN"/>
              </w:rPr>
              <w:t>噪声监测点位。</w:t>
            </w:r>
          </w:p>
          <w:p w14:paraId="642FAA12">
            <w:pPr>
              <w:bidi w:val="0"/>
              <w:spacing w:line="360" w:lineRule="auto"/>
              <w:ind w:firstLine="422" w:firstLineChars="200"/>
              <w:rPr>
                <w:rFonts w:hint="default"/>
                <w:b/>
                <w:bCs/>
                <w:lang w:val="en-US" w:eastAsia="zh-CN"/>
              </w:rPr>
            </w:pPr>
            <w:r>
              <w:rPr>
                <w:rFonts w:hint="eastAsia"/>
                <w:b/>
                <w:bCs/>
                <w:lang w:val="en-US" w:eastAsia="zh-CN"/>
              </w:rPr>
              <w:t>2、</w:t>
            </w:r>
            <w:r>
              <w:rPr>
                <w:rFonts w:hint="default"/>
                <w:b/>
                <w:bCs/>
                <w:lang w:val="en-US" w:eastAsia="zh-CN"/>
              </w:rPr>
              <w:t>监测项目</w:t>
            </w:r>
          </w:p>
          <w:p w14:paraId="6CDB6315">
            <w:pPr>
              <w:bidi w:val="0"/>
              <w:spacing w:line="360" w:lineRule="auto"/>
              <w:ind w:firstLine="420" w:firstLineChars="200"/>
              <w:rPr>
                <w:rFonts w:hint="default"/>
                <w:lang w:val="en-US" w:eastAsia="zh-CN"/>
              </w:rPr>
            </w:pPr>
            <w:r>
              <w:rPr>
                <w:rFonts w:hint="default"/>
                <w:lang w:val="en-US" w:eastAsia="zh-CN"/>
              </w:rPr>
              <w:t>等效A声级。</w:t>
            </w:r>
          </w:p>
          <w:p w14:paraId="44D6ADF3">
            <w:pPr>
              <w:bidi w:val="0"/>
              <w:spacing w:line="360" w:lineRule="auto"/>
              <w:ind w:firstLine="422" w:firstLineChars="200"/>
              <w:rPr>
                <w:rFonts w:hint="default"/>
                <w:b/>
                <w:bCs/>
                <w:lang w:val="en-US" w:eastAsia="zh-CN"/>
              </w:rPr>
            </w:pPr>
            <w:r>
              <w:rPr>
                <w:rFonts w:hint="eastAsia"/>
                <w:b/>
                <w:bCs/>
                <w:lang w:val="en-US" w:eastAsia="zh-CN"/>
              </w:rPr>
              <w:t>3、</w:t>
            </w:r>
            <w:r>
              <w:rPr>
                <w:rFonts w:hint="default"/>
                <w:b/>
                <w:bCs/>
                <w:lang w:val="en-US" w:eastAsia="zh-CN"/>
              </w:rPr>
              <w:t>监测时段</w:t>
            </w:r>
          </w:p>
          <w:p w14:paraId="2B664AB7">
            <w:pPr>
              <w:bidi w:val="0"/>
              <w:spacing w:line="360" w:lineRule="auto"/>
              <w:ind w:firstLine="420" w:firstLineChars="200"/>
              <w:rPr>
                <w:rFonts w:hint="default"/>
                <w:color w:val="auto"/>
                <w:lang w:val="en-US" w:eastAsia="zh-CN"/>
              </w:rPr>
            </w:pPr>
            <w:r>
              <w:rPr>
                <w:rFonts w:hint="default"/>
                <w:color w:val="auto"/>
                <w:lang w:val="en-US" w:eastAsia="zh-CN"/>
              </w:rPr>
              <w:t>20</w:t>
            </w:r>
            <w:r>
              <w:rPr>
                <w:rFonts w:hint="eastAsia"/>
                <w:color w:val="auto"/>
                <w:lang w:val="en-US" w:eastAsia="zh-CN"/>
              </w:rPr>
              <w:t>24</w:t>
            </w:r>
            <w:r>
              <w:rPr>
                <w:rFonts w:hint="default"/>
                <w:color w:val="auto"/>
                <w:lang w:val="en-US" w:eastAsia="zh-CN"/>
              </w:rPr>
              <w:t>年</w:t>
            </w:r>
            <w:r>
              <w:rPr>
                <w:rFonts w:hint="eastAsia"/>
                <w:color w:val="auto"/>
                <w:lang w:val="en-US" w:eastAsia="zh-CN"/>
              </w:rPr>
              <w:t>8</w:t>
            </w:r>
            <w:r>
              <w:rPr>
                <w:rFonts w:hint="default"/>
                <w:color w:val="auto"/>
                <w:lang w:val="en-US" w:eastAsia="zh-CN"/>
              </w:rPr>
              <w:t>月</w:t>
            </w:r>
            <w:r>
              <w:rPr>
                <w:rFonts w:hint="eastAsia"/>
                <w:color w:val="auto"/>
                <w:lang w:val="en-US" w:eastAsia="zh-CN"/>
              </w:rPr>
              <w:t>30</w:t>
            </w:r>
            <w:r>
              <w:rPr>
                <w:rFonts w:hint="default"/>
                <w:color w:val="auto"/>
                <w:lang w:val="en-US" w:eastAsia="zh-CN"/>
              </w:rPr>
              <w:t>日，监测</w:t>
            </w:r>
            <w:r>
              <w:rPr>
                <w:rFonts w:hint="eastAsia"/>
                <w:color w:val="auto"/>
                <w:lang w:val="en-US" w:eastAsia="zh-CN"/>
              </w:rPr>
              <w:t>1</w:t>
            </w:r>
            <w:r>
              <w:rPr>
                <w:rFonts w:hint="default"/>
                <w:color w:val="auto"/>
                <w:lang w:val="en-US" w:eastAsia="zh-CN"/>
              </w:rPr>
              <w:t>天，昼间、夜间各一次。</w:t>
            </w:r>
          </w:p>
          <w:p w14:paraId="04B228E5">
            <w:pPr>
              <w:bidi w:val="0"/>
              <w:spacing w:line="360" w:lineRule="auto"/>
              <w:ind w:firstLine="422" w:firstLineChars="200"/>
              <w:rPr>
                <w:rFonts w:hint="default"/>
                <w:b/>
                <w:bCs/>
                <w:lang w:val="en-US" w:eastAsia="zh-CN"/>
              </w:rPr>
            </w:pPr>
            <w:r>
              <w:rPr>
                <w:rFonts w:hint="eastAsia"/>
                <w:b/>
                <w:bCs/>
                <w:lang w:val="en-US" w:eastAsia="zh-CN"/>
              </w:rPr>
              <w:t>4、</w:t>
            </w:r>
            <w:r>
              <w:rPr>
                <w:rFonts w:hint="default"/>
                <w:b/>
                <w:bCs/>
                <w:lang w:val="en-US" w:eastAsia="zh-CN"/>
              </w:rPr>
              <w:t>监测结果</w:t>
            </w:r>
          </w:p>
          <w:p w14:paraId="537EBC92">
            <w:pPr>
              <w:bidi w:val="0"/>
              <w:spacing w:line="360" w:lineRule="auto"/>
              <w:ind w:firstLine="420" w:firstLineChars="200"/>
              <w:rPr>
                <w:rFonts w:hint="default"/>
                <w:lang w:val="en-US" w:eastAsia="zh-CN"/>
              </w:rPr>
            </w:pPr>
            <w:r>
              <w:rPr>
                <w:rFonts w:hint="default"/>
                <w:lang w:val="en-US" w:eastAsia="zh-CN"/>
              </w:rPr>
              <w:t>本次噪声环境现状监测统计评价结果见下表。</w:t>
            </w:r>
          </w:p>
          <w:p w14:paraId="309322E0">
            <w:pPr>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表3-4项目声环境监测结果</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3680"/>
              <w:gridCol w:w="1353"/>
              <w:gridCol w:w="1384"/>
            </w:tblGrid>
            <w:tr w14:paraId="1167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14:paraId="1FA89446">
                  <w:pPr>
                    <w:bidi w:val="0"/>
                    <w:jc w:val="center"/>
                    <w:rPr>
                      <w:rFonts w:hint="default"/>
                      <w:b/>
                      <w:bCs/>
                      <w:sz w:val="21"/>
                      <w:szCs w:val="21"/>
                      <w:lang w:val="en-US" w:eastAsia="zh-CN"/>
                    </w:rPr>
                  </w:pPr>
                  <w:r>
                    <w:rPr>
                      <w:rFonts w:hint="eastAsia"/>
                      <w:b/>
                      <w:bCs/>
                      <w:sz w:val="21"/>
                      <w:szCs w:val="21"/>
                      <w:lang w:val="en-US" w:eastAsia="zh-CN"/>
                    </w:rPr>
                    <w:t>监测点编号</w:t>
                  </w:r>
                </w:p>
              </w:tc>
              <w:tc>
                <w:tcPr>
                  <w:tcW w:w="2217" w:type="pct"/>
                  <w:vAlign w:val="center"/>
                </w:tcPr>
                <w:p w14:paraId="214066A6">
                  <w:pPr>
                    <w:bidi w:val="0"/>
                    <w:jc w:val="center"/>
                    <w:rPr>
                      <w:rFonts w:hint="default"/>
                      <w:b/>
                      <w:bCs/>
                      <w:sz w:val="21"/>
                      <w:szCs w:val="21"/>
                      <w:lang w:val="en-US" w:eastAsia="zh-CN"/>
                    </w:rPr>
                  </w:pPr>
                  <w:r>
                    <w:rPr>
                      <w:rFonts w:hint="eastAsia"/>
                      <w:b/>
                      <w:bCs/>
                      <w:sz w:val="21"/>
                      <w:szCs w:val="21"/>
                      <w:lang w:val="en-US" w:eastAsia="zh-CN"/>
                    </w:rPr>
                    <w:t>监测点位</w:t>
                  </w:r>
                </w:p>
              </w:tc>
              <w:tc>
                <w:tcPr>
                  <w:tcW w:w="815" w:type="pct"/>
                  <w:vAlign w:val="center"/>
                </w:tcPr>
                <w:p w14:paraId="6F7696E6">
                  <w:pPr>
                    <w:bidi w:val="0"/>
                    <w:jc w:val="center"/>
                    <w:rPr>
                      <w:rFonts w:hint="default"/>
                      <w:b/>
                      <w:bCs/>
                      <w:sz w:val="21"/>
                      <w:szCs w:val="21"/>
                      <w:lang w:val="en-US" w:eastAsia="zh-CN"/>
                    </w:rPr>
                  </w:pPr>
                  <w:r>
                    <w:rPr>
                      <w:rFonts w:hint="eastAsia"/>
                      <w:b/>
                      <w:bCs/>
                      <w:sz w:val="21"/>
                      <w:szCs w:val="21"/>
                      <w:lang w:val="en-US" w:eastAsia="zh-CN"/>
                    </w:rPr>
                    <w:t>昼间dB（A）</w:t>
                  </w:r>
                </w:p>
              </w:tc>
              <w:tc>
                <w:tcPr>
                  <w:tcW w:w="834" w:type="pct"/>
                  <w:vAlign w:val="center"/>
                </w:tcPr>
                <w:p w14:paraId="7F7D1DFF">
                  <w:pPr>
                    <w:bidi w:val="0"/>
                    <w:jc w:val="center"/>
                    <w:rPr>
                      <w:rFonts w:hint="default"/>
                      <w:b/>
                      <w:bCs/>
                      <w:sz w:val="21"/>
                      <w:szCs w:val="21"/>
                      <w:lang w:val="en-US" w:eastAsia="zh-CN"/>
                    </w:rPr>
                  </w:pPr>
                  <w:r>
                    <w:rPr>
                      <w:rFonts w:hint="eastAsia"/>
                      <w:b/>
                      <w:bCs/>
                      <w:sz w:val="21"/>
                      <w:szCs w:val="21"/>
                      <w:lang w:val="en-US" w:eastAsia="zh-CN"/>
                    </w:rPr>
                    <w:t>夜间dB（A）</w:t>
                  </w:r>
                </w:p>
              </w:tc>
            </w:tr>
            <w:tr w14:paraId="3046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14:paraId="1E5A3B0C">
                  <w:pPr>
                    <w:tabs>
                      <w:tab w:val="center" w:pos="1368"/>
                      <w:tab w:val="right" w:pos="2616"/>
                    </w:tabs>
                    <w:bidi w:val="0"/>
                    <w:jc w:val="center"/>
                    <w:rPr>
                      <w:rFonts w:hint="default" w:ascii="Times New Roman" w:hAnsi="Times New Roman"/>
                      <w:sz w:val="21"/>
                      <w:szCs w:val="21"/>
                      <w:lang w:val="en-US" w:eastAsia="zh-CN"/>
                    </w:rPr>
                  </w:pPr>
                  <w:r>
                    <w:rPr>
                      <w:rFonts w:hint="eastAsia"/>
                      <w:sz w:val="21"/>
                      <w:szCs w:val="21"/>
                      <w:lang w:val="en-US" w:eastAsia="zh-CN"/>
                    </w:rPr>
                    <w:t>1#</w:t>
                  </w:r>
                </w:p>
              </w:tc>
              <w:tc>
                <w:tcPr>
                  <w:tcW w:w="2217" w:type="pct"/>
                  <w:vAlign w:val="center"/>
                </w:tcPr>
                <w:p w14:paraId="1AA84C6C">
                  <w:pPr>
                    <w:tabs>
                      <w:tab w:val="center" w:pos="1368"/>
                      <w:tab w:val="right" w:pos="2616"/>
                    </w:tabs>
                    <w:bidi w:val="0"/>
                    <w:jc w:val="center"/>
                    <w:rPr>
                      <w:rFonts w:hint="default"/>
                      <w:sz w:val="21"/>
                      <w:szCs w:val="21"/>
                      <w:lang w:val="en-US" w:eastAsia="zh-CN"/>
                    </w:rPr>
                  </w:pPr>
                  <w:r>
                    <w:rPr>
                      <w:rFonts w:hint="eastAsia" w:ascii="Times New Roman" w:hAnsi="Times New Roman"/>
                      <w:sz w:val="21"/>
                      <w:szCs w:val="21"/>
                      <w:lang w:val="en-US" w:eastAsia="zh-CN"/>
                    </w:rPr>
                    <w:t>四川万象壹品门业</w:t>
                  </w:r>
                  <w:r>
                    <w:rPr>
                      <w:rFonts w:hint="eastAsia"/>
                      <w:sz w:val="21"/>
                      <w:szCs w:val="21"/>
                      <w:lang w:val="en-US" w:eastAsia="zh-CN"/>
                    </w:rPr>
                    <w:tab/>
                  </w:r>
                  <w:r>
                    <w:rPr>
                      <w:rFonts w:hint="eastAsia"/>
                      <w:sz w:val="21"/>
                      <w:szCs w:val="21"/>
                      <w:lang w:val="en-US" w:eastAsia="zh-CN"/>
                    </w:rPr>
                    <w:t>厂房北侧厂界</w:t>
                  </w:r>
                </w:p>
              </w:tc>
              <w:tc>
                <w:tcPr>
                  <w:tcW w:w="815" w:type="pct"/>
                  <w:vAlign w:val="center"/>
                </w:tcPr>
                <w:p w14:paraId="606FF255">
                  <w:pPr>
                    <w:bidi w:val="0"/>
                    <w:jc w:val="center"/>
                    <w:rPr>
                      <w:rFonts w:hint="default"/>
                      <w:sz w:val="21"/>
                      <w:szCs w:val="21"/>
                      <w:lang w:val="en-US" w:eastAsia="zh-CN"/>
                    </w:rPr>
                  </w:pPr>
                  <w:r>
                    <w:rPr>
                      <w:rFonts w:hint="eastAsia"/>
                      <w:sz w:val="21"/>
                      <w:szCs w:val="21"/>
                      <w:lang w:val="en-US" w:eastAsia="zh-CN"/>
                    </w:rPr>
                    <w:t>56</w:t>
                  </w:r>
                </w:p>
              </w:tc>
              <w:tc>
                <w:tcPr>
                  <w:tcW w:w="834" w:type="pct"/>
                  <w:vAlign w:val="center"/>
                </w:tcPr>
                <w:p w14:paraId="67E0DEA0">
                  <w:pPr>
                    <w:bidi w:val="0"/>
                    <w:jc w:val="center"/>
                    <w:rPr>
                      <w:rFonts w:hint="default"/>
                      <w:sz w:val="21"/>
                      <w:szCs w:val="21"/>
                      <w:lang w:val="en-US" w:eastAsia="zh-CN"/>
                    </w:rPr>
                  </w:pPr>
                  <w:r>
                    <w:rPr>
                      <w:rFonts w:hint="eastAsia"/>
                      <w:sz w:val="21"/>
                      <w:szCs w:val="21"/>
                      <w:lang w:val="en-US" w:eastAsia="zh-CN"/>
                    </w:rPr>
                    <w:t>47</w:t>
                  </w:r>
                </w:p>
              </w:tc>
            </w:tr>
            <w:tr w14:paraId="1A5D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14:paraId="09A29AB0">
                  <w:pPr>
                    <w:bidi w:val="0"/>
                    <w:jc w:val="center"/>
                    <w:rPr>
                      <w:rFonts w:hint="default" w:ascii="Times New Roman" w:hAnsi="Times New Roman"/>
                      <w:sz w:val="21"/>
                      <w:szCs w:val="21"/>
                      <w:lang w:val="en-US" w:eastAsia="zh-CN"/>
                    </w:rPr>
                  </w:pPr>
                  <w:r>
                    <w:rPr>
                      <w:rFonts w:hint="eastAsia"/>
                      <w:sz w:val="21"/>
                      <w:szCs w:val="21"/>
                      <w:lang w:val="en-US" w:eastAsia="zh-CN"/>
                    </w:rPr>
                    <w:t>2#</w:t>
                  </w:r>
                </w:p>
              </w:tc>
              <w:tc>
                <w:tcPr>
                  <w:tcW w:w="2217" w:type="pct"/>
                  <w:vAlign w:val="center"/>
                </w:tcPr>
                <w:p w14:paraId="08C25535">
                  <w:pPr>
                    <w:bidi w:val="0"/>
                    <w:jc w:val="center"/>
                    <w:rPr>
                      <w:rFonts w:hint="default"/>
                      <w:sz w:val="21"/>
                      <w:szCs w:val="21"/>
                      <w:lang w:val="en-US" w:eastAsia="zh-CN"/>
                    </w:rPr>
                  </w:pPr>
                  <w:r>
                    <w:rPr>
                      <w:rFonts w:hint="eastAsia" w:ascii="Times New Roman" w:hAnsi="Times New Roman"/>
                      <w:sz w:val="21"/>
                      <w:szCs w:val="21"/>
                      <w:lang w:val="en-US" w:eastAsia="zh-CN"/>
                    </w:rPr>
                    <w:t>四川万象壹品门业</w:t>
                  </w:r>
                  <w:r>
                    <w:rPr>
                      <w:rFonts w:hint="eastAsia"/>
                      <w:sz w:val="21"/>
                      <w:szCs w:val="21"/>
                      <w:lang w:val="en-US" w:eastAsia="zh-CN"/>
                    </w:rPr>
                    <w:t>厂房东侧厂界</w:t>
                  </w:r>
                </w:p>
              </w:tc>
              <w:tc>
                <w:tcPr>
                  <w:tcW w:w="815" w:type="pct"/>
                  <w:vAlign w:val="center"/>
                </w:tcPr>
                <w:p w14:paraId="0C48A9EE">
                  <w:pPr>
                    <w:bidi w:val="0"/>
                    <w:jc w:val="center"/>
                    <w:rPr>
                      <w:rFonts w:hint="default"/>
                      <w:sz w:val="21"/>
                      <w:szCs w:val="21"/>
                      <w:lang w:val="en-US" w:eastAsia="zh-CN"/>
                    </w:rPr>
                  </w:pPr>
                  <w:r>
                    <w:rPr>
                      <w:rFonts w:hint="eastAsia"/>
                      <w:sz w:val="21"/>
                      <w:szCs w:val="21"/>
                      <w:lang w:val="en-US" w:eastAsia="zh-CN"/>
                    </w:rPr>
                    <w:t>58</w:t>
                  </w:r>
                </w:p>
              </w:tc>
              <w:tc>
                <w:tcPr>
                  <w:tcW w:w="834" w:type="pct"/>
                  <w:vAlign w:val="center"/>
                </w:tcPr>
                <w:p w14:paraId="75598752">
                  <w:pPr>
                    <w:bidi w:val="0"/>
                    <w:jc w:val="center"/>
                    <w:rPr>
                      <w:rFonts w:hint="default"/>
                      <w:sz w:val="21"/>
                      <w:szCs w:val="21"/>
                      <w:lang w:val="en-US" w:eastAsia="zh-CN"/>
                    </w:rPr>
                  </w:pPr>
                  <w:r>
                    <w:rPr>
                      <w:rFonts w:hint="eastAsia"/>
                      <w:sz w:val="21"/>
                      <w:szCs w:val="21"/>
                      <w:lang w:val="en-US" w:eastAsia="zh-CN"/>
                    </w:rPr>
                    <w:t>48</w:t>
                  </w:r>
                </w:p>
              </w:tc>
            </w:tr>
            <w:tr w14:paraId="3A02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14:paraId="63842A87">
                  <w:pPr>
                    <w:bidi w:val="0"/>
                    <w:jc w:val="center"/>
                    <w:rPr>
                      <w:rFonts w:hint="default" w:ascii="Times New Roman" w:hAnsi="Times New Roman"/>
                      <w:sz w:val="21"/>
                      <w:szCs w:val="21"/>
                      <w:lang w:val="en-US" w:eastAsia="zh-CN"/>
                    </w:rPr>
                  </w:pPr>
                  <w:r>
                    <w:rPr>
                      <w:rFonts w:hint="eastAsia"/>
                      <w:sz w:val="21"/>
                      <w:szCs w:val="21"/>
                      <w:lang w:val="en-US" w:eastAsia="zh-CN"/>
                    </w:rPr>
                    <w:t>3#</w:t>
                  </w:r>
                </w:p>
              </w:tc>
              <w:tc>
                <w:tcPr>
                  <w:tcW w:w="2217" w:type="pct"/>
                  <w:vAlign w:val="center"/>
                </w:tcPr>
                <w:p w14:paraId="43192ABB">
                  <w:pPr>
                    <w:bidi w:val="0"/>
                    <w:jc w:val="center"/>
                    <w:rPr>
                      <w:rFonts w:hint="default"/>
                      <w:sz w:val="21"/>
                      <w:szCs w:val="21"/>
                      <w:lang w:val="en-US" w:eastAsia="zh-CN"/>
                    </w:rPr>
                  </w:pPr>
                  <w:r>
                    <w:rPr>
                      <w:rFonts w:hint="eastAsia" w:ascii="Times New Roman" w:hAnsi="Times New Roman"/>
                      <w:sz w:val="21"/>
                      <w:szCs w:val="21"/>
                      <w:lang w:val="en-US" w:eastAsia="zh-CN"/>
                    </w:rPr>
                    <w:t>四川万象壹品门业</w:t>
                  </w:r>
                  <w:r>
                    <w:rPr>
                      <w:rFonts w:hint="eastAsia"/>
                      <w:sz w:val="21"/>
                      <w:szCs w:val="21"/>
                      <w:lang w:val="en-US" w:eastAsia="zh-CN"/>
                    </w:rPr>
                    <w:t>厂房南侧厂界</w:t>
                  </w:r>
                </w:p>
              </w:tc>
              <w:tc>
                <w:tcPr>
                  <w:tcW w:w="815" w:type="pct"/>
                  <w:vAlign w:val="center"/>
                </w:tcPr>
                <w:p w14:paraId="79C41D4F">
                  <w:pPr>
                    <w:bidi w:val="0"/>
                    <w:jc w:val="center"/>
                    <w:rPr>
                      <w:rFonts w:hint="default"/>
                      <w:sz w:val="21"/>
                      <w:szCs w:val="21"/>
                      <w:lang w:val="en-US" w:eastAsia="zh-CN"/>
                    </w:rPr>
                  </w:pPr>
                  <w:r>
                    <w:rPr>
                      <w:rFonts w:hint="eastAsia"/>
                      <w:sz w:val="21"/>
                      <w:szCs w:val="21"/>
                      <w:lang w:val="en-US" w:eastAsia="zh-CN"/>
                    </w:rPr>
                    <w:t>57</w:t>
                  </w:r>
                </w:p>
              </w:tc>
              <w:tc>
                <w:tcPr>
                  <w:tcW w:w="834" w:type="pct"/>
                  <w:vAlign w:val="center"/>
                </w:tcPr>
                <w:p w14:paraId="01F45556">
                  <w:pPr>
                    <w:bidi w:val="0"/>
                    <w:jc w:val="center"/>
                    <w:rPr>
                      <w:rFonts w:hint="default"/>
                      <w:sz w:val="21"/>
                      <w:szCs w:val="21"/>
                      <w:lang w:val="en-US" w:eastAsia="zh-CN"/>
                    </w:rPr>
                  </w:pPr>
                  <w:r>
                    <w:rPr>
                      <w:rFonts w:hint="eastAsia"/>
                      <w:sz w:val="21"/>
                      <w:szCs w:val="21"/>
                      <w:lang w:val="en-US" w:eastAsia="zh-CN"/>
                    </w:rPr>
                    <w:t>46</w:t>
                  </w:r>
                </w:p>
              </w:tc>
            </w:tr>
            <w:tr w14:paraId="48F6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14:paraId="3E6D0960">
                  <w:pPr>
                    <w:bidi w:val="0"/>
                    <w:jc w:val="center"/>
                    <w:rPr>
                      <w:rFonts w:hint="default" w:ascii="Times New Roman" w:hAnsi="Times New Roman"/>
                      <w:sz w:val="21"/>
                      <w:szCs w:val="21"/>
                      <w:lang w:val="en-US" w:eastAsia="zh-CN"/>
                    </w:rPr>
                  </w:pPr>
                  <w:r>
                    <w:rPr>
                      <w:rFonts w:hint="eastAsia"/>
                      <w:sz w:val="21"/>
                      <w:szCs w:val="21"/>
                      <w:lang w:val="en-US" w:eastAsia="zh-CN"/>
                    </w:rPr>
                    <w:t>4#</w:t>
                  </w:r>
                </w:p>
              </w:tc>
              <w:tc>
                <w:tcPr>
                  <w:tcW w:w="2217" w:type="pct"/>
                  <w:vAlign w:val="center"/>
                </w:tcPr>
                <w:p w14:paraId="6507C2DE">
                  <w:pPr>
                    <w:bidi w:val="0"/>
                    <w:jc w:val="center"/>
                    <w:rPr>
                      <w:rFonts w:hint="default"/>
                      <w:sz w:val="21"/>
                      <w:szCs w:val="21"/>
                      <w:lang w:val="en-US" w:eastAsia="zh-CN"/>
                    </w:rPr>
                  </w:pPr>
                  <w:r>
                    <w:rPr>
                      <w:rFonts w:hint="eastAsia" w:ascii="Times New Roman" w:hAnsi="Times New Roman"/>
                      <w:sz w:val="21"/>
                      <w:szCs w:val="21"/>
                      <w:lang w:val="en-US" w:eastAsia="zh-CN"/>
                    </w:rPr>
                    <w:t>四川万象壹品门业</w:t>
                  </w:r>
                  <w:r>
                    <w:rPr>
                      <w:rFonts w:hint="eastAsia"/>
                      <w:sz w:val="21"/>
                      <w:szCs w:val="21"/>
                      <w:lang w:val="en-US" w:eastAsia="zh-CN"/>
                    </w:rPr>
                    <w:t>厂房西南侧厂界</w:t>
                  </w:r>
                </w:p>
              </w:tc>
              <w:tc>
                <w:tcPr>
                  <w:tcW w:w="815" w:type="pct"/>
                  <w:vAlign w:val="center"/>
                </w:tcPr>
                <w:p w14:paraId="747D283B">
                  <w:pPr>
                    <w:bidi w:val="0"/>
                    <w:jc w:val="center"/>
                    <w:rPr>
                      <w:rFonts w:hint="default"/>
                      <w:sz w:val="21"/>
                      <w:szCs w:val="21"/>
                      <w:lang w:val="en-US" w:eastAsia="zh-CN"/>
                    </w:rPr>
                  </w:pPr>
                  <w:r>
                    <w:rPr>
                      <w:rFonts w:hint="eastAsia"/>
                      <w:sz w:val="21"/>
                      <w:szCs w:val="21"/>
                      <w:lang w:val="en-US" w:eastAsia="zh-CN"/>
                    </w:rPr>
                    <w:t>56</w:t>
                  </w:r>
                </w:p>
              </w:tc>
              <w:tc>
                <w:tcPr>
                  <w:tcW w:w="834" w:type="pct"/>
                  <w:vAlign w:val="center"/>
                </w:tcPr>
                <w:p w14:paraId="71619A34">
                  <w:pPr>
                    <w:bidi w:val="0"/>
                    <w:jc w:val="center"/>
                    <w:rPr>
                      <w:rFonts w:hint="default"/>
                      <w:sz w:val="21"/>
                      <w:szCs w:val="21"/>
                      <w:lang w:val="en-US" w:eastAsia="zh-CN"/>
                    </w:rPr>
                  </w:pPr>
                  <w:r>
                    <w:rPr>
                      <w:rFonts w:hint="eastAsia"/>
                      <w:sz w:val="21"/>
                      <w:szCs w:val="21"/>
                      <w:lang w:val="en-US" w:eastAsia="zh-CN"/>
                    </w:rPr>
                    <w:t>48</w:t>
                  </w:r>
                </w:p>
              </w:tc>
            </w:tr>
            <w:tr w14:paraId="5A08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pct"/>
                  <w:vAlign w:val="center"/>
                </w:tcPr>
                <w:p w14:paraId="34B1505B">
                  <w:pPr>
                    <w:bidi w:val="0"/>
                    <w:jc w:val="center"/>
                    <w:rPr>
                      <w:rFonts w:hint="default"/>
                      <w:sz w:val="21"/>
                      <w:szCs w:val="21"/>
                      <w:lang w:val="en-US" w:eastAsia="zh-CN"/>
                    </w:rPr>
                  </w:pPr>
                  <w:r>
                    <w:rPr>
                      <w:rFonts w:hint="eastAsia"/>
                      <w:sz w:val="21"/>
                      <w:szCs w:val="21"/>
                      <w:lang w:val="en-US" w:eastAsia="zh-CN"/>
                    </w:rPr>
                    <w:t>5#</w:t>
                  </w:r>
                </w:p>
              </w:tc>
              <w:tc>
                <w:tcPr>
                  <w:tcW w:w="2217" w:type="pct"/>
                  <w:vAlign w:val="center"/>
                </w:tcPr>
                <w:p w14:paraId="6E2CDC98">
                  <w:pPr>
                    <w:bidi w:val="0"/>
                    <w:jc w:val="center"/>
                    <w:rPr>
                      <w:rFonts w:hint="default"/>
                      <w:sz w:val="21"/>
                      <w:szCs w:val="21"/>
                      <w:lang w:val="en-US" w:eastAsia="zh-CN"/>
                    </w:rPr>
                  </w:pPr>
                  <w:r>
                    <w:rPr>
                      <w:rFonts w:hint="eastAsia"/>
                      <w:sz w:val="21"/>
                      <w:szCs w:val="21"/>
                      <w:lang w:val="en-US" w:eastAsia="zh-CN"/>
                    </w:rPr>
                    <w:t>项目西南侧</w:t>
                  </w:r>
                  <w:r>
                    <w:rPr>
                      <w:rFonts w:hint="eastAsia"/>
                      <w:color w:val="auto"/>
                      <w:sz w:val="21"/>
                      <w:szCs w:val="21"/>
                      <w:lang w:val="en-US" w:eastAsia="zh-CN"/>
                    </w:rPr>
                    <w:t>西华安置小区</w:t>
                  </w:r>
                </w:p>
              </w:tc>
              <w:tc>
                <w:tcPr>
                  <w:tcW w:w="815" w:type="pct"/>
                  <w:vAlign w:val="center"/>
                </w:tcPr>
                <w:p w14:paraId="37BF19CE">
                  <w:pPr>
                    <w:bidi w:val="0"/>
                    <w:jc w:val="center"/>
                    <w:rPr>
                      <w:rFonts w:hint="default"/>
                      <w:sz w:val="21"/>
                      <w:szCs w:val="21"/>
                      <w:lang w:val="en-US" w:eastAsia="zh-CN"/>
                    </w:rPr>
                  </w:pPr>
                  <w:r>
                    <w:rPr>
                      <w:rFonts w:hint="eastAsia"/>
                      <w:sz w:val="21"/>
                      <w:szCs w:val="21"/>
                      <w:lang w:val="en-US" w:eastAsia="zh-CN"/>
                    </w:rPr>
                    <w:t>55</w:t>
                  </w:r>
                </w:p>
              </w:tc>
              <w:tc>
                <w:tcPr>
                  <w:tcW w:w="834" w:type="pct"/>
                  <w:vAlign w:val="center"/>
                </w:tcPr>
                <w:p w14:paraId="7989D6ED">
                  <w:pPr>
                    <w:bidi w:val="0"/>
                    <w:jc w:val="center"/>
                    <w:rPr>
                      <w:rFonts w:hint="default"/>
                      <w:sz w:val="21"/>
                      <w:szCs w:val="21"/>
                      <w:lang w:val="en-US" w:eastAsia="zh-CN"/>
                    </w:rPr>
                  </w:pPr>
                  <w:r>
                    <w:rPr>
                      <w:rFonts w:hint="eastAsia"/>
                      <w:sz w:val="21"/>
                      <w:szCs w:val="21"/>
                      <w:lang w:val="en-US" w:eastAsia="zh-CN"/>
                    </w:rPr>
                    <w:t>48</w:t>
                  </w:r>
                </w:p>
              </w:tc>
            </w:tr>
            <w:tr w14:paraId="200A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9" w:type="pct"/>
                  <w:gridSpan w:val="2"/>
                  <w:vAlign w:val="center"/>
                </w:tcPr>
                <w:p w14:paraId="1A03BFD7">
                  <w:pPr>
                    <w:bidi w:val="0"/>
                    <w:jc w:val="center"/>
                    <w:rPr>
                      <w:rFonts w:hint="default"/>
                      <w:sz w:val="21"/>
                      <w:szCs w:val="21"/>
                      <w:lang w:val="en-US" w:eastAsia="zh-CN"/>
                    </w:rPr>
                  </w:pPr>
                  <w:r>
                    <w:rPr>
                      <w:rFonts w:hint="eastAsia"/>
                      <w:sz w:val="21"/>
                      <w:szCs w:val="21"/>
                      <w:lang w:val="en-US" w:eastAsia="zh-CN"/>
                    </w:rPr>
                    <w:t>标准限值</w:t>
                  </w:r>
                </w:p>
              </w:tc>
              <w:tc>
                <w:tcPr>
                  <w:tcW w:w="815" w:type="pct"/>
                  <w:vAlign w:val="center"/>
                </w:tcPr>
                <w:p w14:paraId="384FF3A2">
                  <w:pPr>
                    <w:bidi w:val="0"/>
                    <w:jc w:val="center"/>
                    <w:rPr>
                      <w:rFonts w:hint="default"/>
                      <w:sz w:val="21"/>
                      <w:szCs w:val="21"/>
                      <w:lang w:val="en-US" w:eastAsia="zh-CN"/>
                    </w:rPr>
                  </w:pPr>
                  <w:r>
                    <w:rPr>
                      <w:rFonts w:hint="eastAsia"/>
                      <w:sz w:val="21"/>
                      <w:szCs w:val="21"/>
                      <w:lang w:val="en-US" w:eastAsia="zh-CN"/>
                    </w:rPr>
                    <w:t>60</w:t>
                  </w:r>
                </w:p>
              </w:tc>
              <w:tc>
                <w:tcPr>
                  <w:tcW w:w="834" w:type="pct"/>
                  <w:vAlign w:val="center"/>
                </w:tcPr>
                <w:p w14:paraId="3E9F61E7">
                  <w:pPr>
                    <w:bidi w:val="0"/>
                    <w:jc w:val="center"/>
                    <w:rPr>
                      <w:rFonts w:hint="default"/>
                      <w:sz w:val="21"/>
                      <w:szCs w:val="21"/>
                      <w:lang w:val="en-US" w:eastAsia="zh-CN"/>
                    </w:rPr>
                  </w:pPr>
                  <w:r>
                    <w:rPr>
                      <w:rFonts w:hint="eastAsia"/>
                      <w:sz w:val="21"/>
                      <w:szCs w:val="21"/>
                      <w:lang w:val="en-US" w:eastAsia="zh-CN"/>
                    </w:rPr>
                    <w:t>50</w:t>
                  </w:r>
                </w:p>
              </w:tc>
            </w:tr>
          </w:tbl>
          <w:p w14:paraId="139D1B99">
            <w:pPr>
              <w:keepNext w:val="0"/>
              <w:keepLines w:val="0"/>
              <w:widowControl/>
              <w:suppressLineNumbers w:val="0"/>
              <w:spacing w:line="360" w:lineRule="auto"/>
              <w:ind w:firstLine="420" w:firstLineChars="200"/>
              <w:jc w:val="left"/>
              <w:rPr>
                <w:rFonts w:hint="default"/>
                <w:sz w:val="21"/>
                <w:szCs w:val="21"/>
                <w:lang w:val="en-US" w:eastAsia="zh-CN"/>
              </w:rPr>
            </w:pPr>
            <w:r>
              <w:rPr>
                <w:rFonts w:hint="eastAsia" w:ascii="宋体" w:hAnsi="宋体" w:eastAsia="宋体" w:cs="宋体"/>
                <w:color w:val="000000"/>
                <w:kern w:val="0"/>
                <w:sz w:val="21"/>
                <w:szCs w:val="21"/>
                <w:lang w:val="en-US" w:eastAsia="zh-CN" w:bidi="ar"/>
              </w:rPr>
              <w:t>根据监测结果可知，现有项目所测各</w:t>
            </w:r>
            <w:r>
              <w:rPr>
                <w:rFonts w:hint="eastAsia" w:ascii="宋体" w:hAnsi="宋体" w:cs="宋体"/>
                <w:color w:val="000000"/>
                <w:kern w:val="0"/>
                <w:sz w:val="21"/>
                <w:szCs w:val="21"/>
                <w:lang w:val="en-US" w:eastAsia="zh-CN" w:bidi="ar"/>
              </w:rPr>
              <w:t>厂界</w:t>
            </w:r>
            <w:r>
              <w:rPr>
                <w:rFonts w:hint="eastAsia" w:ascii="宋体" w:hAnsi="宋体" w:eastAsia="宋体" w:cs="宋体"/>
                <w:color w:val="000000"/>
                <w:kern w:val="0"/>
                <w:sz w:val="21"/>
                <w:szCs w:val="21"/>
                <w:lang w:val="en-US" w:eastAsia="zh-CN" w:bidi="ar"/>
              </w:rPr>
              <w:t>点位噪声值均满足《</w:t>
            </w:r>
            <w:r>
              <w:rPr>
                <w:rFonts w:hint="eastAsia" w:ascii="宋体" w:hAnsi="宋体" w:cs="宋体"/>
                <w:color w:val="000000"/>
                <w:kern w:val="0"/>
                <w:sz w:val="21"/>
                <w:szCs w:val="21"/>
                <w:lang w:val="en-US" w:eastAsia="zh-CN" w:bidi="ar"/>
              </w:rPr>
              <w:t>声环境质量标准</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GB12348-2008</w:t>
            </w:r>
            <w:r>
              <w:rPr>
                <w:rFonts w:hint="eastAsia" w:ascii="宋体" w:hAnsi="宋体" w:eastAsia="宋体" w:cs="宋体"/>
                <w:color w:val="000000"/>
                <w:kern w:val="0"/>
                <w:sz w:val="21"/>
                <w:szCs w:val="21"/>
                <w:lang w:val="en-US" w:eastAsia="zh-CN" w:bidi="ar"/>
              </w:rPr>
              <w:t>）中</w:t>
            </w:r>
            <w:r>
              <w:rPr>
                <w:rFonts w:hint="eastAsia"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类标准限值，</w:t>
            </w:r>
            <w:r>
              <w:rPr>
                <w:rFonts w:hint="eastAsia" w:ascii="宋体" w:hAnsi="宋体" w:cs="宋体"/>
                <w:color w:val="000000"/>
                <w:kern w:val="0"/>
                <w:sz w:val="21"/>
                <w:szCs w:val="21"/>
                <w:lang w:val="en-US" w:eastAsia="zh-CN" w:bidi="ar"/>
              </w:rPr>
              <w:t>居民区噪声点位噪声值满足《声环境质量标准》（</w:t>
            </w:r>
            <w:r>
              <w:rPr>
                <w:sz w:val="21"/>
                <w:szCs w:val="21"/>
              </w:rPr>
              <w:t>GB12348-2008</w:t>
            </w:r>
            <w:r>
              <w:rPr>
                <w:rFonts w:hint="eastAsia" w:ascii="宋体" w:hAnsi="宋体" w:cs="宋体"/>
                <w:color w:val="000000"/>
                <w:kern w:val="0"/>
                <w:sz w:val="21"/>
                <w:szCs w:val="21"/>
                <w:lang w:val="en-US" w:eastAsia="zh-CN" w:bidi="ar"/>
              </w:rPr>
              <w:t>）</w:t>
            </w:r>
            <w:r>
              <w:rPr>
                <w:rFonts w:hint="eastAsia"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类标准限值，实现达标排放。</w:t>
            </w:r>
          </w:p>
          <w:p w14:paraId="0055799B">
            <w:pPr>
              <w:widowControl w:val="0"/>
              <w:spacing w:line="360" w:lineRule="auto"/>
              <w:ind w:left="0"/>
              <w:jc w:val="both"/>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四、地下水及土壤环境质量现状</w:t>
            </w:r>
          </w:p>
          <w:p w14:paraId="40C59BF3">
            <w:pPr>
              <w:widowControl w:val="0"/>
              <w:adjustRightInd w:val="0"/>
              <w:snapToGrid w:val="0"/>
              <w:spacing w:line="360" w:lineRule="auto"/>
              <w:ind w:firstLine="420" w:firstLineChars="200"/>
              <w:jc w:val="lef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根据《环境影响评价技术导则</w:t>
            </w:r>
            <w:r>
              <w:rPr>
                <w:rFonts w:hint="eastAsia"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土壤环境(试行)》（</w:t>
            </w:r>
            <w:r>
              <w:rPr>
                <w:rFonts w:hint="eastAsia" w:cs="Times New Roman"/>
                <w:color w:val="auto"/>
                <w:kern w:val="2"/>
                <w:sz w:val="21"/>
                <w:szCs w:val="21"/>
                <w:lang w:val="en-US" w:eastAsia="zh-CN" w:bidi="ar-SA"/>
              </w:rPr>
              <w:t>HJ964-2018</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和《环境影响评价技术导则地下水环境》</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HJ610-2016</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本项目</w:t>
            </w:r>
            <w:r>
              <w:rPr>
                <w:rFonts w:hint="eastAsia" w:cs="Times New Roman"/>
                <w:color w:val="auto"/>
                <w:kern w:val="2"/>
                <w:sz w:val="21"/>
                <w:szCs w:val="21"/>
                <w:lang w:val="en-US" w:eastAsia="zh-CN" w:bidi="ar-SA"/>
              </w:rPr>
              <w:t>是“其他行业”属于IV类，</w:t>
            </w:r>
            <w:r>
              <w:rPr>
                <w:rFonts w:hint="default" w:ascii="Times New Roman" w:hAnsi="Times New Roman" w:eastAsia="宋体" w:cs="Times New Roman"/>
                <w:color w:val="auto"/>
                <w:kern w:val="2"/>
                <w:sz w:val="21"/>
                <w:szCs w:val="21"/>
                <w:lang w:val="en-US" w:eastAsia="zh-CN" w:bidi="ar-SA"/>
              </w:rPr>
              <w:t>原则上不开展土壤和地下水环境质量现状调查。</w:t>
            </w:r>
          </w:p>
          <w:p w14:paraId="5E21013E">
            <w:pPr>
              <w:widowControl w:val="0"/>
              <w:tabs>
                <w:tab w:val="left" w:pos="6136"/>
              </w:tabs>
              <w:spacing w:line="360" w:lineRule="auto"/>
              <w:ind w:left="0"/>
              <w:jc w:val="both"/>
              <w:rPr>
                <w:rFonts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五</w:t>
            </w:r>
            <w:r>
              <w:rPr>
                <w:rFonts w:ascii="Times New Roman" w:hAnsi="Times New Roman" w:eastAsia="宋体" w:cs="Times New Roman"/>
                <w:b/>
                <w:bCs/>
                <w:color w:val="auto"/>
                <w:kern w:val="2"/>
                <w:sz w:val="21"/>
                <w:szCs w:val="21"/>
                <w:lang w:val="en-US" w:eastAsia="zh-CN" w:bidi="ar-SA"/>
              </w:rPr>
              <w:t>、生态环境</w:t>
            </w:r>
          </w:p>
          <w:p w14:paraId="56143C57">
            <w:pPr>
              <w:pStyle w:val="69"/>
              <w:bidi w:val="0"/>
              <w:spacing w:line="360" w:lineRule="auto"/>
              <w:rPr>
                <w:kern w:val="0"/>
                <w:sz w:val="21"/>
                <w:szCs w:val="21"/>
              </w:rPr>
            </w:pPr>
            <w:r>
              <w:rPr>
                <w:rFonts w:hint="default"/>
                <w:sz w:val="21"/>
                <w:szCs w:val="21"/>
                <w:lang w:val="en-US" w:eastAsia="zh-CN"/>
              </w:rPr>
              <w:t>本项目位于蓬溪县上游工业园</w:t>
            </w:r>
            <w:r>
              <w:rPr>
                <w:rFonts w:hint="eastAsia"/>
                <w:sz w:val="21"/>
                <w:szCs w:val="21"/>
                <w:lang w:val="en-US" w:eastAsia="zh-CN"/>
              </w:rPr>
              <w:t>产业聚集区</w:t>
            </w:r>
            <w:r>
              <w:rPr>
                <w:rFonts w:hint="default"/>
                <w:sz w:val="21"/>
                <w:szCs w:val="21"/>
                <w:lang w:val="en-US" w:eastAsia="zh-CN"/>
              </w:rPr>
              <w:t>，属于工业园园区入园项目，在既有的厂房内建设，故不开展生态环境质量现状调查。</w:t>
            </w:r>
          </w:p>
        </w:tc>
      </w:tr>
      <w:tr w14:paraId="301E4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65" w:type="dxa"/>
            <w:noWrap w:val="0"/>
            <w:vAlign w:val="center"/>
          </w:tcPr>
          <w:p w14:paraId="69FE900B">
            <w:pPr>
              <w:adjustRightInd w:val="0"/>
              <w:snapToGrid w:val="0"/>
              <w:jc w:val="center"/>
              <w:rPr>
                <w:kern w:val="0"/>
                <w:sz w:val="21"/>
                <w:szCs w:val="21"/>
              </w:rPr>
            </w:pPr>
            <w:r>
              <w:rPr>
                <w:kern w:val="0"/>
                <w:sz w:val="21"/>
                <w:szCs w:val="21"/>
              </w:rPr>
              <w:t>环境</w:t>
            </w:r>
          </w:p>
          <w:p w14:paraId="06F71ECF">
            <w:pPr>
              <w:adjustRightInd w:val="0"/>
              <w:snapToGrid w:val="0"/>
              <w:jc w:val="center"/>
              <w:rPr>
                <w:kern w:val="0"/>
                <w:sz w:val="21"/>
                <w:szCs w:val="21"/>
              </w:rPr>
            </w:pPr>
            <w:r>
              <w:rPr>
                <w:kern w:val="0"/>
                <w:sz w:val="21"/>
                <w:szCs w:val="21"/>
              </w:rPr>
              <w:t>保护</w:t>
            </w:r>
          </w:p>
          <w:p w14:paraId="7BCEAEE2">
            <w:pPr>
              <w:adjustRightInd w:val="0"/>
              <w:snapToGrid w:val="0"/>
              <w:jc w:val="center"/>
              <w:rPr>
                <w:kern w:val="0"/>
                <w:sz w:val="21"/>
                <w:szCs w:val="21"/>
              </w:rPr>
            </w:pPr>
            <w:r>
              <w:rPr>
                <w:kern w:val="0"/>
                <w:sz w:val="21"/>
                <w:szCs w:val="21"/>
              </w:rPr>
              <w:t>目标</w:t>
            </w:r>
          </w:p>
        </w:tc>
        <w:tc>
          <w:tcPr>
            <w:tcW w:w="8525" w:type="dxa"/>
            <w:noWrap w:val="0"/>
            <w:vAlign w:val="top"/>
          </w:tcPr>
          <w:p w14:paraId="70EB70E6">
            <w:pPr>
              <w:numPr>
                <w:ilvl w:val="0"/>
                <w:numId w:val="0"/>
              </w:numPr>
              <w:bidi w:val="0"/>
              <w:spacing w:line="360" w:lineRule="auto"/>
              <w:ind w:firstLine="422" w:firstLineChars="200"/>
              <w:rPr>
                <w:rFonts w:hint="default"/>
                <w:b/>
                <w:bCs/>
              </w:rPr>
            </w:pPr>
            <w:r>
              <w:rPr>
                <w:rFonts w:hint="eastAsia"/>
                <w:b/>
                <w:bCs/>
                <w:lang w:val="en-US" w:eastAsia="zh-CN"/>
              </w:rPr>
              <w:t>一、</w:t>
            </w:r>
            <w:r>
              <w:rPr>
                <w:rFonts w:hint="default"/>
                <w:b/>
                <w:bCs/>
              </w:rPr>
              <w:t>外环境关系</w:t>
            </w:r>
          </w:p>
          <w:p w14:paraId="0DDFC94C">
            <w:pPr>
              <w:bidi w:val="0"/>
              <w:spacing w:line="360" w:lineRule="auto"/>
              <w:ind w:firstLine="420" w:firstLineChars="200"/>
            </w:pPr>
            <w:r>
              <w:t>本项目外环境关系见</w:t>
            </w:r>
            <w:r>
              <w:rPr>
                <w:color w:val="auto"/>
              </w:rPr>
              <w:t>附图</w:t>
            </w:r>
            <w:r>
              <w:rPr>
                <w:rFonts w:hint="eastAsia"/>
                <w:color w:val="auto"/>
                <w:lang w:val="en-US" w:eastAsia="zh-CN"/>
              </w:rPr>
              <w:t>5</w:t>
            </w:r>
            <w:r>
              <w:t>。项目周边外环境关系见下表。</w:t>
            </w:r>
          </w:p>
          <w:p w14:paraId="0CC24442">
            <w:pPr>
              <w:bidi w:val="0"/>
              <w:spacing w:line="240" w:lineRule="auto"/>
              <w:jc w:val="center"/>
            </w:pPr>
            <w:r>
              <w:rPr>
                <w:b/>
                <w:bCs/>
              </w:rPr>
              <w:t>表</w:t>
            </w:r>
            <w:r>
              <w:rPr>
                <w:rFonts w:hint="eastAsia"/>
                <w:b/>
                <w:bCs/>
              </w:rPr>
              <w:t>3-</w:t>
            </w:r>
            <w:r>
              <w:rPr>
                <w:rFonts w:hint="eastAsia"/>
                <w:b/>
                <w:bCs/>
                <w:lang w:val="en-US" w:eastAsia="zh-CN"/>
              </w:rPr>
              <w:t>5</w:t>
            </w:r>
            <w:r>
              <w:rPr>
                <w:b/>
                <w:bCs/>
              </w:rPr>
              <w:t>本项目周边外环境关系一览表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5"/>
              <w:gridCol w:w="720"/>
              <w:gridCol w:w="3460"/>
              <w:gridCol w:w="992"/>
              <w:gridCol w:w="684"/>
              <w:gridCol w:w="1968"/>
            </w:tblGrid>
            <w:tr w14:paraId="030E1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0A7FD327">
                  <w:pPr>
                    <w:bidi w:val="0"/>
                    <w:jc w:val="center"/>
                  </w:pPr>
                  <w:r>
                    <w:t>序号</w:t>
                  </w:r>
                </w:p>
              </w:tc>
              <w:tc>
                <w:tcPr>
                  <w:tcW w:w="4180" w:type="dxa"/>
                  <w:gridSpan w:val="2"/>
                  <w:vAlign w:val="center"/>
                </w:tcPr>
                <w:p w14:paraId="7357CF14">
                  <w:pPr>
                    <w:bidi w:val="0"/>
                    <w:jc w:val="center"/>
                  </w:pPr>
                  <w:r>
                    <w:t>名称</w:t>
                  </w:r>
                </w:p>
              </w:tc>
              <w:tc>
                <w:tcPr>
                  <w:tcW w:w="992" w:type="dxa"/>
                  <w:vAlign w:val="center"/>
                </w:tcPr>
                <w:p w14:paraId="76CBB2B8">
                  <w:pPr>
                    <w:bidi w:val="0"/>
                    <w:jc w:val="center"/>
                  </w:pPr>
                  <w:r>
                    <w:t>方位</w:t>
                  </w:r>
                </w:p>
              </w:tc>
              <w:tc>
                <w:tcPr>
                  <w:tcW w:w="684" w:type="dxa"/>
                  <w:vAlign w:val="center"/>
                </w:tcPr>
                <w:p w14:paraId="1672D5D9">
                  <w:pPr>
                    <w:bidi w:val="0"/>
                    <w:jc w:val="center"/>
                  </w:pPr>
                  <w:r>
                    <w:t>距离m</w:t>
                  </w:r>
                </w:p>
              </w:tc>
              <w:tc>
                <w:tcPr>
                  <w:tcW w:w="1968" w:type="dxa"/>
                  <w:vAlign w:val="center"/>
                </w:tcPr>
                <w:p w14:paraId="451D37E3">
                  <w:pPr>
                    <w:bidi w:val="0"/>
                    <w:jc w:val="center"/>
                  </w:pPr>
                  <w:r>
                    <w:t>性质</w:t>
                  </w:r>
                </w:p>
              </w:tc>
            </w:tr>
            <w:tr w14:paraId="68B45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371B7D2F">
                  <w:pPr>
                    <w:bidi w:val="0"/>
                    <w:jc w:val="center"/>
                    <w:rPr>
                      <w:rFonts w:hint="eastAsia" w:eastAsia="宋体"/>
                      <w:lang w:val="en-US" w:eastAsia="zh-CN"/>
                    </w:rPr>
                  </w:pPr>
                  <w:r>
                    <w:rPr>
                      <w:rFonts w:hint="eastAsia"/>
                      <w:lang w:val="en-US" w:eastAsia="zh-CN"/>
                    </w:rPr>
                    <w:t>1</w:t>
                  </w:r>
                </w:p>
              </w:tc>
              <w:tc>
                <w:tcPr>
                  <w:tcW w:w="720" w:type="dxa"/>
                  <w:vMerge w:val="restart"/>
                  <w:vAlign w:val="center"/>
                </w:tcPr>
                <w:p w14:paraId="401D6A46">
                  <w:pPr>
                    <w:bidi w:val="0"/>
                    <w:jc w:val="center"/>
                  </w:pPr>
                  <w:r>
                    <w:rPr>
                      <w:rFonts w:hint="eastAsia" w:ascii="Times New Roman" w:hAnsi="Times New Roman"/>
                      <w:sz w:val="21"/>
                      <w:szCs w:val="21"/>
                      <w:lang w:val="en-US" w:eastAsia="zh-CN"/>
                    </w:rPr>
                    <w:t>四川万象壹品门业</w:t>
                  </w:r>
                  <w:r>
                    <w:rPr>
                      <w:rFonts w:hint="eastAsia"/>
                      <w:lang w:val="en-US" w:eastAsia="zh-CN"/>
                    </w:rPr>
                    <w:t>厂房</w:t>
                  </w:r>
                </w:p>
              </w:tc>
              <w:tc>
                <w:tcPr>
                  <w:tcW w:w="3460" w:type="dxa"/>
                  <w:vAlign w:val="center"/>
                </w:tcPr>
                <w:p w14:paraId="10A5E7BD">
                  <w:pPr>
                    <w:bidi w:val="0"/>
                    <w:jc w:val="center"/>
                    <w:rPr>
                      <w:rFonts w:hint="eastAsia"/>
                    </w:rPr>
                  </w:pPr>
                  <w:r>
                    <w:rPr>
                      <w:rFonts w:hint="eastAsia"/>
                    </w:rPr>
                    <w:t>四川拱市联村富泽消防科技有限公司</w:t>
                  </w:r>
                </w:p>
              </w:tc>
              <w:tc>
                <w:tcPr>
                  <w:tcW w:w="992" w:type="dxa"/>
                  <w:vAlign w:val="center"/>
                </w:tcPr>
                <w:p w14:paraId="4FDC96CF">
                  <w:pPr>
                    <w:bidi w:val="0"/>
                    <w:jc w:val="center"/>
                  </w:pPr>
                  <w:r>
                    <w:rPr>
                      <w:rFonts w:hint="eastAsia"/>
                      <w:lang w:val="en-US" w:eastAsia="zh-CN"/>
                    </w:rPr>
                    <w:t>北</w:t>
                  </w:r>
                  <w:r>
                    <w:rPr>
                      <w:rFonts w:hint="eastAsia"/>
                    </w:rPr>
                    <w:t>侧</w:t>
                  </w:r>
                </w:p>
              </w:tc>
              <w:tc>
                <w:tcPr>
                  <w:tcW w:w="684" w:type="dxa"/>
                  <w:vAlign w:val="center"/>
                </w:tcPr>
                <w:p w14:paraId="1EFE2CBC">
                  <w:pPr>
                    <w:bidi w:val="0"/>
                    <w:jc w:val="center"/>
                    <w:rPr>
                      <w:rFonts w:hint="eastAsia" w:eastAsia="宋体"/>
                      <w:lang w:eastAsia="zh-CN"/>
                    </w:rPr>
                  </w:pPr>
                  <w:r>
                    <w:rPr>
                      <w:rFonts w:hint="eastAsia"/>
                      <w:lang w:val="en-US" w:eastAsia="zh-CN"/>
                    </w:rPr>
                    <w:t>紧邻</w:t>
                  </w:r>
                </w:p>
              </w:tc>
              <w:tc>
                <w:tcPr>
                  <w:tcW w:w="1968" w:type="dxa"/>
                  <w:vAlign w:val="center"/>
                </w:tcPr>
                <w:p w14:paraId="588D7BF7">
                  <w:pPr>
                    <w:bidi w:val="0"/>
                    <w:jc w:val="center"/>
                    <w:rPr>
                      <w:rFonts w:hint="default" w:eastAsia="宋体"/>
                      <w:lang w:val="en-US" w:eastAsia="zh-CN"/>
                    </w:rPr>
                  </w:pPr>
                  <w:r>
                    <w:rPr>
                      <w:rFonts w:hint="eastAsia"/>
                      <w:lang w:val="en-US" w:eastAsia="zh-CN"/>
                    </w:rPr>
                    <w:t>消防器材销售</w:t>
                  </w:r>
                </w:p>
              </w:tc>
            </w:tr>
            <w:tr w14:paraId="28C67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0325121E">
                  <w:pPr>
                    <w:bidi w:val="0"/>
                    <w:jc w:val="center"/>
                    <w:rPr>
                      <w:rFonts w:hint="eastAsia" w:eastAsia="宋体"/>
                      <w:lang w:val="en-US" w:eastAsia="zh-CN"/>
                    </w:rPr>
                  </w:pPr>
                  <w:r>
                    <w:rPr>
                      <w:rFonts w:hint="eastAsia"/>
                      <w:lang w:val="en-US" w:eastAsia="zh-CN"/>
                    </w:rPr>
                    <w:t>2</w:t>
                  </w:r>
                </w:p>
              </w:tc>
              <w:tc>
                <w:tcPr>
                  <w:tcW w:w="720" w:type="dxa"/>
                  <w:vMerge w:val="continue"/>
                  <w:vAlign w:val="center"/>
                </w:tcPr>
                <w:p w14:paraId="116BE8DD">
                  <w:pPr>
                    <w:bidi w:val="0"/>
                    <w:jc w:val="center"/>
                  </w:pPr>
                </w:p>
              </w:tc>
              <w:tc>
                <w:tcPr>
                  <w:tcW w:w="3460" w:type="dxa"/>
                  <w:vAlign w:val="center"/>
                </w:tcPr>
                <w:p w14:paraId="6865447E">
                  <w:pPr>
                    <w:bidi w:val="0"/>
                    <w:jc w:val="center"/>
                    <w:rPr>
                      <w:rFonts w:hint="default" w:eastAsia="宋体"/>
                      <w:lang w:val="en-US" w:eastAsia="zh-CN"/>
                    </w:rPr>
                  </w:pPr>
                  <w:r>
                    <w:rPr>
                      <w:rFonts w:hint="eastAsia"/>
                      <w:lang w:val="en-US" w:eastAsia="zh-CN"/>
                    </w:rPr>
                    <w:t>四川家家喜木业有限公司</w:t>
                  </w:r>
                </w:p>
              </w:tc>
              <w:tc>
                <w:tcPr>
                  <w:tcW w:w="992" w:type="dxa"/>
                  <w:vAlign w:val="center"/>
                </w:tcPr>
                <w:p w14:paraId="5CCF3C0E">
                  <w:pPr>
                    <w:bidi w:val="0"/>
                    <w:jc w:val="center"/>
                  </w:pPr>
                  <w:r>
                    <w:rPr>
                      <w:rFonts w:hint="eastAsia"/>
                      <w:lang w:val="en-US" w:eastAsia="zh-CN"/>
                    </w:rPr>
                    <w:t>北</w:t>
                  </w:r>
                  <w:r>
                    <w:rPr>
                      <w:rFonts w:hint="eastAsia"/>
                    </w:rPr>
                    <w:t>侧</w:t>
                  </w:r>
                </w:p>
              </w:tc>
              <w:tc>
                <w:tcPr>
                  <w:tcW w:w="684" w:type="dxa"/>
                  <w:vAlign w:val="center"/>
                </w:tcPr>
                <w:p w14:paraId="5CFE689B">
                  <w:pPr>
                    <w:bidi w:val="0"/>
                    <w:jc w:val="center"/>
                    <w:rPr>
                      <w:rFonts w:hint="default" w:eastAsia="宋体"/>
                      <w:lang w:val="en-US" w:eastAsia="zh-CN"/>
                    </w:rPr>
                  </w:pPr>
                  <w:r>
                    <w:rPr>
                      <w:rFonts w:hint="eastAsia"/>
                      <w:lang w:val="en-US" w:eastAsia="zh-CN"/>
                    </w:rPr>
                    <w:t>45</w:t>
                  </w:r>
                </w:p>
              </w:tc>
              <w:tc>
                <w:tcPr>
                  <w:tcW w:w="1968" w:type="dxa"/>
                  <w:vAlign w:val="center"/>
                </w:tcPr>
                <w:p w14:paraId="3240EB7D">
                  <w:pPr>
                    <w:bidi w:val="0"/>
                    <w:jc w:val="center"/>
                    <w:rPr>
                      <w:rFonts w:hint="eastAsia" w:eastAsia="宋体"/>
                      <w:lang w:eastAsia="zh-CN"/>
                    </w:rPr>
                  </w:pPr>
                  <w:r>
                    <w:rPr>
                      <w:rFonts w:hint="eastAsia"/>
                      <w:lang w:val="en-US" w:eastAsia="zh-CN"/>
                    </w:rPr>
                    <w:t>木材加工销售</w:t>
                  </w:r>
                </w:p>
              </w:tc>
            </w:tr>
            <w:tr w14:paraId="04869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73777862">
                  <w:pPr>
                    <w:bidi w:val="0"/>
                    <w:jc w:val="center"/>
                    <w:rPr>
                      <w:rFonts w:hint="eastAsia" w:eastAsia="宋体"/>
                      <w:lang w:val="en-US" w:eastAsia="zh-CN"/>
                    </w:rPr>
                  </w:pPr>
                  <w:r>
                    <w:rPr>
                      <w:rFonts w:hint="eastAsia"/>
                      <w:lang w:val="en-US" w:eastAsia="zh-CN"/>
                    </w:rPr>
                    <w:t>3</w:t>
                  </w:r>
                </w:p>
              </w:tc>
              <w:tc>
                <w:tcPr>
                  <w:tcW w:w="720" w:type="dxa"/>
                  <w:vMerge w:val="continue"/>
                  <w:vAlign w:val="center"/>
                </w:tcPr>
                <w:p w14:paraId="1C595776">
                  <w:pPr>
                    <w:bidi w:val="0"/>
                    <w:jc w:val="center"/>
                  </w:pPr>
                </w:p>
              </w:tc>
              <w:tc>
                <w:tcPr>
                  <w:tcW w:w="3460" w:type="dxa"/>
                  <w:vAlign w:val="center"/>
                </w:tcPr>
                <w:p w14:paraId="12418FDD">
                  <w:pPr>
                    <w:bidi w:val="0"/>
                    <w:jc w:val="center"/>
                    <w:rPr>
                      <w:rFonts w:hint="eastAsia"/>
                    </w:rPr>
                  </w:pPr>
                  <w:r>
                    <w:rPr>
                      <w:rFonts w:hint="eastAsia"/>
                    </w:rPr>
                    <w:t>四川美悦鑫再生资源利用有限公司</w:t>
                  </w:r>
                </w:p>
              </w:tc>
              <w:tc>
                <w:tcPr>
                  <w:tcW w:w="992" w:type="dxa"/>
                  <w:vAlign w:val="center"/>
                </w:tcPr>
                <w:p w14:paraId="24735418">
                  <w:pPr>
                    <w:bidi w:val="0"/>
                    <w:jc w:val="center"/>
                  </w:pPr>
                  <w:r>
                    <w:rPr>
                      <w:rFonts w:hint="eastAsia"/>
                    </w:rPr>
                    <w:t>东侧</w:t>
                  </w:r>
                </w:p>
              </w:tc>
              <w:tc>
                <w:tcPr>
                  <w:tcW w:w="684" w:type="dxa"/>
                  <w:vAlign w:val="center"/>
                </w:tcPr>
                <w:p w14:paraId="07BCA606">
                  <w:pPr>
                    <w:bidi w:val="0"/>
                    <w:jc w:val="center"/>
                    <w:rPr>
                      <w:rFonts w:hint="default" w:eastAsia="宋体"/>
                      <w:lang w:val="en-US" w:eastAsia="zh-CN"/>
                    </w:rPr>
                  </w:pPr>
                  <w:r>
                    <w:rPr>
                      <w:rFonts w:hint="eastAsia"/>
                      <w:lang w:val="en-US" w:eastAsia="zh-CN"/>
                    </w:rPr>
                    <w:t>75</w:t>
                  </w:r>
                </w:p>
              </w:tc>
              <w:tc>
                <w:tcPr>
                  <w:tcW w:w="1968" w:type="dxa"/>
                  <w:vAlign w:val="center"/>
                </w:tcPr>
                <w:p w14:paraId="36EC1182">
                  <w:pPr>
                    <w:bidi w:val="0"/>
                    <w:jc w:val="center"/>
                    <w:rPr>
                      <w:rFonts w:hint="default" w:eastAsia="宋体"/>
                      <w:lang w:val="en-US" w:eastAsia="zh-CN"/>
                    </w:rPr>
                  </w:pPr>
                  <w:r>
                    <w:rPr>
                      <w:rFonts w:hint="eastAsia"/>
                      <w:lang w:val="en-US" w:eastAsia="zh-CN"/>
                    </w:rPr>
                    <w:t>再生资源加工销售</w:t>
                  </w:r>
                </w:p>
              </w:tc>
            </w:tr>
            <w:tr w14:paraId="571E1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07BEF5FC">
                  <w:pPr>
                    <w:bidi w:val="0"/>
                    <w:jc w:val="center"/>
                    <w:rPr>
                      <w:rFonts w:hint="eastAsia" w:eastAsia="宋体"/>
                      <w:lang w:val="en-US" w:eastAsia="zh-CN"/>
                    </w:rPr>
                  </w:pPr>
                  <w:r>
                    <w:rPr>
                      <w:rFonts w:hint="eastAsia"/>
                      <w:lang w:val="en-US" w:eastAsia="zh-CN"/>
                    </w:rPr>
                    <w:t>4</w:t>
                  </w:r>
                </w:p>
              </w:tc>
              <w:tc>
                <w:tcPr>
                  <w:tcW w:w="720" w:type="dxa"/>
                  <w:vMerge w:val="continue"/>
                  <w:vAlign w:val="center"/>
                </w:tcPr>
                <w:p w14:paraId="4A7A1A07">
                  <w:pPr>
                    <w:bidi w:val="0"/>
                    <w:jc w:val="center"/>
                  </w:pPr>
                </w:p>
              </w:tc>
              <w:tc>
                <w:tcPr>
                  <w:tcW w:w="3460" w:type="dxa"/>
                  <w:vAlign w:val="center"/>
                </w:tcPr>
                <w:p w14:paraId="13CE70DC">
                  <w:pPr>
                    <w:bidi w:val="0"/>
                    <w:jc w:val="center"/>
                    <w:rPr>
                      <w:rFonts w:hint="default" w:eastAsia="宋体"/>
                      <w:lang w:val="en-US" w:eastAsia="zh-CN"/>
                    </w:rPr>
                  </w:pPr>
                  <w:r>
                    <w:rPr>
                      <w:rFonts w:hint="eastAsia"/>
                      <w:lang w:val="en-US" w:eastAsia="zh-CN"/>
                    </w:rPr>
                    <w:t>遂宁彩奇印务有限公司</w:t>
                  </w:r>
                </w:p>
              </w:tc>
              <w:tc>
                <w:tcPr>
                  <w:tcW w:w="992" w:type="dxa"/>
                  <w:vAlign w:val="center"/>
                </w:tcPr>
                <w:p w14:paraId="6B919074">
                  <w:pPr>
                    <w:bidi w:val="0"/>
                    <w:jc w:val="center"/>
                  </w:pPr>
                  <w:r>
                    <w:rPr>
                      <w:rFonts w:hint="eastAsia"/>
                      <w:lang w:val="en-US" w:eastAsia="zh-CN"/>
                    </w:rPr>
                    <w:t>东</w:t>
                  </w:r>
                  <w:r>
                    <w:rPr>
                      <w:rFonts w:hint="eastAsia"/>
                    </w:rPr>
                    <w:t>侧</w:t>
                  </w:r>
                </w:p>
              </w:tc>
              <w:tc>
                <w:tcPr>
                  <w:tcW w:w="684" w:type="dxa"/>
                  <w:vAlign w:val="center"/>
                </w:tcPr>
                <w:p w14:paraId="60A13E49">
                  <w:pPr>
                    <w:bidi w:val="0"/>
                    <w:jc w:val="center"/>
                    <w:rPr>
                      <w:rFonts w:hint="default" w:eastAsia="宋体"/>
                      <w:lang w:val="en-US" w:eastAsia="zh-CN"/>
                    </w:rPr>
                  </w:pPr>
                  <w:r>
                    <w:rPr>
                      <w:rFonts w:hint="eastAsia"/>
                      <w:lang w:val="en-US" w:eastAsia="zh-CN"/>
                    </w:rPr>
                    <w:t>15</w:t>
                  </w:r>
                </w:p>
              </w:tc>
              <w:tc>
                <w:tcPr>
                  <w:tcW w:w="1968" w:type="dxa"/>
                  <w:vAlign w:val="center"/>
                </w:tcPr>
                <w:p w14:paraId="194DDDC3">
                  <w:pPr>
                    <w:bidi w:val="0"/>
                    <w:jc w:val="center"/>
                    <w:rPr>
                      <w:rFonts w:hint="eastAsia" w:eastAsia="宋体"/>
                      <w:lang w:eastAsia="zh-CN"/>
                    </w:rPr>
                  </w:pPr>
                  <w:r>
                    <w:rPr>
                      <w:rFonts w:hint="eastAsia"/>
                      <w:lang w:val="en-US" w:eastAsia="zh-CN"/>
                    </w:rPr>
                    <w:t>印刷</w:t>
                  </w:r>
                </w:p>
              </w:tc>
            </w:tr>
            <w:tr w14:paraId="7DD04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0C2BBBBF">
                  <w:pPr>
                    <w:bidi w:val="0"/>
                    <w:jc w:val="center"/>
                    <w:rPr>
                      <w:rFonts w:hint="eastAsia" w:eastAsia="宋体"/>
                      <w:lang w:val="en-US" w:eastAsia="zh-CN"/>
                    </w:rPr>
                  </w:pPr>
                  <w:r>
                    <w:rPr>
                      <w:rFonts w:hint="eastAsia"/>
                      <w:lang w:val="en-US" w:eastAsia="zh-CN"/>
                    </w:rPr>
                    <w:t>5</w:t>
                  </w:r>
                </w:p>
              </w:tc>
              <w:tc>
                <w:tcPr>
                  <w:tcW w:w="4180" w:type="dxa"/>
                  <w:gridSpan w:val="2"/>
                  <w:vAlign w:val="center"/>
                </w:tcPr>
                <w:p w14:paraId="002EFA1F">
                  <w:pPr>
                    <w:bidi w:val="0"/>
                    <w:jc w:val="center"/>
                  </w:pPr>
                  <w:r>
                    <w:rPr>
                      <w:rFonts w:hint="eastAsia"/>
                    </w:rPr>
                    <w:t>四川欧尚家美门业有限公司</w:t>
                  </w:r>
                </w:p>
              </w:tc>
              <w:tc>
                <w:tcPr>
                  <w:tcW w:w="992" w:type="dxa"/>
                  <w:vAlign w:val="center"/>
                </w:tcPr>
                <w:p w14:paraId="461DD2C3">
                  <w:pPr>
                    <w:bidi w:val="0"/>
                    <w:jc w:val="center"/>
                  </w:pPr>
                  <w:r>
                    <w:rPr>
                      <w:rFonts w:hint="eastAsia"/>
                      <w:lang w:val="en-US" w:eastAsia="zh-CN"/>
                    </w:rPr>
                    <w:t>东北</w:t>
                  </w:r>
                  <w:r>
                    <w:t>侧</w:t>
                  </w:r>
                </w:p>
              </w:tc>
              <w:tc>
                <w:tcPr>
                  <w:tcW w:w="684" w:type="dxa"/>
                  <w:vAlign w:val="center"/>
                </w:tcPr>
                <w:p w14:paraId="4F36D8F3">
                  <w:pPr>
                    <w:bidi w:val="0"/>
                    <w:jc w:val="center"/>
                    <w:rPr>
                      <w:rFonts w:hint="default" w:eastAsia="宋体"/>
                      <w:lang w:val="en-US" w:eastAsia="zh-CN"/>
                    </w:rPr>
                  </w:pPr>
                  <w:r>
                    <w:rPr>
                      <w:rFonts w:hint="eastAsia"/>
                      <w:lang w:val="en-US" w:eastAsia="zh-CN"/>
                    </w:rPr>
                    <w:t>92</w:t>
                  </w:r>
                </w:p>
              </w:tc>
              <w:tc>
                <w:tcPr>
                  <w:tcW w:w="1968" w:type="dxa"/>
                  <w:vAlign w:val="center"/>
                </w:tcPr>
                <w:p w14:paraId="461F869A">
                  <w:pPr>
                    <w:bidi w:val="0"/>
                    <w:jc w:val="center"/>
                    <w:rPr>
                      <w:rFonts w:hint="default" w:eastAsia="宋体"/>
                      <w:lang w:val="en-US" w:eastAsia="zh-CN"/>
                    </w:rPr>
                  </w:pPr>
                  <w:r>
                    <w:rPr>
                      <w:rFonts w:hint="eastAsia"/>
                      <w:lang w:val="en-US" w:eastAsia="zh-CN"/>
                    </w:rPr>
                    <w:t>门加工销售</w:t>
                  </w:r>
                </w:p>
              </w:tc>
            </w:tr>
            <w:tr w14:paraId="3CF31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58B5A381">
                  <w:pPr>
                    <w:bidi w:val="0"/>
                    <w:jc w:val="center"/>
                    <w:rPr>
                      <w:rFonts w:hint="eastAsia" w:eastAsia="宋体"/>
                      <w:lang w:val="en-US" w:eastAsia="zh-CN"/>
                    </w:rPr>
                  </w:pPr>
                  <w:r>
                    <w:rPr>
                      <w:rFonts w:hint="eastAsia"/>
                      <w:lang w:val="en-US" w:eastAsia="zh-CN"/>
                    </w:rPr>
                    <w:t>6</w:t>
                  </w:r>
                </w:p>
              </w:tc>
              <w:tc>
                <w:tcPr>
                  <w:tcW w:w="4180" w:type="dxa"/>
                  <w:gridSpan w:val="2"/>
                  <w:vAlign w:val="center"/>
                </w:tcPr>
                <w:p w14:paraId="6E48C331">
                  <w:pPr>
                    <w:bidi w:val="0"/>
                    <w:jc w:val="center"/>
                  </w:pPr>
                  <w:r>
                    <w:rPr>
                      <w:rFonts w:hint="eastAsia"/>
                    </w:rPr>
                    <w:t>四川乐辰木业有限公司</w:t>
                  </w:r>
                </w:p>
              </w:tc>
              <w:tc>
                <w:tcPr>
                  <w:tcW w:w="992" w:type="dxa"/>
                  <w:vAlign w:val="center"/>
                </w:tcPr>
                <w:p w14:paraId="318FD321">
                  <w:pPr>
                    <w:bidi w:val="0"/>
                    <w:jc w:val="center"/>
                  </w:pPr>
                  <w:r>
                    <w:rPr>
                      <w:rFonts w:hint="eastAsia"/>
                      <w:lang w:val="en-US" w:eastAsia="zh-CN"/>
                    </w:rPr>
                    <w:t>东南</w:t>
                  </w:r>
                  <w:r>
                    <w:t>侧</w:t>
                  </w:r>
                </w:p>
              </w:tc>
              <w:tc>
                <w:tcPr>
                  <w:tcW w:w="684" w:type="dxa"/>
                  <w:vAlign w:val="center"/>
                </w:tcPr>
                <w:p w14:paraId="2EC3C17D">
                  <w:pPr>
                    <w:bidi w:val="0"/>
                    <w:jc w:val="center"/>
                    <w:rPr>
                      <w:rFonts w:hint="default" w:eastAsia="宋体"/>
                      <w:lang w:val="en-US" w:eastAsia="zh-CN"/>
                    </w:rPr>
                  </w:pPr>
                  <w:r>
                    <w:rPr>
                      <w:rFonts w:hint="eastAsia"/>
                      <w:lang w:val="en-US" w:eastAsia="zh-CN"/>
                    </w:rPr>
                    <w:t>92</w:t>
                  </w:r>
                </w:p>
              </w:tc>
              <w:tc>
                <w:tcPr>
                  <w:tcW w:w="1968" w:type="dxa"/>
                  <w:vAlign w:val="center"/>
                </w:tcPr>
                <w:p w14:paraId="576DAE27">
                  <w:pPr>
                    <w:bidi w:val="0"/>
                    <w:jc w:val="center"/>
                  </w:pPr>
                  <w:r>
                    <w:rPr>
                      <w:rFonts w:hint="eastAsia"/>
                      <w:lang w:val="en-US" w:eastAsia="zh-CN"/>
                    </w:rPr>
                    <w:t>木材加工销售</w:t>
                  </w:r>
                </w:p>
              </w:tc>
            </w:tr>
            <w:tr w14:paraId="2CF25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05663510">
                  <w:pPr>
                    <w:bidi w:val="0"/>
                    <w:jc w:val="center"/>
                    <w:rPr>
                      <w:rFonts w:hint="eastAsia" w:eastAsia="宋体"/>
                      <w:lang w:val="en-US" w:eastAsia="zh-CN"/>
                    </w:rPr>
                  </w:pPr>
                  <w:r>
                    <w:rPr>
                      <w:rFonts w:hint="eastAsia"/>
                      <w:lang w:val="en-US" w:eastAsia="zh-CN"/>
                    </w:rPr>
                    <w:t>7</w:t>
                  </w:r>
                </w:p>
              </w:tc>
              <w:tc>
                <w:tcPr>
                  <w:tcW w:w="4180" w:type="dxa"/>
                  <w:gridSpan w:val="2"/>
                  <w:vAlign w:val="center"/>
                </w:tcPr>
                <w:p w14:paraId="15548A16">
                  <w:pPr>
                    <w:bidi w:val="0"/>
                    <w:jc w:val="center"/>
                  </w:pPr>
                  <w:r>
                    <w:rPr>
                      <w:rFonts w:hint="eastAsia"/>
                    </w:rPr>
                    <w:t>四川聚泰材料有限公司</w:t>
                  </w:r>
                </w:p>
              </w:tc>
              <w:tc>
                <w:tcPr>
                  <w:tcW w:w="992" w:type="dxa"/>
                  <w:vAlign w:val="center"/>
                </w:tcPr>
                <w:p w14:paraId="41AB978C">
                  <w:pPr>
                    <w:bidi w:val="0"/>
                    <w:jc w:val="center"/>
                  </w:pPr>
                  <w:r>
                    <w:rPr>
                      <w:rFonts w:hint="eastAsia"/>
                      <w:lang w:val="en-US" w:eastAsia="zh-CN"/>
                    </w:rPr>
                    <w:t>东</w:t>
                  </w:r>
                  <w:r>
                    <w:t>侧</w:t>
                  </w:r>
                </w:p>
              </w:tc>
              <w:tc>
                <w:tcPr>
                  <w:tcW w:w="684" w:type="dxa"/>
                  <w:vAlign w:val="center"/>
                </w:tcPr>
                <w:p w14:paraId="3FDB6041">
                  <w:pPr>
                    <w:bidi w:val="0"/>
                    <w:jc w:val="center"/>
                    <w:rPr>
                      <w:rFonts w:hint="default" w:eastAsia="宋体"/>
                      <w:lang w:val="en-US" w:eastAsia="zh-CN"/>
                    </w:rPr>
                  </w:pPr>
                  <w:r>
                    <w:rPr>
                      <w:rFonts w:hint="eastAsia"/>
                      <w:lang w:val="en-US" w:eastAsia="zh-CN"/>
                    </w:rPr>
                    <w:t>260</w:t>
                  </w:r>
                </w:p>
              </w:tc>
              <w:tc>
                <w:tcPr>
                  <w:tcW w:w="1968" w:type="dxa"/>
                  <w:vAlign w:val="center"/>
                </w:tcPr>
                <w:p w14:paraId="28DDB8EA">
                  <w:pPr>
                    <w:bidi w:val="0"/>
                    <w:jc w:val="center"/>
                    <w:rPr>
                      <w:rFonts w:hint="default" w:eastAsia="宋体"/>
                      <w:lang w:val="en-US" w:eastAsia="zh-CN"/>
                    </w:rPr>
                  </w:pPr>
                  <w:r>
                    <w:rPr>
                      <w:rFonts w:hint="eastAsia"/>
                      <w:lang w:val="en-US" w:eastAsia="zh-CN"/>
                    </w:rPr>
                    <w:t>化工材料生产销售</w:t>
                  </w:r>
                </w:p>
              </w:tc>
            </w:tr>
            <w:tr w14:paraId="1B8A9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2ED6A468">
                  <w:pPr>
                    <w:bidi w:val="0"/>
                    <w:jc w:val="center"/>
                    <w:rPr>
                      <w:rFonts w:hint="eastAsia" w:eastAsia="宋体"/>
                      <w:lang w:val="en-US" w:eastAsia="zh-CN"/>
                    </w:rPr>
                  </w:pPr>
                  <w:r>
                    <w:rPr>
                      <w:rFonts w:hint="eastAsia"/>
                      <w:lang w:val="en-US" w:eastAsia="zh-CN"/>
                    </w:rPr>
                    <w:t>8</w:t>
                  </w:r>
                </w:p>
              </w:tc>
              <w:tc>
                <w:tcPr>
                  <w:tcW w:w="4180" w:type="dxa"/>
                  <w:gridSpan w:val="2"/>
                  <w:vAlign w:val="center"/>
                </w:tcPr>
                <w:p w14:paraId="2F77314F">
                  <w:pPr>
                    <w:bidi w:val="0"/>
                    <w:jc w:val="center"/>
                    <w:rPr>
                      <w:rFonts w:hint="default" w:eastAsia="宋体"/>
                      <w:lang w:val="en-US" w:eastAsia="zh-CN"/>
                    </w:rPr>
                  </w:pPr>
                  <w:r>
                    <w:rPr>
                      <w:rFonts w:hint="eastAsia"/>
                      <w:lang w:val="en-US" w:eastAsia="zh-CN"/>
                    </w:rPr>
                    <w:t>四川龙尚木业</w:t>
                  </w:r>
                </w:p>
              </w:tc>
              <w:tc>
                <w:tcPr>
                  <w:tcW w:w="992" w:type="dxa"/>
                  <w:vAlign w:val="center"/>
                </w:tcPr>
                <w:p w14:paraId="231BBC52">
                  <w:pPr>
                    <w:bidi w:val="0"/>
                    <w:jc w:val="center"/>
                  </w:pPr>
                  <w:r>
                    <w:t>西北侧</w:t>
                  </w:r>
                </w:p>
              </w:tc>
              <w:tc>
                <w:tcPr>
                  <w:tcW w:w="684" w:type="dxa"/>
                  <w:vAlign w:val="center"/>
                </w:tcPr>
                <w:p w14:paraId="105C8A37">
                  <w:pPr>
                    <w:bidi w:val="0"/>
                    <w:jc w:val="center"/>
                    <w:rPr>
                      <w:rFonts w:hint="default" w:eastAsia="宋体"/>
                      <w:lang w:val="en-US" w:eastAsia="zh-CN"/>
                    </w:rPr>
                  </w:pPr>
                  <w:r>
                    <w:rPr>
                      <w:rFonts w:hint="eastAsia"/>
                      <w:lang w:val="en-US" w:eastAsia="zh-CN"/>
                    </w:rPr>
                    <w:t>56</w:t>
                  </w:r>
                </w:p>
              </w:tc>
              <w:tc>
                <w:tcPr>
                  <w:tcW w:w="1968" w:type="dxa"/>
                  <w:vAlign w:val="center"/>
                </w:tcPr>
                <w:p w14:paraId="2D0CB7F9">
                  <w:pPr>
                    <w:bidi w:val="0"/>
                    <w:jc w:val="center"/>
                  </w:pPr>
                  <w:r>
                    <w:rPr>
                      <w:rFonts w:hint="eastAsia"/>
                      <w:lang w:val="en-US" w:eastAsia="zh-CN"/>
                    </w:rPr>
                    <w:t>木材加工销售</w:t>
                  </w:r>
                </w:p>
              </w:tc>
            </w:tr>
            <w:tr w14:paraId="739BC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0C43F02E">
                  <w:pPr>
                    <w:bidi w:val="0"/>
                    <w:jc w:val="center"/>
                    <w:rPr>
                      <w:rFonts w:hint="eastAsia" w:eastAsia="宋体"/>
                      <w:lang w:val="en-US" w:eastAsia="zh-CN"/>
                    </w:rPr>
                  </w:pPr>
                  <w:r>
                    <w:rPr>
                      <w:rFonts w:hint="eastAsia"/>
                      <w:lang w:val="en-US" w:eastAsia="zh-CN"/>
                    </w:rPr>
                    <w:t>9</w:t>
                  </w:r>
                </w:p>
              </w:tc>
              <w:tc>
                <w:tcPr>
                  <w:tcW w:w="4180" w:type="dxa"/>
                  <w:gridSpan w:val="2"/>
                  <w:vAlign w:val="center"/>
                </w:tcPr>
                <w:p w14:paraId="5877255F">
                  <w:pPr>
                    <w:bidi w:val="0"/>
                    <w:jc w:val="center"/>
                    <w:rPr>
                      <w:rFonts w:hint="default" w:eastAsia="宋体"/>
                      <w:lang w:val="en-US" w:eastAsia="zh-CN"/>
                    </w:rPr>
                  </w:pPr>
                  <w:r>
                    <w:rPr>
                      <w:rFonts w:hint="eastAsia"/>
                    </w:rPr>
                    <w:t>蓬溪欧范家具</w:t>
                  </w:r>
                  <w:r>
                    <w:rPr>
                      <w:rFonts w:hint="eastAsia"/>
                      <w:lang w:val="en-US" w:eastAsia="zh-CN"/>
                    </w:rPr>
                    <w:t>有限公司</w:t>
                  </w:r>
                </w:p>
              </w:tc>
              <w:tc>
                <w:tcPr>
                  <w:tcW w:w="992" w:type="dxa"/>
                  <w:vAlign w:val="center"/>
                </w:tcPr>
                <w:p w14:paraId="5F07A917">
                  <w:pPr>
                    <w:bidi w:val="0"/>
                    <w:jc w:val="center"/>
                  </w:pPr>
                  <w:r>
                    <w:t>西北侧</w:t>
                  </w:r>
                </w:p>
              </w:tc>
              <w:tc>
                <w:tcPr>
                  <w:tcW w:w="684" w:type="dxa"/>
                  <w:vAlign w:val="center"/>
                </w:tcPr>
                <w:p w14:paraId="165D4700">
                  <w:pPr>
                    <w:bidi w:val="0"/>
                    <w:jc w:val="center"/>
                    <w:rPr>
                      <w:rFonts w:hint="default" w:eastAsia="宋体"/>
                      <w:lang w:val="en-US" w:eastAsia="zh-CN"/>
                    </w:rPr>
                  </w:pPr>
                  <w:r>
                    <w:rPr>
                      <w:rFonts w:hint="eastAsia"/>
                      <w:lang w:val="en-US" w:eastAsia="zh-CN"/>
                    </w:rPr>
                    <w:t>265</w:t>
                  </w:r>
                </w:p>
              </w:tc>
              <w:tc>
                <w:tcPr>
                  <w:tcW w:w="1968" w:type="dxa"/>
                  <w:vAlign w:val="center"/>
                </w:tcPr>
                <w:p w14:paraId="48B31DD1">
                  <w:pPr>
                    <w:bidi w:val="0"/>
                    <w:jc w:val="center"/>
                  </w:pPr>
                  <w:r>
                    <w:rPr>
                      <w:rFonts w:hint="eastAsia"/>
                      <w:lang w:val="en-US" w:eastAsia="zh-CN"/>
                    </w:rPr>
                    <w:t>家具加工销售</w:t>
                  </w:r>
                </w:p>
              </w:tc>
            </w:tr>
            <w:tr w14:paraId="28537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667243F4">
                  <w:pPr>
                    <w:bidi w:val="0"/>
                    <w:jc w:val="center"/>
                    <w:rPr>
                      <w:rFonts w:hint="default" w:eastAsia="宋体"/>
                      <w:lang w:val="en-US" w:eastAsia="zh-CN"/>
                    </w:rPr>
                  </w:pPr>
                  <w:r>
                    <w:rPr>
                      <w:rFonts w:hint="eastAsia"/>
                      <w:lang w:val="en-US" w:eastAsia="zh-CN"/>
                    </w:rPr>
                    <w:t>10</w:t>
                  </w:r>
                </w:p>
              </w:tc>
              <w:tc>
                <w:tcPr>
                  <w:tcW w:w="4180" w:type="dxa"/>
                  <w:gridSpan w:val="2"/>
                  <w:vAlign w:val="center"/>
                </w:tcPr>
                <w:p w14:paraId="6D6FADB4">
                  <w:pPr>
                    <w:bidi w:val="0"/>
                    <w:jc w:val="center"/>
                  </w:pPr>
                  <w:r>
                    <w:rPr>
                      <w:rFonts w:hint="eastAsia"/>
                    </w:rPr>
                    <w:t>蓬溪鑫和家具产业园</w:t>
                  </w:r>
                </w:p>
              </w:tc>
              <w:tc>
                <w:tcPr>
                  <w:tcW w:w="992" w:type="dxa"/>
                  <w:vAlign w:val="center"/>
                </w:tcPr>
                <w:p w14:paraId="7F35A504">
                  <w:pPr>
                    <w:bidi w:val="0"/>
                    <w:jc w:val="center"/>
                  </w:pPr>
                  <w:r>
                    <w:rPr>
                      <w:rFonts w:hint="eastAsia"/>
                      <w:lang w:val="en-US" w:eastAsia="zh-CN"/>
                    </w:rPr>
                    <w:t>西</w:t>
                  </w:r>
                  <w:r>
                    <w:rPr>
                      <w:rFonts w:hint="eastAsia"/>
                    </w:rPr>
                    <w:t>侧</w:t>
                  </w:r>
                </w:p>
              </w:tc>
              <w:tc>
                <w:tcPr>
                  <w:tcW w:w="684" w:type="dxa"/>
                  <w:vAlign w:val="center"/>
                </w:tcPr>
                <w:p w14:paraId="4878CB46">
                  <w:pPr>
                    <w:bidi w:val="0"/>
                    <w:jc w:val="center"/>
                    <w:rPr>
                      <w:rFonts w:hint="default" w:eastAsia="宋体"/>
                      <w:lang w:val="en-US" w:eastAsia="zh-CN"/>
                    </w:rPr>
                  </w:pPr>
                  <w:r>
                    <w:rPr>
                      <w:rFonts w:hint="eastAsia"/>
                      <w:lang w:val="en-US" w:eastAsia="zh-CN"/>
                    </w:rPr>
                    <w:t>56</w:t>
                  </w:r>
                </w:p>
              </w:tc>
              <w:tc>
                <w:tcPr>
                  <w:tcW w:w="1968" w:type="dxa"/>
                  <w:vAlign w:val="center"/>
                </w:tcPr>
                <w:p w14:paraId="7CD57E15">
                  <w:pPr>
                    <w:bidi w:val="0"/>
                    <w:jc w:val="center"/>
                    <w:rPr>
                      <w:rFonts w:hint="default" w:eastAsia="宋体"/>
                      <w:lang w:val="en-US" w:eastAsia="zh-CN"/>
                    </w:rPr>
                  </w:pPr>
                  <w:r>
                    <w:rPr>
                      <w:rFonts w:hint="eastAsia"/>
                      <w:lang w:val="en-US" w:eastAsia="zh-CN"/>
                    </w:rPr>
                    <w:t>产业园管理</w:t>
                  </w:r>
                </w:p>
              </w:tc>
            </w:tr>
            <w:tr w14:paraId="163D7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5605910B">
                  <w:pPr>
                    <w:bidi w:val="0"/>
                    <w:jc w:val="center"/>
                    <w:rPr>
                      <w:rFonts w:hint="default"/>
                      <w:lang w:val="en-US" w:eastAsia="zh-CN"/>
                    </w:rPr>
                  </w:pPr>
                  <w:r>
                    <w:rPr>
                      <w:rFonts w:hint="eastAsia"/>
                      <w:lang w:val="en-US" w:eastAsia="zh-CN"/>
                    </w:rPr>
                    <w:t>11</w:t>
                  </w:r>
                </w:p>
              </w:tc>
              <w:tc>
                <w:tcPr>
                  <w:tcW w:w="4180" w:type="dxa"/>
                  <w:gridSpan w:val="2"/>
                  <w:vAlign w:val="center"/>
                </w:tcPr>
                <w:p w14:paraId="1A088950">
                  <w:pPr>
                    <w:bidi w:val="0"/>
                    <w:jc w:val="center"/>
                    <w:rPr>
                      <w:rFonts w:hint="default" w:eastAsia="宋体"/>
                      <w:lang w:val="en-US" w:eastAsia="zh-CN"/>
                    </w:rPr>
                  </w:pPr>
                  <w:r>
                    <w:rPr>
                      <w:rFonts w:hint="eastAsia"/>
                      <w:lang w:val="en-US" w:eastAsia="zh-CN"/>
                    </w:rPr>
                    <w:t>西华安置小区</w:t>
                  </w:r>
                </w:p>
              </w:tc>
              <w:tc>
                <w:tcPr>
                  <w:tcW w:w="992" w:type="dxa"/>
                  <w:vAlign w:val="center"/>
                </w:tcPr>
                <w:p w14:paraId="58D047B3">
                  <w:pPr>
                    <w:bidi w:val="0"/>
                    <w:jc w:val="center"/>
                    <w:rPr>
                      <w:rFonts w:hint="default"/>
                      <w:lang w:val="en-US" w:eastAsia="zh-CN"/>
                    </w:rPr>
                  </w:pPr>
                  <w:r>
                    <w:rPr>
                      <w:rFonts w:hint="eastAsia"/>
                      <w:lang w:val="en-US" w:eastAsia="zh-CN"/>
                    </w:rPr>
                    <w:t>西南侧</w:t>
                  </w:r>
                </w:p>
              </w:tc>
              <w:tc>
                <w:tcPr>
                  <w:tcW w:w="684" w:type="dxa"/>
                  <w:vAlign w:val="center"/>
                </w:tcPr>
                <w:p w14:paraId="1787AFA1">
                  <w:pPr>
                    <w:bidi w:val="0"/>
                    <w:jc w:val="center"/>
                    <w:rPr>
                      <w:rFonts w:hint="default"/>
                      <w:lang w:val="en-US" w:eastAsia="zh-CN"/>
                    </w:rPr>
                  </w:pPr>
                  <w:r>
                    <w:rPr>
                      <w:rFonts w:hint="eastAsia"/>
                      <w:lang w:val="en-US" w:eastAsia="zh-CN"/>
                    </w:rPr>
                    <w:t>275</w:t>
                  </w:r>
                </w:p>
              </w:tc>
              <w:tc>
                <w:tcPr>
                  <w:tcW w:w="1968" w:type="dxa"/>
                  <w:vAlign w:val="center"/>
                </w:tcPr>
                <w:p w14:paraId="25ABF7DA">
                  <w:pPr>
                    <w:bidi w:val="0"/>
                    <w:jc w:val="center"/>
                    <w:rPr>
                      <w:rFonts w:hint="default"/>
                      <w:lang w:val="en-US" w:eastAsia="zh-CN"/>
                    </w:rPr>
                  </w:pPr>
                  <w:r>
                    <w:rPr>
                      <w:rFonts w:hint="eastAsia"/>
                      <w:lang w:val="en-US" w:eastAsia="zh-CN"/>
                    </w:rPr>
                    <w:t>住宅</w:t>
                  </w:r>
                </w:p>
              </w:tc>
            </w:tr>
            <w:tr w14:paraId="1F8B3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5B72C412">
                  <w:pPr>
                    <w:bidi w:val="0"/>
                    <w:jc w:val="center"/>
                    <w:rPr>
                      <w:rFonts w:hint="default"/>
                      <w:lang w:val="en-US" w:eastAsia="zh-CN"/>
                    </w:rPr>
                  </w:pPr>
                  <w:r>
                    <w:rPr>
                      <w:rFonts w:hint="eastAsia"/>
                      <w:lang w:val="en-US" w:eastAsia="zh-CN"/>
                    </w:rPr>
                    <w:t>12</w:t>
                  </w:r>
                </w:p>
              </w:tc>
              <w:tc>
                <w:tcPr>
                  <w:tcW w:w="4180" w:type="dxa"/>
                  <w:gridSpan w:val="2"/>
                  <w:vAlign w:val="center"/>
                </w:tcPr>
                <w:p w14:paraId="29A79E10">
                  <w:pPr>
                    <w:bidi w:val="0"/>
                    <w:jc w:val="center"/>
                    <w:rPr>
                      <w:rFonts w:hint="eastAsia"/>
                    </w:rPr>
                  </w:pPr>
                  <w:r>
                    <w:rPr>
                      <w:rFonts w:hint="eastAsia"/>
                    </w:rPr>
                    <w:t>四川省川中线缆有限公司</w:t>
                  </w:r>
                </w:p>
              </w:tc>
              <w:tc>
                <w:tcPr>
                  <w:tcW w:w="992" w:type="dxa"/>
                  <w:vAlign w:val="center"/>
                </w:tcPr>
                <w:p w14:paraId="6D429238">
                  <w:pPr>
                    <w:bidi w:val="0"/>
                    <w:jc w:val="center"/>
                    <w:rPr>
                      <w:rFonts w:hint="default"/>
                      <w:lang w:val="en-US" w:eastAsia="zh-CN"/>
                    </w:rPr>
                  </w:pPr>
                  <w:r>
                    <w:rPr>
                      <w:rFonts w:hint="eastAsia"/>
                      <w:lang w:val="en-US" w:eastAsia="zh-CN"/>
                    </w:rPr>
                    <w:t>南侧</w:t>
                  </w:r>
                </w:p>
              </w:tc>
              <w:tc>
                <w:tcPr>
                  <w:tcW w:w="684" w:type="dxa"/>
                  <w:vAlign w:val="center"/>
                </w:tcPr>
                <w:p w14:paraId="1E2C4F27">
                  <w:pPr>
                    <w:bidi w:val="0"/>
                    <w:jc w:val="center"/>
                    <w:rPr>
                      <w:rFonts w:hint="default"/>
                      <w:lang w:val="en-US" w:eastAsia="zh-CN"/>
                    </w:rPr>
                  </w:pPr>
                  <w:r>
                    <w:rPr>
                      <w:rFonts w:hint="eastAsia"/>
                      <w:lang w:val="en-US" w:eastAsia="zh-CN"/>
                    </w:rPr>
                    <w:t>265</w:t>
                  </w:r>
                </w:p>
              </w:tc>
              <w:tc>
                <w:tcPr>
                  <w:tcW w:w="1968" w:type="dxa"/>
                  <w:vAlign w:val="center"/>
                </w:tcPr>
                <w:p w14:paraId="0DB73676">
                  <w:pPr>
                    <w:bidi w:val="0"/>
                    <w:jc w:val="center"/>
                    <w:rPr>
                      <w:rFonts w:hint="default"/>
                      <w:lang w:val="en-US" w:eastAsia="zh-CN"/>
                    </w:rPr>
                  </w:pPr>
                  <w:r>
                    <w:rPr>
                      <w:rFonts w:hint="eastAsia"/>
                      <w:lang w:val="en-US" w:eastAsia="zh-CN"/>
                    </w:rPr>
                    <w:t>线缆加工销售</w:t>
                  </w:r>
                </w:p>
              </w:tc>
            </w:tr>
            <w:tr w14:paraId="6E180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39B859AF">
                  <w:pPr>
                    <w:bidi w:val="0"/>
                    <w:jc w:val="center"/>
                    <w:rPr>
                      <w:rFonts w:hint="default"/>
                      <w:lang w:val="en-US" w:eastAsia="zh-CN"/>
                    </w:rPr>
                  </w:pPr>
                  <w:r>
                    <w:rPr>
                      <w:rFonts w:hint="eastAsia"/>
                      <w:lang w:val="en-US" w:eastAsia="zh-CN"/>
                    </w:rPr>
                    <w:t>13</w:t>
                  </w:r>
                </w:p>
              </w:tc>
              <w:tc>
                <w:tcPr>
                  <w:tcW w:w="4180" w:type="dxa"/>
                  <w:gridSpan w:val="2"/>
                  <w:vAlign w:val="center"/>
                </w:tcPr>
                <w:p w14:paraId="5A055CF5">
                  <w:pPr>
                    <w:bidi w:val="0"/>
                    <w:jc w:val="center"/>
                    <w:rPr>
                      <w:rFonts w:hint="default" w:eastAsia="宋体"/>
                      <w:lang w:val="en-US" w:eastAsia="zh-CN"/>
                    </w:rPr>
                  </w:pPr>
                  <w:r>
                    <w:rPr>
                      <w:rFonts w:hint="eastAsia"/>
                      <w:lang w:val="en-US" w:eastAsia="zh-CN"/>
                    </w:rPr>
                    <w:t>川和电缆厂</w:t>
                  </w:r>
                </w:p>
              </w:tc>
              <w:tc>
                <w:tcPr>
                  <w:tcW w:w="992" w:type="dxa"/>
                  <w:vAlign w:val="center"/>
                </w:tcPr>
                <w:p w14:paraId="427D9BF9">
                  <w:pPr>
                    <w:bidi w:val="0"/>
                    <w:jc w:val="center"/>
                    <w:rPr>
                      <w:rFonts w:hint="eastAsia"/>
                      <w:lang w:val="en-US" w:eastAsia="zh-CN"/>
                    </w:rPr>
                  </w:pPr>
                  <w:r>
                    <w:rPr>
                      <w:rFonts w:hint="eastAsia"/>
                      <w:lang w:val="en-US" w:eastAsia="zh-CN"/>
                    </w:rPr>
                    <w:t>南侧</w:t>
                  </w:r>
                </w:p>
              </w:tc>
              <w:tc>
                <w:tcPr>
                  <w:tcW w:w="684" w:type="dxa"/>
                  <w:vAlign w:val="center"/>
                </w:tcPr>
                <w:p w14:paraId="244AFEB9">
                  <w:pPr>
                    <w:bidi w:val="0"/>
                    <w:jc w:val="center"/>
                    <w:rPr>
                      <w:rFonts w:hint="default"/>
                      <w:lang w:val="en-US" w:eastAsia="zh-CN"/>
                    </w:rPr>
                  </w:pPr>
                  <w:r>
                    <w:rPr>
                      <w:rFonts w:hint="eastAsia"/>
                      <w:lang w:val="en-US" w:eastAsia="zh-CN"/>
                    </w:rPr>
                    <w:t>450</w:t>
                  </w:r>
                </w:p>
              </w:tc>
              <w:tc>
                <w:tcPr>
                  <w:tcW w:w="1968" w:type="dxa"/>
                  <w:vAlign w:val="center"/>
                </w:tcPr>
                <w:p w14:paraId="3688F2D2">
                  <w:pPr>
                    <w:bidi w:val="0"/>
                    <w:jc w:val="center"/>
                    <w:rPr>
                      <w:rFonts w:hint="eastAsia"/>
                      <w:lang w:val="en-US" w:eastAsia="zh-CN"/>
                    </w:rPr>
                  </w:pPr>
                  <w:r>
                    <w:rPr>
                      <w:rFonts w:hint="eastAsia"/>
                      <w:lang w:val="en-US" w:eastAsia="zh-CN"/>
                    </w:rPr>
                    <w:t>线缆加工销售</w:t>
                  </w:r>
                </w:p>
              </w:tc>
            </w:tr>
            <w:tr w14:paraId="648C2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71CE6962">
                  <w:pPr>
                    <w:bidi w:val="0"/>
                    <w:jc w:val="center"/>
                    <w:rPr>
                      <w:rFonts w:hint="default"/>
                      <w:lang w:val="en-US" w:eastAsia="zh-CN"/>
                    </w:rPr>
                  </w:pPr>
                  <w:r>
                    <w:rPr>
                      <w:rFonts w:hint="eastAsia"/>
                      <w:lang w:val="en-US" w:eastAsia="zh-CN"/>
                    </w:rPr>
                    <w:t>14</w:t>
                  </w:r>
                </w:p>
              </w:tc>
              <w:tc>
                <w:tcPr>
                  <w:tcW w:w="4180" w:type="dxa"/>
                  <w:gridSpan w:val="2"/>
                  <w:vAlign w:val="center"/>
                </w:tcPr>
                <w:p w14:paraId="045B881E">
                  <w:pPr>
                    <w:bidi w:val="0"/>
                    <w:jc w:val="center"/>
                    <w:rPr>
                      <w:rFonts w:hint="default"/>
                      <w:lang w:val="en-US" w:eastAsia="zh-CN"/>
                    </w:rPr>
                  </w:pPr>
                  <w:r>
                    <w:rPr>
                      <w:rFonts w:hint="eastAsia"/>
                      <w:lang w:val="en-US" w:eastAsia="zh-CN"/>
                    </w:rPr>
                    <w:t>淅川电缆</w:t>
                  </w:r>
                </w:p>
              </w:tc>
              <w:tc>
                <w:tcPr>
                  <w:tcW w:w="992" w:type="dxa"/>
                  <w:vAlign w:val="center"/>
                </w:tcPr>
                <w:p w14:paraId="2B9B9BF8">
                  <w:pPr>
                    <w:bidi w:val="0"/>
                    <w:jc w:val="center"/>
                    <w:rPr>
                      <w:rFonts w:hint="eastAsia"/>
                      <w:lang w:val="en-US" w:eastAsia="zh-CN"/>
                    </w:rPr>
                  </w:pPr>
                  <w:r>
                    <w:t>西北侧</w:t>
                  </w:r>
                </w:p>
              </w:tc>
              <w:tc>
                <w:tcPr>
                  <w:tcW w:w="684" w:type="dxa"/>
                  <w:vAlign w:val="center"/>
                </w:tcPr>
                <w:p w14:paraId="23A3F58E">
                  <w:pPr>
                    <w:bidi w:val="0"/>
                    <w:jc w:val="center"/>
                    <w:rPr>
                      <w:rFonts w:hint="default"/>
                      <w:lang w:val="en-US" w:eastAsia="zh-CN"/>
                    </w:rPr>
                  </w:pPr>
                  <w:r>
                    <w:rPr>
                      <w:rFonts w:hint="eastAsia"/>
                      <w:lang w:val="en-US" w:eastAsia="zh-CN"/>
                    </w:rPr>
                    <w:t>180</w:t>
                  </w:r>
                </w:p>
              </w:tc>
              <w:tc>
                <w:tcPr>
                  <w:tcW w:w="1968" w:type="dxa"/>
                  <w:vAlign w:val="center"/>
                </w:tcPr>
                <w:p w14:paraId="27D9C29D">
                  <w:pPr>
                    <w:bidi w:val="0"/>
                    <w:jc w:val="center"/>
                    <w:rPr>
                      <w:rFonts w:hint="eastAsia"/>
                      <w:lang w:val="en-US" w:eastAsia="zh-CN"/>
                    </w:rPr>
                  </w:pPr>
                  <w:r>
                    <w:rPr>
                      <w:rFonts w:hint="eastAsia"/>
                      <w:lang w:val="en-US" w:eastAsia="zh-CN"/>
                    </w:rPr>
                    <w:t>线缆加工销售</w:t>
                  </w:r>
                </w:p>
              </w:tc>
            </w:tr>
            <w:tr w14:paraId="0F17F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184EA7C7">
                  <w:pPr>
                    <w:bidi w:val="0"/>
                    <w:jc w:val="center"/>
                    <w:rPr>
                      <w:rFonts w:hint="default"/>
                      <w:lang w:val="en-US" w:eastAsia="zh-CN"/>
                    </w:rPr>
                  </w:pPr>
                  <w:r>
                    <w:rPr>
                      <w:rFonts w:hint="eastAsia"/>
                      <w:lang w:val="en-US" w:eastAsia="zh-CN"/>
                    </w:rPr>
                    <w:t>15</w:t>
                  </w:r>
                </w:p>
              </w:tc>
              <w:tc>
                <w:tcPr>
                  <w:tcW w:w="4180" w:type="dxa"/>
                  <w:gridSpan w:val="2"/>
                  <w:vAlign w:val="center"/>
                </w:tcPr>
                <w:p w14:paraId="04497605">
                  <w:pPr>
                    <w:bidi w:val="0"/>
                    <w:jc w:val="center"/>
                    <w:rPr>
                      <w:rFonts w:hint="default"/>
                      <w:lang w:val="en-US" w:eastAsia="zh-CN"/>
                    </w:rPr>
                  </w:pPr>
                  <w:r>
                    <w:rPr>
                      <w:rFonts w:hint="eastAsia"/>
                      <w:lang w:val="en-US" w:eastAsia="zh-CN"/>
                    </w:rPr>
                    <w:t>兴川电缆</w:t>
                  </w:r>
                </w:p>
              </w:tc>
              <w:tc>
                <w:tcPr>
                  <w:tcW w:w="992" w:type="dxa"/>
                  <w:vAlign w:val="center"/>
                </w:tcPr>
                <w:p w14:paraId="0447F54E">
                  <w:pPr>
                    <w:bidi w:val="0"/>
                    <w:jc w:val="center"/>
                    <w:rPr>
                      <w:rFonts w:hint="eastAsia"/>
                      <w:lang w:val="en-US" w:eastAsia="zh-CN"/>
                    </w:rPr>
                  </w:pPr>
                  <w:r>
                    <w:t>西北侧</w:t>
                  </w:r>
                </w:p>
              </w:tc>
              <w:tc>
                <w:tcPr>
                  <w:tcW w:w="684" w:type="dxa"/>
                  <w:vAlign w:val="center"/>
                </w:tcPr>
                <w:p w14:paraId="35626EFE">
                  <w:pPr>
                    <w:bidi w:val="0"/>
                    <w:jc w:val="center"/>
                    <w:rPr>
                      <w:rFonts w:hint="default"/>
                      <w:lang w:val="en-US" w:eastAsia="zh-CN"/>
                    </w:rPr>
                  </w:pPr>
                  <w:r>
                    <w:rPr>
                      <w:rFonts w:hint="eastAsia"/>
                      <w:lang w:val="en-US" w:eastAsia="zh-CN"/>
                    </w:rPr>
                    <w:t>270</w:t>
                  </w:r>
                </w:p>
              </w:tc>
              <w:tc>
                <w:tcPr>
                  <w:tcW w:w="1968" w:type="dxa"/>
                  <w:vAlign w:val="center"/>
                </w:tcPr>
                <w:p w14:paraId="64130DB4">
                  <w:pPr>
                    <w:bidi w:val="0"/>
                    <w:jc w:val="center"/>
                    <w:rPr>
                      <w:rFonts w:hint="eastAsia"/>
                      <w:lang w:val="en-US" w:eastAsia="zh-CN"/>
                    </w:rPr>
                  </w:pPr>
                  <w:r>
                    <w:rPr>
                      <w:rFonts w:hint="eastAsia"/>
                      <w:lang w:val="en-US" w:eastAsia="zh-CN"/>
                    </w:rPr>
                    <w:t>线缆加工销售</w:t>
                  </w:r>
                </w:p>
              </w:tc>
            </w:tr>
            <w:tr w14:paraId="1E28A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vAlign w:val="center"/>
                </w:tcPr>
                <w:p w14:paraId="2DE64A78">
                  <w:pPr>
                    <w:bidi w:val="0"/>
                    <w:jc w:val="center"/>
                    <w:rPr>
                      <w:rFonts w:hint="default"/>
                      <w:lang w:val="en-US" w:eastAsia="zh-CN"/>
                    </w:rPr>
                  </w:pPr>
                  <w:r>
                    <w:rPr>
                      <w:rFonts w:hint="eastAsia"/>
                      <w:lang w:val="en-US" w:eastAsia="zh-CN"/>
                    </w:rPr>
                    <w:t>16</w:t>
                  </w:r>
                </w:p>
              </w:tc>
              <w:tc>
                <w:tcPr>
                  <w:tcW w:w="4180" w:type="dxa"/>
                  <w:gridSpan w:val="2"/>
                  <w:vAlign w:val="center"/>
                </w:tcPr>
                <w:p w14:paraId="7FB61DCD">
                  <w:pPr>
                    <w:bidi w:val="0"/>
                    <w:jc w:val="center"/>
                    <w:rPr>
                      <w:rFonts w:hint="default"/>
                      <w:lang w:val="en-US" w:eastAsia="zh-CN"/>
                    </w:rPr>
                  </w:pPr>
                  <w:r>
                    <w:rPr>
                      <w:rFonts w:hint="eastAsia"/>
                      <w:lang w:val="en-US" w:eastAsia="zh-CN"/>
                    </w:rPr>
                    <w:t>欧能电缆</w:t>
                  </w:r>
                </w:p>
              </w:tc>
              <w:tc>
                <w:tcPr>
                  <w:tcW w:w="992" w:type="dxa"/>
                  <w:vAlign w:val="center"/>
                </w:tcPr>
                <w:p w14:paraId="111B5148">
                  <w:pPr>
                    <w:bidi w:val="0"/>
                    <w:jc w:val="center"/>
                    <w:rPr>
                      <w:rFonts w:hint="eastAsia"/>
                      <w:lang w:val="en-US" w:eastAsia="zh-CN"/>
                    </w:rPr>
                  </w:pPr>
                  <w:r>
                    <w:t>西北侧</w:t>
                  </w:r>
                </w:p>
              </w:tc>
              <w:tc>
                <w:tcPr>
                  <w:tcW w:w="684" w:type="dxa"/>
                  <w:vAlign w:val="center"/>
                </w:tcPr>
                <w:p w14:paraId="1D678B94">
                  <w:pPr>
                    <w:bidi w:val="0"/>
                    <w:jc w:val="center"/>
                    <w:rPr>
                      <w:rFonts w:hint="default"/>
                      <w:lang w:val="en-US" w:eastAsia="zh-CN"/>
                    </w:rPr>
                  </w:pPr>
                  <w:r>
                    <w:rPr>
                      <w:rFonts w:hint="eastAsia"/>
                      <w:lang w:val="en-US" w:eastAsia="zh-CN"/>
                    </w:rPr>
                    <w:t>380</w:t>
                  </w:r>
                </w:p>
              </w:tc>
              <w:tc>
                <w:tcPr>
                  <w:tcW w:w="1968" w:type="dxa"/>
                  <w:vAlign w:val="center"/>
                </w:tcPr>
                <w:p w14:paraId="71028F36">
                  <w:pPr>
                    <w:bidi w:val="0"/>
                    <w:jc w:val="center"/>
                    <w:rPr>
                      <w:rFonts w:hint="eastAsia"/>
                      <w:lang w:val="en-US" w:eastAsia="zh-CN"/>
                    </w:rPr>
                  </w:pPr>
                  <w:r>
                    <w:rPr>
                      <w:rFonts w:hint="eastAsia"/>
                      <w:lang w:val="en-US" w:eastAsia="zh-CN"/>
                    </w:rPr>
                    <w:t>线缆加工销售</w:t>
                  </w:r>
                </w:p>
              </w:tc>
            </w:tr>
          </w:tbl>
          <w:p w14:paraId="5E341875">
            <w:pPr>
              <w:numPr>
                <w:ilvl w:val="0"/>
                <w:numId w:val="0"/>
              </w:numPr>
              <w:bidi w:val="0"/>
              <w:spacing w:line="360" w:lineRule="auto"/>
              <w:ind w:firstLine="422" w:firstLineChars="200"/>
              <w:rPr>
                <w:rFonts w:hint="default"/>
                <w:b/>
                <w:bCs/>
                <w:lang w:val="en-US" w:eastAsia="zh-CN"/>
              </w:rPr>
            </w:pPr>
            <w:r>
              <w:rPr>
                <w:rFonts w:hint="eastAsia"/>
                <w:b/>
                <w:bCs/>
                <w:lang w:val="en-US" w:eastAsia="zh-CN"/>
              </w:rPr>
              <w:t>注：方位距离以喷涂车间为参照物。</w:t>
            </w:r>
          </w:p>
          <w:p w14:paraId="5BA1B198">
            <w:pPr>
              <w:numPr>
                <w:ilvl w:val="0"/>
                <w:numId w:val="0"/>
              </w:numPr>
              <w:bidi w:val="0"/>
              <w:spacing w:line="360" w:lineRule="auto"/>
              <w:ind w:firstLine="420" w:firstLineChars="200"/>
              <w:rPr>
                <w:rFonts w:hint="default"/>
              </w:rPr>
            </w:pPr>
            <w:r>
              <w:rPr>
                <w:rFonts w:hint="eastAsia"/>
                <w:lang w:val="en-US" w:eastAsia="zh-CN"/>
              </w:rPr>
              <w:t>1、</w:t>
            </w:r>
            <w:r>
              <w:rPr>
                <w:rFonts w:hint="default"/>
              </w:rPr>
              <w:t>本项目位于蓬溪县上游工业园</w:t>
            </w:r>
            <w:r>
              <w:rPr>
                <w:rFonts w:hint="eastAsia"/>
                <w:lang w:eastAsia="zh-CN"/>
              </w:rPr>
              <w:t>园</w:t>
            </w:r>
            <w:r>
              <w:rPr>
                <w:rFonts w:hint="default"/>
              </w:rPr>
              <w:t>区</w:t>
            </w:r>
            <w:r>
              <w:rPr>
                <w:rFonts w:hint="eastAsia"/>
                <w:lang w:eastAsia="zh-CN"/>
              </w:rPr>
              <w:t>内</w:t>
            </w:r>
            <w:r>
              <w:rPr>
                <w:rFonts w:hint="default"/>
              </w:rPr>
              <w:t>，</w:t>
            </w:r>
            <w:r>
              <w:rPr>
                <w:rFonts w:hint="eastAsia"/>
                <w:lang w:eastAsia="zh-CN"/>
              </w:rPr>
              <w:t>租赁</w:t>
            </w:r>
            <w:r>
              <w:rPr>
                <w:rFonts w:hint="eastAsia" w:ascii="Times New Roman" w:hAnsi="Times New Roman"/>
                <w:sz w:val="21"/>
                <w:szCs w:val="21"/>
                <w:lang w:val="en-US" w:eastAsia="zh-CN"/>
              </w:rPr>
              <w:t>四川万象壹品门业</w:t>
            </w:r>
            <w:r>
              <w:rPr>
                <w:rFonts w:hint="eastAsia"/>
                <w:lang w:eastAsia="zh-CN"/>
              </w:rPr>
              <w:t>有限公司既有厂房建设</w:t>
            </w:r>
            <w:r>
              <w:rPr>
                <w:rFonts w:hint="default"/>
              </w:rPr>
              <w:t>。</w:t>
            </w:r>
          </w:p>
          <w:p w14:paraId="2B147CD3">
            <w:pPr>
              <w:numPr>
                <w:ilvl w:val="0"/>
                <w:numId w:val="0"/>
              </w:numPr>
              <w:bidi w:val="0"/>
              <w:spacing w:line="360" w:lineRule="auto"/>
              <w:ind w:firstLine="420" w:firstLineChars="200"/>
              <w:rPr>
                <w:rFonts w:hint="default"/>
              </w:rPr>
            </w:pPr>
            <w:r>
              <w:rPr>
                <w:rFonts w:hint="eastAsia"/>
                <w:lang w:val="en-US" w:eastAsia="zh-CN"/>
              </w:rPr>
              <w:t>2、</w:t>
            </w:r>
            <w:r>
              <w:t>根据现场踏勘，</w:t>
            </w:r>
            <w:r>
              <w:rPr>
                <w:rFonts w:hint="eastAsia" w:ascii="Times New Roman" w:hAnsi="Times New Roman"/>
                <w:sz w:val="21"/>
                <w:szCs w:val="21"/>
                <w:lang w:val="en-US" w:eastAsia="zh-CN"/>
              </w:rPr>
              <w:t>四川万象壹品门业</w:t>
            </w:r>
            <w:r>
              <w:rPr>
                <w:rFonts w:hint="eastAsia"/>
                <w:lang w:val="en-US" w:eastAsia="zh-CN"/>
              </w:rPr>
              <w:t>厂房内：</w:t>
            </w:r>
            <w:r>
              <w:rPr>
                <w:rFonts w:hint="default"/>
              </w:rPr>
              <w:t>项目</w:t>
            </w:r>
            <w:r>
              <w:rPr>
                <w:rFonts w:hint="eastAsia"/>
                <w:lang w:eastAsia="zh-CN"/>
              </w:rPr>
              <w:t>北侧</w:t>
            </w:r>
            <w:r>
              <w:rPr>
                <w:rFonts w:hint="eastAsia"/>
                <w:lang w:val="en-US" w:eastAsia="zh-CN"/>
              </w:rPr>
              <w:t>紧邻</w:t>
            </w:r>
            <w:r>
              <w:rPr>
                <w:rFonts w:hint="eastAsia"/>
              </w:rPr>
              <w:t>四川拱市联村富泽消防科技有限公司</w:t>
            </w:r>
            <w:r>
              <w:t>，</w:t>
            </w:r>
            <w:r>
              <w:rPr>
                <w:rFonts w:hint="eastAsia"/>
                <w:lang w:val="en-US" w:eastAsia="zh-CN"/>
              </w:rPr>
              <w:t>北侧45m为四川家家喜木业有限公司，北侧75m为</w:t>
            </w:r>
            <w:r>
              <w:rPr>
                <w:rFonts w:hint="eastAsia"/>
              </w:rPr>
              <w:t>四川美悦鑫再生资源利用有限公司</w:t>
            </w:r>
            <w:r>
              <w:rPr>
                <w:rFonts w:hint="eastAsia"/>
                <w:lang w:eastAsia="zh-CN"/>
              </w:rPr>
              <w:t>，</w:t>
            </w:r>
            <w:r>
              <w:rPr>
                <w:rFonts w:hint="eastAsia"/>
                <w:lang w:val="en-US" w:eastAsia="zh-CN"/>
              </w:rPr>
              <w:t>东侧15m为遂宁彩奇印务有限公司。</w:t>
            </w:r>
            <w:r>
              <w:rPr>
                <w:rFonts w:hint="eastAsia" w:ascii="Times New Roman" w:hAnsi="Times New Roman"/>
                <w:sz w:val="21"/>
                <w:szCs w:val="21"/>
                <w:lang w:val="en-US" w:eastAsia="zh-CN"/>
              </w:rPr>
              <w:t>四川万象壹品门业</w:t>
            </w:r>
            <w:r>
              <w:rPr>
                <w:rFonts w:hint="eastAsia"/>
                <w:lang w:val="en-US" w:eastAsia="zh-CN"/>
              </w:rPr>
              <w:t>厂房外：项目</w:t>
            </w:r>
            <w:r>
              <w:t>东</w:t>
            </w:r>
            <w:r>
              <w:rPr>
                <w:rFonts w:hint="eastAsia"/>
                <w:lang w:eastAsia="zh-CN"/>
              </w:rPr>
              <w:t>北</w:t>
            </w:r>
            <w:r>
              <w:t>侧</w:t>
            </w:r>
            <w:r>
              <w:rPr>
                <w:rFonts w:hint="eastAsia"/>
                <w:lang w:val="en-US" w:eastAsia="zh-CN"/>
              </w:rPr>
              <w:t>92</w:t>
            </w:r>
            <w:r>
              <w:t>m</w:t>
            </w:r>
            <w:r>
              <w:rPr>
                <w:rFonts w:hint="eastAsia"/>
                <w:lang w:val="en-US" w:eastAsia="zh-CN"/>
              </w:rPr>
              <w:t>为</w:t>
            </w:r>
            <w:r>
              <w:rPr>
                <w:rFonts w:hint="eastAsia"/>
              </w:rPr>
              <w:t>四川欧尚家美门业有限公</w:t>
            </w:r>
            <w:r>
              <w:rPr>
                <w:rFonts w:hint="eastAsia"/>
                <w:lang w:eastAsia="zh-CN"/>
              </w:rPr>
              <w:t>司</w:t>
            </w:r>
            <w:r>
              <w:t>，</w:t>
            </w:r>
            <w:r>
              <w:rPr>
                <w:rFonts w:hint="eastAsia"/>
                <w:lang w:val="en-US" w:eastAsia="zh-CN"/>
              </w:rPr>
              <w:t>东南侧92m为</w:t>
            </w:r>
            <w:r>
              <w:rPr>
                <w:rFonts w:hint="eastAsia"/>
              </w:rPr>
              <w:t>四川乐辰木业有限公司</w:t>
            </w:r>
            <w:r>
              <w:rPr>
                <w:rFonts w:hint="eastAsia"/>
                <w:lang w:eastAsia="zh-CN"/>
              </w:rPr>
              <w:t>，</w:t>
            </w:r>
            <w:r>
              <w:rPr>
                <w:rFonts w:hint="eastAsia"/>
                <w:lang w:val="en-US" w:eastAsia="zh-CN"/>
              </w:rPr>
              <w:t>东侧260m为</w:t>
            </w:r>
            <w:r>
              <w:rPr>
                <w:rFonts w:hint="eastAsia"/>
              </w:rPr>
              <w:t>四川聚泰材料有限公司</w:t>
            </w:r>
            <w:r>
              <w:rPr>
                <w:rFonts w:hint="eastAsia"/>
                <w:lang w:eastAsia="zh-CN"/>
              </w:rPr>
              <w:t>；</w:t>
            </w:r>
            <w:r>
              <w:rPr>
                <w:rFonts w:hint="eastAsia"/>
                <w:lang w:val="en-US" w:eastAsia="zh-CN"/>
              </w:rPr>
              <w:t>项目西北侧56m为四川龙尚木业，265m为</w:t>
            </w:r>
            <w:r>
              <w:rPr>
                <w:rFonts w:hint="eastAsia"/>
              </w:rPr>
              <w:t>蓬溪欧范家具</w:t>
            </w:r>
            <w:r>
              <w:rPr>
                <w:rFonts w:hint="eastAsia"/>
                <w:lang w:val="en-US" w:eastAsia="zh-CN"/>
              </w:rPr>
              <w:t>有限公司</w:t>
            </w:r>
            <w:r>
              <w:t>，</w:t>
            </w:r>
            <w:r>
              <w:rPr>
                <w:rFonts w:hint="eastAsia"/>
                <w:lang w:val="en-US" w:eastAsia="zh-CN"/>
              </w:rPr>
              <w:t>180m为淅川电缆，270m为兴川电缆，380m为欧能电缆；项目西侧56m为</w:t>
            </w:r>
            <w:r>
              <w:rPr>
                <w:rFonts w:hint="eastAsia"/>
              </w:rPr>
              <w:t>蓬溪鑫和家具产业园</w:t>
            </w:r>
            <w:r>
              <w:rPr>
                <w:rFonts w:hint="eastAsia"/>
                <w:lang w:eastAsia="zh-CN"/>
              </w:rPr>
              <w:t>，</w:t>
            </w:r>
            <w:r>
              <w:rPr>
                <w:rFonts w:hint="eastAsia"/>
                <w:lang w:val="en-US" w:eastAsia="zh-CN"/>
              </w:rPr>
              <w:t>西南侧275m为西华安置小区；项目南侧265m为</w:t>
            </w:r>
            <w:r>
              <w:rPr>
                <w:rFonts w:hint="eastAsia"/>
              </w:rPr>
              <w:t>四川省川中线缆有限公司</w:t>
            </w:r>
            <w:r>
              <w:rPr>
                <w:rFonts w:hint="eastAsia"/>
                <w:lang w:eastAsia="zh-CN"/>
              </w:rPr>
              <w:t>，</w:t>
            </w:r>
            <w:r>
              <w:rPr>
                <w:rFonts w:hint="eastAsia"/>
                <w:lang w:val="en-US" w:eastAsia="zh-CN"/>
              </w:rPr>
              <w:t>450m为川和电缆厂。</w:t>
            </w:r>
            <w:r>
              <w:rPr>
                <w:rFonts w:hint="default"/>
              </w:rPr>
              <w:t>本项目具体外环境关系图如</w:t>
            </w:r>
            <w:r>
              <w:rPr>
                <w:rFonts w:hint="default"/>
                <w:color w:val="auto"/>
              </w:rPr>
              <w:t>附图</w:t>
            </w:r>
            <w:r>
              <w:rPr>
                <w:rFonts w:hint="eastAsia"/>
                <w:color w:val="auto"/>
                <w:lang w:val="en-US" w:eastAsia="zh-CN"/>
              </w:rPr>
              <w:t>5</w:t>
            </w:r>
            <w:r>
              <w:rPr>
                <w:rFonts w:hint="default"/>
              </w:rPr>
              <w:t>所示。</w:t>
            </w:r>
          </w:p>
          <w:p w14:paraId="50DFC1D0">
            <w:pPr>
              <w:numPr>
                <w:ilvl w:val="0"/>
                <w:numId w:val="0"/>
              </w:numPr>
              <w:bidi w:val="0"/>
              <w:spacing w:line="360" w:lineRule="auto"/>
              <w:ind w:firstLine="420" w:firstLineChars="200"/>
              <w:rPr>
                <w:rFonts w:hint="default"/>
              </w:rPr>
            </w:pPr>
            <w:r>
              <w:rPr>
                <w:rFonts w:hint="eastAsia"/>
                <w:lang w:val="en-US" w:eastAsia="zh-CN"/>
              </w:rPr>
              <w:t>3、</w:t>
            </w:r>
            <w:r>
              <w:t>选址合理性</w:t>
            </w:r>
            <w:r>
              <w:rPr>
                <w:rFonts w:hint="eastAsia"/>
                <w:lang w:val="en-US" w:eastAsia="zh-CN"/>
              </w:rPr>
              <w:t>及相容性</w:t>
            </w:r>
            <w:r>
              <w:t>分析：</w:t>
            </w:r>
            <w:r>
              <w:rPr>
                <w:rFonts w:hint="default"/>
              </w:rPr>
              <w:t>根据现场踏勘，本项目在</w:t>
            </w:r>
            <w:r>
              <w:rPr>
                <w:rFonts w:hint="default"/>
                <w:lang w:eastAsia="zh-CN"/>
              </w:rPr>
              <w:t>既有工业建筑</w:t>
            </w:r>
            <w:r>
              <w:rPr>
                <w:rFonts w:hint="default"/>
              </w:rPr>
              <w:t>内建设，项目的周边500m范围内</w:t>
            </w:r>
            <w:r>
              <w:rPr>
                <w:rFonts w:hint="eastAsia"/>
                <w:lang w:val="en-US" w:eastAsia="zh-CN"/>
              </w:rPr>
              <w:t>除西华安置小区外，</w:t>
            </w:r>
            <w:r>
              <w:rPr>
                <w:rFonts w:hint="default"/>
              </w:rPr>
              <w:t>无其他居民聚居区、学校、医院、行政办公等环境敏感点，也无自然保护区、饮用水源保护区、风景名胜区等生态敏感点及食品、药品制造等限制本项目建设的其</w:t>
            </w:r>
            <w:r>
              <w:t>他项目。因此</w:t>
            </w:r>
            <w:r>
              <w:rPr>
                <w:rFonts w:hint="default"/>
              </w:rPr>
              <w:t>本环评认为项目选址同区域环境具有相容性，选址具有合理性。</w:t>
            </w:r>
          </w:p>
          <w:p w14:paraId="45CC4A30">
            <w:pPr>
              <w:numPr>
                <w:ilvl w:val="0"/>
                <w:numId w:val="0"/>
              </w:numPr>
              <w:bidi w:val="0"/>
              <w:spacing w:line="360" w:lineRule="auto"/>
              <w:ind w:firstLine="422" w:firstLineChars="200"/>
              <w:rPr>
                <w:rFonts w:hint="default"/>
                <w:b/>
                <w:bCs/>
              </w:rPr>
            </w:pPr>
            <w:r>
              <w:rPr>
                <w:rFonts w:hint="eastAsia"/>
                <w:b/>
                <w:bCs/>
                <w:lang w:val="en-US" w:eastAsia="zh-CN"/>
              </w:rPr>
              <w:t>二</w:t>
            </w:r>
            <w:r>
              <w:rPr>
                <w:rFonts w:hint="default"/>
                <w:b/>
                <w:bCs/>
              </w:rPr>
              <w:t>、环境保护目标</w:t>
            </w:r>
          </w:p>
          <w:p w14:paraId="3D0DC0A6">
            <w:pPr>
              <w:numPr>
                <w:ilvl w:val="0"/>
                <w:numId w:val="0"/>
              </w:numPr>
              <w:bidi w:val="0"/>
              <w:spacing w:line="360" w:lineRule="auto"/>
              <w:ind w:firstLine="420" w:firstLineChars="200"/>
              <w:rPr>
                <w:rFonts w:hint="default"/>
              </w:rPr>
            </w:pPr>
            <w:r>
              <w:rPr>
                <w:rFonts w:hint="eastAsia"/>
                <w:lang w:val="en-US" w:eastAsia="zh-CN"/>
              </w:rPr>
              <w:t>1、</w:t>
            </w:r>
            <w:r>
              <w:rPr>
                <w:rFonts w:hint="default"/>
              </w:rPr>
              <w:t>据现场调查结合《建设项目环境影响报告表编制技术指南（污染影响类）（试行）》确定本项目主要环境保护目标如下：</w:t>
            </w:r>
          </w:p>
          <w:p w14:paraId="6875896F">
            <w:pPr>
              <w:numPr>
                <w:ilvl w:val="0"/>
                <w:numId w:val="0"/>
              </w:numPr>
              <w:bidi w:val="0"/>
              <w:spacing w:line="240" w:lineRule="auto"/>
              <w:jc w:val="center"/>
              <w:rPr>
                <w:b/>
                <w:bCs/>
              </w:rPr>
            </w:pPr>
            <w:r>
              <w:rPr>
                <w:b/>
                <w:bCs/>
              </w:rPr>
              <w:t>表3-</w:t>
            </w:r>
            <w:r>
              <w:rPr>
                <w:rFonts w:hint="eastAsia"/>
                <w:b/>
                <w:bCs/>
                <w:lang w:val="en-US" w:eastAsia="zh-CN"/>
              </w:rPr>
              <w:t>6</w:t>
            </w:r>
            <w:r>
              <w:rPr>
                <w:b/>
                <w:bCs/>
              </w:rPr>
              <w:t>项目主要环境保护目标一览表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74"/>
              <w:gridCol w:w="1105"/>
              <w:gridCol w:w="1152"/>
              <w:gridCol w:w="1752"/>
              <w:gridCol w:w="54"/>
              <w:gridCol w:w="2340"/>
            </w:tblGrid>
            <w:tr w14:paraId="203D03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1774" w:type="dxa"/>
                  <w:noWrap w:val="0"/>
                  <w:vAlign w:val="center"/>
                </w:tcPr>
                <w:p w14:paraId="2E5C4A32">
                  <w:pPr>
                    <w:spacing w:line="240" w:lineRule="auto"/>
                    <w:ind w:firstLine="0" w:firstLineChars="0"/>
                    <w:jc w:val="center"/>
                    <w:rPr>
                      <w:rFonts w:ascii="Times New Roman" w:hAnsi="Times New Roman" w:cs="Times New Roman"/>
                      <w:b/>
                      <w:color w:val="auto"/>
                      <w:sz w:val="21"/>
                      <w:szCs w:val="21"/>
                    </w:rPr>
                  </w:pPr>
                  <w:r>
                    <w:rPr>
                      <w:rFonts w:hint="default" w:ascii="Times New Roman" w:hAnsi="Times New Roman" w:cs="Times New Roman"/>
                      <w:b/>
                      <w:color w:val="auto"/>
                      <w:sz w:val="21"/>
                      <w:szCs w:val="21"/>
                    </w:rPr>
                    <w:t>保护类别</w:t>
                  </w:r>
                </w:p>
              </w:tc>
              <w:tc>
                <w:tcPr>
                  <w:tcW w:w="1105" w:type="dxa"/>
                  <w:noWrap w:val="0"/>
                  <w:vAlign w:val="center"/>
                </w:tcPr>
                <w:p w14:paraId="373721E4">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保护目标</w:t>
                  </w:r>
                </w:p>
              </w:tc>
              <w:tc>
                <w:tcPr>
                  <w:tcW w:w="1152" w:type="dxa"/>
                  <w:noWrap w:val="0"/>
                  <w:vAlign w:val="center"/>
                </w:tcPr>
                <w:p w14:paraId="11C4FB2F">
                  <w:pPr>
                    <w:spacing w:line="240" w:lineRule="auto"/>
                    <w:ind w:firstLine="0" w:firstLineChars="0"/>
                    <w:jc w:val="center"/>
                    <w:rPr>
                      <w:rFonts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752" w:type="dxa"/>
                  <w:noWrap w:val="0"/>
                  <w:vAlign w:val="center"/>
                </w:tcPr>
                <w:p w14:paraId="44B4AB99">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与</w:t>
                  </w:r>
                  <w:r>
                    <w:rPr>
                      <w:rFonts w:hint="default" w:ascii="Times New Roman" w:hAnsi="Times New Roman" w:cs="Times New Roman"/>
                      <w:b/>
                      <w:color w:val="auto"/>
                      <w:sz w:val="21"/>
                      <w:szCs w:val="21"/>
                    </w:rPr>
                    <w:t>项目</w:t>
                  </w:r>
                  <w:r>
                    <w:rPr>
                      <w:rFonts w:ascii="Times New Roman" w:hAnsi="Times New Roman" w:cs="Times New Roman"/>
                      <w:b/>
                      <w:color w:val="auto"/>
                      <w:sz w:val="21"/>
                      <w:szCs w:val="21"/>
                    </w:rPr>
                    <w:t>关系</w:t>
                  </w:r>
                </w:p>
              </w:tc>
              <w:tc>
                <w:tcPr>
                  <w:tcW w:w="2394" w:type="dxa"/>
                  <w:gridSpan w:val="2"/>
                  <w:noWrap w:val="0"/>
                  <w:vAlign w:val="center"/>
                </w:tcPr>
                <w:p w14:paraId="28425B0F">
                  <w:pPr>
                    <w:spacing w:line="240" w:lineRule="auto"/>
                    <w:ind w:firstLine="0" w:firstLineChars="0"/>
                    <w:jc w:val="center"/>
                    <w:rPr>
                      <w:rFonts w:ascii="Times New Roman" w:hAnsi="Times New Roman" w:cs="Times New Roman"/>
                      <w:b/>
                      <w:color w:val="auto"/>
                      <w:sz w:val="21"/>
                      <w:szCs w:val="21"/>
                    </w:rPr>
                  </w:pPr>
                  <w:r>
                    <w:rPr>
                      <w:rFonts w:hint="default" w:ascii="Times New Roman" w:hAnsi="Times New Roman" w:cs="Times New Roman"/>
                      <w:b/>
                      <w:color w:val="auto"/>
                      <w:sz w:val="21"/>
                      <w:szCs w:val="21"/>
                    </w:rPr>
                    <w:t>功能类别</w:t>
                  </w:r>
                </w:p>
              </w:tc>
            </w:tr>
            <w:tr w14:paraId="061C5D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774" w:type="dxa"/>
                  <w:noWrap w:val="0"/>
                  <w:vAlign w:val="center"/>
                </w:tcPr>
                <w:p w14:paraId="4C8492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Cs/>
                      <w:color w:val="auto"/>
                      <w:sz w:val="21"/>
                      <w:szCs w:val="21"/>
                    </w:rPr>
                  </w:pPr>
                  <w:r>
                    <w:rPr>
                      <w:rFonts w:hint="default" w:ascii="Times New Roman" w:hAnsi="Times New Roman" w:cs="Times New Roman"/>
                      <w:bCs/>
                      <w:color w:val="auto"/>
                      <w:sz w:val="21"/>
                      <w:szCs w:val="21"/>
                    </w:rPr>
                    <w:t>生态保护目标</w:t>
                  </w:r>
                </w:p>
              </w:tc>
              <w:tc>
                <w:tcPr>
                  <w:tcW w:w="6403" w:type="dxa"/>
                  <w:gridSpan w:val="5"/>
                  <w:noWrap w:val="0"/>
                  <w:vAlign w:val="center"/>
                </w:tcPr>
                <w:p w14:paraId="6545B7E4">
                  <w:pPr>
                    <w:spacing w:line="240" w:lineRule="auto"/>
                    <w:ind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项目为园区内项目，区域内无生态环境保护目标</w:t>
                  </w:r>
                </w:p>
              </w:tc>
            </w:tr>
            <w:tr w14:paraId="703A8A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1774" w:type="dxa"/>
                  <w:noWrap w:val="0"/>
                  <w:vAlign w:val="center"/>
                </w:tcPr>
                <w:p w14:paraId="008F4E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ascii="Times New Roman" w:hAnsi="Times New Roman" w:cs="Times New Roman"/>
                      <w:bCs/>
                      <w:color w:val="auto"/>
                      <w:sz w:val="21"/>
                      <w:szCs w:val="21"/>
                    </w:rPr>
                    <w:t>大气环境</w:t>
                  </w:r>
                  <w:r>
                    <w:rPr>
                      <w:rFonts w:hint="default" w:ascii="Times New Roman" w:hAnsi="Times New Roman" w:cs="Times New Roman"/>
                      <w:bCs/>
                      <w:color w:val="auto"/>
                      <w:sz w:val="21"/>
                      <w:szCs w:val="21"/>
                      <w:lang w:eastAsia="zh-CN"/>
                    </w:rPr>
                    <w:t>（调查</w:t>
                  </w:r>
                  <w:r>
                    <w:rPr>
                      <w:rFonts w:hint="default" w:ascii="Times New Roman" w:hAnsi="Times New Roman" w:cs="Times New Roman"/>
                      <w:bCs/>
                      <w:color w:val="auto"/>
                      <w:sz w:val="21"/>
                      <w:szCs w:val="21"/>
                      <w:lang w:val="en-US" w:eastAsia="zh-CN"/>
                    </w:rPr>
                    <w:t>范围500m</w:t>
                  </w:r>
                  <w:r>
                    <w:rPr>
                      <w:rFonts w:hint="default" w:ascii="Times New Roman" w:hAnsi="Times New Roman" w:cs="Times New Roman"/>
                      <w:bCs/>
                      <w:color w:val="auto"/>
                      <w:sz w:val="21"/>
                      <w:szCs w:val="21"/>
                      <w:lang w:eastAsia="zh-CN"/>
                    </w:rPr>
                    <w:t>）</w:t>
                  </w:r>
                </w:p>
              </w:tc>
              <w:tc>
                <w:tcPr>
                  <w:tcW w:w="1105" w:type="dxa"/>
                  <w:noWrap w:val="0"/>
                  <w:vAlign w:val="center"/>
                </w:tcPr>
                <w:p w14:paraId="402BF385">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居民</w:t>
                  </w:r>
                  <w:r>
                    <w:rPr>
                      <w:rFonts w:hint="eastAsia" w:ascii="Times New Roman" w:hAnsi="Times New Roman" w:cs="Times New Roman"/>
                      <w:color w:val="auto"/>
                      <w:sz w:val="21"/>
                      <w:szCs w:val="21"/>
                      <w:lang w:eastAsia="zh-CN"/>
                    </w:rPr>
                    <w:t>区</w:t>
                  </w:r>
                </w:p>
              </w:tc>
              <w:tc>
                <w:tcPr>
                  <w:tcW w:w="1152" w:type="dxa"/>
                  <w:noWrap w:val="0"/>
                  <w:vAlign w:val="center"/>
                </w:tcPr>
                <w:p w14:paraId="03749468">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olor w:val="auto"/>
                      <w:sz w:val="21"/>
                      <w:szCs w:val="21"/>
                      <w:lang w:val="en-US" w:eastAsia="zh-CN"/>
                    </w:rPr>
                    <w:t>西华安置小区</w:t>
                  </w:r>
                </w:p>
              </w:tc>
              <w:tc>
                <w:tcPr>
                  <w:tcW w:w="1752" w:type="dxa"/>
                  <w:noWrap w:val="0"/>
                  <w:vAlign w:val="center"/>
                </w:tcPr>
                <w:p w14:paraId="2E0ABCCA">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西侧500</w:t>
                  </w:r>
                  <w:r>
                    <w:rPr>
                      <w:rFonts w:hint="default" w:ascii="Times New Roman" w:hAnsi="Times New Roman" w:eastAsia="宋体" w:cs="Times New Roman"/>
                      <w:color w:val="auto"/>
                      <w:sz w:val="21"/>
                      <w:szCs w:val="21"/>
                      <w:lang w:val="en-US" w:eastAsia="zh-CN"/>
                    </w:rPr>
                    <w:t>m</w:t>
                  </w:r>
                </w:p>
                <w:p w14:paraId="4EFFA81D">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lang w:eastAsia="zh-CN"/>
                    </w:rPr>
                    <w:t>约</w:t>
                  </w:r>
                  <w:r>
                    <w:rPr>
                      <w:rFonts w:hint="default" w:ascii="Times New Roman" w:hAnsi="Times New Roman" w:cs="Times New Roman"/>
                      <w:color w:val="auto"/>
                      <w:sz w:val="21"/>
                      <w:szCs w:val="21"/>
                      <w:lang w:val="en-US" w:eastAsia="zh-CN"/>
                    </w:rPr>
                    <w:t>300</w:t>
                  </w:r>
                  <w:r>
                    <w:rPr>
                      <w:rFonts w:hint="default" w:ascii="Times New Roman" w:hAnsi="Times New Roman" w:cs="Times New Roman"/>
                      <w:color w:val="auto"/>
                      <w:sz w:val="21"/>
                      <w:szCs w:val="21"/>
                      <w:lang w:eastAsia="zh-CN"/>
                    </w:rPr>
                    <w:t>户）</w:t>
                  </w:r>
                </w:p>
              </w:tc>
              <w:tc>
                <w:tcPr>
                  <w:tcW w:w="2394" w:type="dxa"/>
                  <w:gridSpan w:val="2"/>
                  <w:noWrap w:val="0"/>
                  <w:vAlign w:val="center"/>
                </w:tcPr>
                <w:p w14:paraId="7205BE59">
                  <w:pPr>
                    <w:spacing w:line="240" w:lineRule="auto"/>
                    <w:ind w:firstLine="0" w:firstLineChars="0"/>
                    <w:jc w:val="center"/>
                    <w:rPr>
                      <w:rFonts w:ascii="Times New Roman" w:hAnsi="Times New Roman" w:cs="Times New Roman"/>
                      <w:color w:val="auto"/>
                      <w:sz w:val="21"/>
                      <w:szCs w:val="21"/>
                    </w:rPr>
                  </w:pPr>
                  <w:r>
                    <w:rPr>
                      <w:rFonts w:hint="default" w:ascii="Times New Roman" w:hAnsi="Times New Roman" w:cs="Times New Roman"/>
                      <w:bCs/>
                      <w:color w:val="auto"/>
                      <w:sz w:val="21"/>
                      <w:szCs w:val="21"/>
                    </w:rPr>
                    <w:t>《环境空气质量标准》（GB3095-2012）二类区</w:t>
                  </w:r>
                </w:p>
              </w:tc>
            </w:tr>
            <w:tr w14:paraId="735166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1774" w:type="dxa"/>
                  <w:noWrap w:val="0"/>
                  <w:vAlign w:val="center"/>
                </w:tcPr>
                <w:p w14:paraId="7A0BCA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声环境</w:t>
                  </w:r>
                </w:p>
                <w:p w14:paraId="135335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bCs/>
                      <w:color w:val="auto"/>
                      <w:sz w:val="21"/>
                      <w:szCs w:val="21"/>
                      <w:lang w:eastAsia="zh-CN"/>
                    </w:rPr>
                    <w:t>（调查</w:t>
                  </w:r>
                  <w:r>
                    <w:rPr>
                      <w:rFonts w:hint="default" w:ascii="Times New Roman" w:hAnsi="Times New Roman" w:cs="Times New Roman"/>
                      <w:bCs/>
                      <w:color w:val="auto"/>
                      <w:sz w:val="21"/>
                      <w:szCs w:val="21"/>
                      <w:lang w:val="en-US" w:eastAsia="zh-CN"/>
                    </w:rPr>
                    <w:t>范围50m</w:t>
                  </w:r>
                  <w:r>
                    <w:rPr>
                      <w:rFonts w:hint="default" w:ascii="Times New Roman" w:hAnsi="Times New Roman" w:cs="Times New Roman"/>
                      <w:bCs/>
                      <w:color w:val="auto"/>
                      <w:sz w:val="21"/>
                      <w:szCs w:val="21"/>
                      <w:lang w:eastAsia="zh-CN"/>
                    </w:rPr>
                    <w:t>）</w:t>
                  </w:r>
                </w:p>
              </w:tc>
              <w:tc>
                <w:tcPr>
                  <w:tcW w:w="6403" w:type="dxa"/>
                  <w:gridSpan w:val="5"/>
                  <w:noWrap w:val="0"/>
                  <w:vAlign w:val="center"/>
                </w:tcPr>
                <w:p w14:paraId="08CD4623">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项目厂界外50m无声环境敏感目标</w:t>
                  </w:r>
                </w:p>
              </w:tc>
            </w:tr>
            <w:tr w14:paraId="0B2591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1774" w:type="dxa"/>
                  <w:noWrap w:val="0"/>
                  <w:vAlign w:val="center"/>
                </w:tcPr>
                <w:p w14:paraId="3C400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地表水（不设评价范围）</w:t>
                  </w:r>
                </w:p>
              </w:tc>
              <w:tc>
                <w:tcPr>
                  <w:tcW w:w="2257" w:type="dxa"/>
                  <w:gridSpan w:val="2"/>
                  <w:tcBorders>
                    <w:right w:val="single" w:color="auto" w:sz="4" w:space="0"/>
                  </w:tcBorders>
                  <w:noWrap w:val="0"/>
                  <w:vAlign w:val="center"/>
                </w:tcPr>
                <w:p w14:paraId="2830D19E">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芝溪河</w:t>
                  </w:r>
                </w:p>
              </w:tc>
              <w:tc>
                <w:tcPr>
                  <w:tcW w:w="1806" w:type="dxa"/>
                  <w:gridSpan w:val="2"/>
                  <w:tcBorders>
                    <w:left w:val="single" w:color="auto" w:sz="4" w:space="0"/>
                    <w:right w:val="single" w:color="auto" w:sz="4" w:space="0"/>
                  </w:tcBorders>
                  <w:noWrap w:val="0"/>
                  <w:vAlign w:val="center"/>
                </w:tcPr>
                <w:p w14:paraId="5A2685D8">
                  <w:pPr>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2.3km</w:t>
                  </w:r>
                </w:p>
              </w:tc>
              <w:tc>
                <w:tcPr>
                  <w:tcW w:w="2340" w:type="dxa"/>
                  <w:tcBorders>
                    <w:left w:val="single" w:color="auto" w:sz="4" w:space="0"/>
                  </w:tcBorders>
                  <w:noWrap w:val="0"/>
                  <w:vAlign w:val="center"/>
                </w:tcPr>
                <w:p w14:paraId="3E6C137C">
                  <w:pPr>
                    <w:keepNext w:val="0"/>
                    <w:keepLines w:val="0"/>
                    <w:widowControl/>
                    <w:suppressLineNumbers w:val="0"/>
                    <w:jc w:val="left"/>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《地表水质量标准》（GB3838-2002）III类</w:t>
                  </w:r>
                </w:p>
              </w:tc>
            </w:tr>
            <w:tr w14:paraId="7B35CD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774" w:type="dxa"/>
                  <w:noWrap w:val="0"/>
                  <w:vAlign w:val="center"/>
                </w:tcPr>
                <w:p w14:paraId="587F2F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地下水</w:t>
                  </w:r>
                  <w:r>
                    <w:rPr>
                      <w:rFonts w:hint="default" w:ascii="Times New Roman" w:hAnsi="Times New Roman" w:cs="Times New Roman"/>
                      <w:bCs/>
                      <w:color w:val="auto"/>
                      <w:sz w:val="21"/>
                      <w:szCs w:val="21"/>
                      <w:lang w:eastAsia="zh-CN"/>
                    </w:rPr>
                    <w:t>（调查</w:t>
                  </w:r>
                  <w:r>
                    <w:rPr>
                      <w:rFonts w:hint="default" w:ascii="Times New Roman" w:hAnsi="Times New Roman" w:cs="Times New Roman"/>
                      <w:bCs/>
                      <w:color w:val="auto"/>
                      <w:sz w:val="21"/>
                      <w:szCs w:val="21"/>
                      <w:lang w:val="en-US" w:eastAsia="zh-CN"/>
                    </w:rPr>
                    <w:t>范围500m</w:t>
                  </w:r>
                  <w:r>
                    <w:rPr>
                      <w:rFonts w:hint="default" w:ascii="Times New Roman" w:hAnsi="Times New Roman" w:cs="Times New Roman"/>
                      <w:bCs/>
                      <w:color w:val="auto"/>
                      <w:sz w:val="21"/>
                      <w:szCs w:val="21"/>
                      <w:lang w:eastAsia="zh-CN"/>
                    </w:rPr>
                    <w:t>）</w:t>
                  </w:r>
                </w:p>
              </w:tc>
              <w:tc>
                <w:tcPr>
                  <w:tcW w:w="6403" w:type="dxa"/>
                  <w:gridSpan w:val="5"/>
                  <w:noWrap w:val="0"/>
                  <w:vAlign w:val="center"/>
                </w:tcPr>
                <w:p w14:paraId="2C27BA98">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项目厂界外500m范围内无地下水集中式饮用水源、热水、矿泉水</w:t>
                  </w:r>
                </w:p>
                <w:p w14:paraId="2D4D9366">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温泉等地下水环境敏感目标</w:t>
                  </w:r>
                </w:p>
              </w:tc>
            </w:tr>
          </w:tbl>
          <w:p w14:paraId="6BBA07A8">
            <w:pPr>
              <w:pStyle w:val="2"/>
              <w:rPr>
                <w:sz w:val="21"/>
                <w:szCs w:val="21"/>
              </w:rPr>
            </w:pPr>
          </w:p>
        </w:tc>
      </w:tr>
      <w:tr w14:paraId="382DE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465" w:type="dxa"/>
            <w:noWrap w:val="0"/>
            <w:tcMar>
              <w:left w:w="28" w:type="dxa"/>
              <w:right w:w="28" w:type="dxa"/>
            </w:tcMar>
            <w:vAlign w:val="center"/>
          </w:tcPr>
          <w:p w14:paraId="26A0AD57">
            <w:pPr>
              <w:adjustRightInd w:val="0"/>
              <w:snapToGrid w:val="0"/>
              <w:jc w:val="center"/>
              <w:rPr>
                <w:kern w:val="0"/>
                <w:sz w:val="21"/>
                <w:szCs w:val="21"/>
              </w:rPr>
            </w:pPr>
            <w:r>
              <w:rPr>
                <w:kern w:val="0"/>
                <w:sz w:val="21"/>
                <w:szCs w:val="21"/>
              </w:rPr>
              <w:t>污染</w:t>
            </w:r>
          </w:p>
          <w:p w14:paraId="4A804B1E">
            <w:pPr>
              <w:adjustRightInd w:val="0"/>
              <w:snapToGrid w:val="0"/>
              <w:jc w:val="center"/>
              <w:rPr>
                <w:kern w:val="0"/>
                <w:sz w:val="21"/>
                <w:szCs w:val="21"/>
              </w:rPr>
            </w:pPr>
            <w:r>
              <w:rPr>
                <w:kern w:val="0"/>
                <w:sz w:val="21"/>
                <w:szCs w:val="21"/>
              </w:rPr>
              <w:t>物排</w:t>
            </w:r>
          </w:p>
          <w:p w14:paraId="3734130E">
            <w:pPr>
              <w:adjustRightInd w:val="0"/>
              <w:snapToGrid w:val="0"/>
              <w:jc w:val="center"/>
              <w:rPr>
                <w:kern w:val="0"/>
                <w:sz w:val="21"/>
                <w:szCs w:val="21"/>
              </w:rPr>
            </w:pPr>
            <w:r>
              <w:rPr>
                <w:kern w:val="0"/>
                <w:sz w:val="21"/>
                <w:szCs w:val="21"/>
              </w:rPr>
              <w:t>放控</w:t>
            </w:r>
          </w:p>
          <w:p w14:paraId="411E9F84">
            <w:pPr>
              <w:adjustRightInd w:val="0"/>
              <w:snapToGrid w:val="0"/>
              <w:jc w:val="center"/>
              <w:rPr>
                <w:kern w:val="0"/>
                <w:sz w:val="21"/>
                <w:szCs w:val="21"/>
              </w:rPr>
            </w:pPr>
            <w:r>
              <w:rPr>
                <w:kern w:val="0"/>
                <w:sz w:val="21"/>
                <w:szCs w:val="21"/>
              </w:rPr>
              <w:t>制标</w:t>
            </w:r>
          </w:p>
          <w:p w14:paraId="6BE74110">
            <w:pPr>
              <w:adjustRightInd w:val="0"/>
              <w:snapToGrid w:val="0"/>
              <w:jc w:val="center"/>
              <w:rPr>
                <w:kern w:val="0"/>
                <w:sz w:val="21"/>
                <w:szCs w:val="21"/>
              </w:rPr>
            </w:pPr>
            <w:r>
              <w:rPr>
                <w:kern w:val="0"/>
                <w:sz w:val="21"/>
                <w:szCs w:val="21"/>
              </w:rPr>
              <w:t>准</w:t>
            </w:r>
          </w:p>
        </w:tc>
        <w:tc>
          <w:tcPr>
            <w:tcW w:w="8525" w:type="dxa"/>
            <w:noWrap w:val="0"/>
            <w:vAlign w:val="center"/>
          </w:tcPr>
          <w:p w14:paraId="01EDEFD3">
            <w:pPr>
              <w:numPr>
                <w:ilvl w:val="0"/>
                <w:numId w:val="0"/>
              </w:numPr>
              <w:spacing w:before="120" w:beforeLines="50" w:line="360" w:lineRule="auto"/>
              <w:ind w:firstLine="422" w:firstLineChars="200"/>
              <w:rPr>
                <w:rFonts w:hint="eastAsia" w:cs="Times New Roman"/>
                <w:b/>
                <w:bCs/>
                <w:sz w:val="21"/>
                <w:szCs w:val="21"/>
                <w:lang w:val="en-US" w:eastAsia="zh-CN"/>
              </w:rPr>
            </w:pPr>
            <w:r>
              <w:rPr>
                <w:rFonts w:hint="eastAsia" w:cs="Times New Roman"/>
                <w:b/>
                <w:bCs/>
                <w:sz w:val="21"/>
                <w:szCs w:val="21"/>
                <w:lang w:val="en-US" w:eastAsia="zh-CN"/>
              </w:rPr>
              <w:t>一、废气排放标准</w:t>
            </w:r>
          </w:p>
          <w:p w14:paraId="38F5C7A7">
            <w:pPr>
              <w:keepNext w:val="0"/>
              <w:keepLines w:val="0"/>
              <w:pageBreakBefore w:val="0"/>
              <w:widowControl w:val="0"/>
              <w:numPr>
                <w:ilvl w:val="0"/>
                <w:numId w:val="0"/>
              </w:numPr>
              <w:kinsoku/>
              <w:wordWrap w:val="0"/>
              <w:overflowPunct/>
              <w:topLinePunct w:val="0"/>
              <w:autoSpaceDE/>
              <w:autoSpaceDN/>
              <w:bidi w:val="0"/>
              <w:adjustRightInd/>
              <w:snapToGrid/>
              <w:spacing w:before="120" w:beforeLines="50"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运营期TSP执行《大气污染物综合排放标准》（GB 16297-1996）表2二级排放标准限值。排气筒挥发性有机废气执行《四川省固定污染源大气挥发性有机物排放标准》（DB51/2377-2017）表3</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表4</w:t>
            </w:r>
            <w:r>
              <w:rPr>
                <w:rFonts w:hint="default" w:ascii="Times New Roman" w:hAnsi="Times New Roman" w:eastAsia="宋体" w:cs="Times New Roman"/>
              </w:rPr>
              <w:t>标准限值，</w:t>
            </w:r>
            <w:r>
              <w:rPr>
                <w:rFonts w:hint="default" w:ascii="Times New Roman" w:hAnsi="Times New Roman" w:eastAsia="宋体" w:cs="Times New Roman"/>
                <w:color w:val="000000"/>
                <w:kern w:val="0"/>
                <w:sz w:val="21"/>
                <w:szCs w:val="21"/>
                <w:lang w:val="en-US" w:eastAsia="zh-CN" w:bidi="ar"/>
              </w:rPr>
              <w:t>丙烯腈执行《合成树脂工业污染物排放标准》（GB31572-2015）表5特别排放限值；</w:t>
            </w:r>
            <w:r>
              <w:rPr>
                <w:rFonts w:hint="default" w:ascii="Times New Roman" w:hAnsi="Times New Roman" w:eastAsia="宋体" w:cs="Times New Roman"/>
              </w:rPr>
              <w:t>挥发性有机废气无组织排放监控浓度值执行《四川省固定污染源大气挥发性有机物排放标准》（DB51/2377-2017）表5</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表6</w:t>
            </w:r>
            <w:r>
              <w:rPr>
                <w:rFonts w:hint="default" w:ascii="Times New Roman" w:hAnsi="Times New Roman" w:eastAsia="宋体" w:cs="Times New Roman"/>
              </w:rPr>
              <w:t>标准限值，</w:t>
            </w:r>
            <w:r>
              <w:rPr>
                <w:rFonts w:hint="default" w:ascii="Times New Roman" w:hAnsi="Times New Roman" w:eastAsia="宋体" w:cs="Times New Roman"/>
                <w:sz w:val="21"/>
                <w:szCs w:val="21"/>
              </w:rPr>
              <w:t>蓬溪县属于四川省大气污染重点防治区，</w:t>
            </w:r>
            <w:r>
              <w:rPr>
                <w:rFonts w:hint="default" w:ascii="Times New Roman" w:hAnsi="Times New Roman" w:eastAsia="宋体" w:cs="Times New Roman"/>
              </w:rPr>
              <w:t>企业厂区内VOCs无组织排放限值执行《挥发性有机物无组织排放控制标准》（GB37822-2019）表A.1</w:t>
            </w:r>
            <w:r>
              <w:rPr>
                <w:rFonts w:hint="default" w:ascii="Times New Roman" w:hAnsi="Times New Roman" w:eastAsia="宋体" w:cs="Times New Roman"/>
                <w:sz w:val="21"/>
                <w:szCs w:val="21"/>
              </w:rPr>
              <w:t>特别排放标准</w:t>
            </w:r>
            <w:r>
              <w:rPr>
                <w:rFonts w:hint="default" w:ascii="Times New Roman" w:hAnsi="Times New Roman" w:eastAsia="宋体" w:cs="Times New Roman"/>
              </w:rPr>
              <w:t>。</w:t>
            </w:r>
          </w:p>
          <w:p w14:paraId="6E8FB46A">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注：由于《合成树脂工业污染物排放标准》(GB31572-2015)中</w:t>
            </w:r>
            <w:r>
              <w:rPr>
                <w:rFonts w:hint="eastAsia" w:ascii="Times New Roman" w:hAnsi="Times New Roman" w:cs="Times New Roman"/>
                <w:b/>
                <w:bCs/>
                <w:lang w:val="en-US" w:eastAsia="zh-CN"/>
              </w:rPr>
              <w:t>表5</w:t>
            </w:r>
            <w:r>
              <w:rPr>
                <w:rFonts w:hint="default" w:ascii="Times New Roman" w:hAnsi="Times New Roman" w:cs="Times New Roman"/>
                <w:b/>
                <w:bCs/>
                <w:lang w:val="en-US" w:eastAsia="zh-CN"/>
              </w:rPr>
              <w:t>有机废气特别排放限值与《四川省固定污染源大气挥发性有机物排放标准》(DB51/23377-2017)中表3</w:t>
            </w:r>
            <w:r>
              <w:rPr>
                <w:rFonts w:hint="eastAsia" w:ascii="Times New Roman" w:hAnsi="Times New Roman" w:cs="Times New Roman"/>
                <w:b/>
                <w:bCs/>
                <w:lang w:val="en-US" w:eastAsia="zh-CN"/>
              </w:rPr>
              <w:t>汽车制造</w:t>
            </w:r>
            <w:r>
              <w:rPr>
                <w:rFonts w:hint="default" w:ascii="Times New Roman" w:hAnsi="Times New Roman" w:cs="Times New Roman"/>
                <w:b/>
                <w:bCs/>
                <w:lang w:val="en-US" w:eastAsia="zh-CN"/>
              </w:rPr>
              <w:t>行业排放标准限值相同，且GB31572-2015标准中未许可排放速率</w:t>
            </w:r>
            <w:r>
              <w:rPr>
                <w:rFonts w:hint="eastAsia" w:cs="Times New Roman"/>
                <w:b/>
                <w:bCs/>
                <w:lang w:val="en-US" w:eastAsia="zh-CN"/>
              </w:rPr>
              <w:t>；</w:t>
            </w:r>
            <w:r>
              <w:rPr>
                <w:rFonts w:hint="default" w:ascii="Times New Roman" w:hAnsi="Times New Roman" w:cs="Times New Roman"/>
                <w:b/>
                <w:bCs/>
                <w:lang w:val="en-US" w:eastAsia="zh-CN"/>
              </w:rPr>
              <w:t>GB31572-2015</w:t>
            </w:r>
            <w:r>
              <w:rPr>
                <w:rFonts w:hint="eastAsia" w:cs="Times New Roman"/>
                <w:b/>
                <w:bCs/>
                <w:lang w:val="en-US" w:eastAsia="zh-CN"/>
              </w:rPr>
              <w:t>标准中有机废气</w:t>
            </w:r>
            <w:r>
              <w:rPr>
                <w:rFonts w:hint="eastAsia" w:ascii="宋体" w:hAnsi="宋体" w:eastAsia="宋体" w:cs="宋体"/>
                <w:b/>
                <w:bCs/>
                <w:color w:val="000000"/>
                <w:kern w:val="0"/>
                <w:sz w:val="21"/>
                <w:szCs w:val="21"/>
                <w:lang w:val="en-US" w:eastAsia="zh-CN" w:bidi="ar"/>
              </w:rPr>
              <w:t>无组织排放监控浓度大于</w:t>
            </w:r>
            <w:r>
              <w:rPr>
                <w:rFonts w:hint="eastAsia"/>
                <w:b/>
                <w:bCs/>
              </w:rPr>
              <w:t>GB37822-2019</w:t>
            </w:r>
            <w:r>
              <w:rPr>
                <w:rFonts w:hint="eastAsia" w:cs="Times New Roman"/>
                <w:b/>
                <w:bCs/>
                <w:lang w:val="en-US" w:eastAsia="zh-CN"/>
              </w:rPr>
              <w:t>标准浓度，从严</w:t>
            </w:r>
            <w:r>
              <w:rPr>
                <w:rFonts w:hint="default" w:ascii="Times New Roman" w:hAnsi="Times New Roman" w:cs="Times New Roman"/>
                <w:b/>
                <w:bCs/>
                <w:lang w:val="en-US" w:eastAsia="zh-CN"/>
              </w:rPr>
              <w:t>考虑，本项目VOCs</w:t>
            </w:r>
            <w:r>
              <w:rPr>
                <w:rFonts w:hint="eastAsia" w:cs="Times New Roman"/>
                <w:b/>
                <w:bCs/>
                <w:lang w:val="en-US" w:eastAsia="zh-CN"/>
              </w:rPr>
              <w:t>、苯、二甲苯、甲苯、乙苯、苯乙烯</w:t>
            </w:r>
            <w:r>
              <w:rPr>
                <w:rFonts w:hint="default" w:ascii="Times New Roman" w:hAnsi="Times New Roman" w:cs="Times New Roman"/>
                <w:b/>
                <w:bCs/>
                <w:lang w:val="en-US" w:eastAsia="zh-CN"/>
              </w:rPr>
              <w:t>有组织排放执行《四川省固定污染源大气挥发性有机物排放标准》(DB51/23377-2017)中表3</w:t>
            </w:r>
            <w:r>
              <w:rPr>
                <w:rFonts w:hint="eastAsia" w:ascii="Times New Roman" w:hAnsi="Times New Roman" w:cs="Times New Roman"/>
                <w:b/>
                <w:bCs/>
                <w:lang w:val="en-US" w:eastAsia="zh-CN"/>
              </w:rPr>
              <w:t>汽车制造</w:t>
            </w:r>
            <w:r>
              <w:rPr>
                <w:rFonts w:hint="default" w:ascii="Times New Roman" w:hAnsi="Times New Roman" w:cs="Times New Roman"/>
                <w:b/>
                <w:bCs/>
                <w:lang w:val="en-US" w:eastAsia="zh-CN"/>
              </w:rPr>
              <w:t>行业排放标准限值</w:t>
            </w:r>
            <w:r>
              <w:rPr>
                <w:rFonts w:hint="eastAsia" w:cs="Times New Roman"/>
                <w:b/>
                <w:bCs/>
                <w:lang w:val="en-US" w:eastAsia="zh-CN"/>
              </w:rPr>
              <w:t>和表4特别控制污染物项目标准，</w:t>
            </w:r>
            <w:r>
              <w:rPr>
                <w:rFonts w:hint="default" w:ascii="Times New Roman" w:hAnsi="Times New Roman" w:cs="Times New Roman"/>
                <w:b/>
                <w:bCs/>
                <w:lang w:val="en-US" w:eastAsia="zh-CN"/>
              </w:rPr>
              <w:t>VOCs</w:t>
            </w:r>
            <w:r>
              <w:rPr>
                <w:rFonts w:hint="eastAsia" w:cs="Times New Roman"/>
                <w:b/>
                <w:bCs/>
                <w:lang w:val="en-US" w:eastAsia="zh-CN"/>
              </w:rPr>
              <w:t>、苯、二甲苯、甲苯、乙苯、苯乙烯无组织执行</w:t>
            </w:r>
            <w:r>
              <w:rPr>
                <w:rFonts w:hint="default" w:ascii="Times New Roman" w:hAnsi="Times New Roman" w:cs="Times New Roman"/>
                <w:b/>
                <w:bCs/>
                <w:lang w:val="en-US" w:eastAsia="zh-CN"/>
              </w:rPr>
              <w:t>DB51/23377-2017</w:t>
            </w:r>
            <w:r>
              <w:rPr>
                <w:rFonts w:hint="eastAsia" w:cs="Times New Roman"/>
                <w:b/>
                <w:bCs/>
                <w:lang w:val="en-US" w:eastAsia="zh-CN"/>
              </w:rPr>
              <w:t>表5，表6。</w:t>
            </w:r>
          </w:p>
          <w:p w14:paraId="1E9CDF26">
            <w:pPr>
              <w:bidi w:val="0"/>
              <w:jc w:val="center"/>
              <w:rPr>
                <w:rFonts w:hint="default" w:ascii="Times New Roman" w:hAnsi="Times New Roman" w:cs="Times New Roman"/>
                <w:b/>
                <w:bCs/>
              </w:rPr>
            </w:pPr>
            <w:bookmarkStart w:id="9" w:name="_Ref80685662"/>
            <w:r>
              <w:rPr>
                <w:rFonts w:hint="default" w:ascii="Times New Roman" w:hAnsi="Times New Roman" w:cs="Times New Roman"/>
                <w:b/>
                <w:bCs/>
              </w:rPr>
              <w:t>表3-7 项目有组织废气污染物排放标准</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315"/>
              <w:gridCol w:w="1224"/>
              <w:gridCol w:w="948"/>
              <w:gridCol w:w="3660"/>
            </w:tblGrid>
            <w:tr w14:paraId="31108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Merge w:val="restart"/>
                  <w:vAlign w:val="center"/>
                </w:tcPr>
                <w:p w14:paraId="7E12EA64">
                  <w:pPr>
                    <w:pStyle w:val="84"/>
                    <w:adjustRightInd w:val="0"/>
                    <w:snapToGrid w:val="0"/>
                    <w:jc w:val="center"/>
                    <w:rPr>
                      <w:b/>
                      <w:szCs w:val="21"/>
                    </w:rPr>
                  </w:pPr>
                  <w:r>
                    <w:rPr>
                      <w:b/>
                      <w:szCs w:val="21"/>
                    </w:rPr>
                    <w:t>污染物名称</w:t>
                  </w:r>
                </w:p>
              </w:tc>
              <w:tc>
                <w:tcPr>
                  <w:tcW w:w="791" w:type="pct"/>
                  <w:vMerge w:val="restart"/>
                  <w:vAlign w:val="center"/>
                </w:tcPr>
                <w:p w14:paraId="148606A4">
                  <w:pPr>
                    <w:pStyle w:val="84"/>
                    <w:adjustRightInd w:val="0"/>
                    <w:snapToGrid w:val="0"/>
                    <w:jc w:val="center"/>
                    <w:rPr>
                      <w:b/>
                      <w:szCs w:val="21"/>
                    </w:rPr>
                  </w:pPr>
                  <w:r>
                    <w:rPr>
                      <w:b/>
                      <w:szCs w:val="21"/>
                    </w:rPr>
                    <w:t>最高允许排放浓度（mg/</w:t>
                  </w:r>
                  <w:r>
                    <w:rPr>
                      <w:b/>
                    </w:rPr>
                    <w:t>m</w:t>
                  </w:r>
                  <w:r>
                    <w:rPr>
                      <w:b/>
                      <w:vertAlign w:val="superscript"/>
                    </w:rPr>
                    <w:t>3</w:t>
                  </w:r>
                  <w:r>
                    <w:rPr>
                      <w:b/>
                      <w:szCs w:val="21"/>
                    </w:rPr>
                    <w:t>）</w:t>
                  </w:r>
                </w:p>
              </w:tc>
              <w:tc>
                <w:tcPr>
                  <w:tcW w:w="1307" w:type="pct"/>
                  <w:gridSpan w:val="2"/>
                  <w:vAlign w:val="center"/>
                </w:tcPr>
                <w:p w14:paraId="7CFFBDFB">
                  <w:pPr>
                    <w:pStyle w:val="84"/>
                    <w:adjustRightInd w:val="0"/>
                    <w:snapToGrid w:val="0"/>
                    <w:jc w:val="center"/>
                    <w:rPr>
                      <w:b/>
                      <w:szCs w:val="21"/>
                    </w:rPr>
                  </w:pPr>
                  <w:r>
                    <w:rPr>
                      <w:b/>
                      <w:szCs w:val="21"/>
                    </w:rPr>
                    <w:t>最高允许排放速率（kg/h）</w:t>
                  </w:r>
                </w:p>
              </w:tc>
              <w:tc>
                <w:tcPr>
                  <w:tcW w:w="2202" w:type="pct"/>
                  <w:vMerge w:val="restart"/>
                  <w:vAlign w:val="center"/>
                </w:tcPr>
                <w:p w14:paraId="57CD8608">
                  <w:pPr>
                    <w:pStyle w:val="84"/>
                    <w:adjustRightInd w:val="0"/>
                    <w:snapToGrid w:val="0"/>
                    <w:jc w:val="center"/>
                    <w:rPr>
                      <w:b/>
                      <w:szCs w:val="21"/>
                    </w:rPr>
                  </w:pPr>
                  <w:r>
                    <w:rPr>
                      <w:b/>
                      <w:szCs w:val="21"/>
                    </w:rPr>
                    <w:t>排放标准</w:t>
                  </w:r>
                </w:p>
              </w:tc>
            </w:tr>
            <w:tr w14:paraId="20CE8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Merge w:val="continue"/>
                  <w:vAlign w:val="center"/>
                </w:tcPr>
                <w:p w14:paraId="28C5174A">
                  <w:pPr>
                    <w:autoSpaceDE w:val="0"/>
                    <w:autoSpaceDN w:val="0"/>
                    <w:adjustRightInd w:val="0"/>
                    <w:snapToGrid w:val="0"/>
                    <w:jc w:val="center"/>
                    <w:rPr>
                      <w:bCs/>
                      <w:szCs w:val="21"/>
                      <w:lang w:eastAsia="en-US"/>
                    </w:rPr>
                  </w:pPr>
                </w:p>
              </w:tc>
              <w:tc>
                <w:tcPr>
                  <w:tcW w:w="791" w:type="pct"/>
                  <w:vMerge w:val="continue"/>
                  <w:vAlign w:val="center"/>
                </w:tcPr>
                <w:p w14:paraId="3848DE59">
                  <w:pPr>
                    <w:autoSpaceDE w:val="0"/>
                    <w:autoSpaceDN w:val="0"/>
                    <w:adjustRightInd w:val="0"/>
                    <w:snapToGrid w:val="0"/>
                    <w:jc w:val="center"/>
                    <w:rPr>
                      <w:bCs/>
                      <w:szCs w:val="21"/>
                    </w:rPr>
                  </w:pPr>
                </w:p>
              </w:tc>
              <w:tc>
                <w:tcPr>
                  <w:tcW w:w="736" w:type="pct"/>
                  <w:vAlign w:val="center"/>
                </w:tcPr>
                <w:p w14:paraId="2EF3B634">
                  <w:pPr>
                    <w:pStyle w:val="84"/>
                    <w:adjustRightInd w:val="0"/>
                    <w:snapToGrid w:val="0"/>
                    <w:jc w:val="center"/>
                    <w:rPr>
                      <w:b/>
                      <w:szCs w:val="21"/>
                    </w:rPr>
                  </w:pPr>
                  <w:r>
                    <w:rPr>
                      <w:b/>
                      <w:szCs w:val="21"/>
                    </w:rPr>
                    <w:t>排气筒高度（m）</w:t>
                  </w:r>
                </w:p>
              </w:tc>
              <w:tc>
                <w:tcPr>
                  <w:tcW w:w="570" w:type="pct"/>
                  <w:vAlign w:val="center"/>
                </w:tcPr>
                <w:p w14:paraId="6203547D">
                  <w:pPr>
                    <w:pStyle w:val="84"/>
                    <w:adjustRightInd w:val="0"/>
                    <w:snapToGrid w:val="0"/>
                    <w:jc w:val="center"/>
                    <w:rPr>
                      <w:b/>
                      <w:szCs w:val="21"/>
                    </w:rPr>
                  </w:pPr>
                  <w:r>
                    <w:rPr>
                      <w:b/>
                      <w:szCs w:val="21"/>
                    </w:rPr>
                    <w:t>二级</w:t>
                  </w:r>
                </w:p>
              </w:tc>
              <w:tc>
                <w:tcPr>
                  <w:tcW w:w="2202" w:type="pct"/>
                  <w:vMerge w:val="continue"/>
                  <w:vAlign w:val="center"/>
                </w:tcPr>
                <w:p w14:paraId="3DFDB9F7">
                  <w:pPr>
                    <w:autoSpaceDE w:val="0"/>
                    <w:autoSpaceDN w:val="0"/>
                    <w:adjustRightInd w:val="0"/>
                    <w:snapToGrid w:val="0"/>
                    <w:jc w:val="center"/>
                    <w:rPr>
                      <w:bCs/>
                      <w:szCs w:val="21"/>
                      <w:lang w:eastAsia="en-US"/>
                    </w:rPr>
                  </w:pPr>
                </w:p>
              </w:tc>
            </w:tr>
            <w:tr w14:paraId="6A31A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Align w:val="center"/>
                </w:tcPr>
                <w:p w14:paraId="48156E3C">
                  <w:pPr>
                    <w:autoSpaceDE w:val="0"/>
                    <w:autoSpaceDN w:val="0"/>
                    <w:adjustRightInd w:val="0"/>
                    <w:snapToGrid w:val="0"/>
                    <w:jc w:val="center"/>
                    <w:rPr>
                      <w:rFonts w:hint="eastAsia" w:eastAsia="宋体"/>
                      <w:bCs/>
                      <w:szCs w:val="21"/>
                      <w:lang w:val="en-US" w:eastAsia="zh-CN"/>
                    </w:rPr>
                  </w:pPr>
                  <w:r>
                    <w:rPr>
                      <w:rFonts w:hint="eastAsia"/>
                      <w:bCs/>
                      <w:szCs w:val="21"/>
                      <w:lang w:val="en-US" w:eastAsia="zh-CN"/>
                    </w:rPr>
                    <w:t>颗粒物</w:t>
                  </w:r>
                </w:p>
              </w:tc>
              <w:tc>
                <w:tcPr>
                  <w:tcW w:w="791" w:type="pct"/>
                  <w:vAlign w:val="center"/>
                </w:tcPr>
                <w:p w14:paraId="2B9A7FDA">
                  <w:pPr>
                    <w:autoSpaceDE w:val="0"/>
                    <w:autoSpaceDN w:val="0"/>
                    <w:adjustRightInd w:val="0"/>
                    <w:snapToGrid w:val="0"/>
                    <w:jc w:val="center"/>
                    <w:rPr>
                      <w:rFonts w:hint="default" w:eastAsia="宋体"/>
                      <w:bCs/>
                      <w:szCs w:val="21"/>
                      <w:lang w:val="en-US" w:eastAsia="zh-CN"/>
                    </w:rPr>
                  </w:pPr>
                  <w:r>
                    <w:rPr>
                      <w:rFonts w:hint="eastAsia"/>
                      <w:bCs/>
                      <w:szCs w:val="21"/>
                      <w:lang w:val="en-US" w:eastAsia="zh-CN"/>
                    </w:rPr>
                    <w:t>120</w:t>
                  </w:r>
                </w:p>
              </w:tc>
              <w:tc>
                <w:tcPr>
                  <w:tcW w:w="736" w:type="pct"/>
                  <w:vAlign w:val="center"/>
                </w:tcPr>
                <w:p w14:paraId="063047B4">
                  <w:pPr>
                    <w:pStyle w:val="84"/>
                    <w:adjustRightInd w:val="0"/>
                    <w:snapToGrid w:val="0"/>
                    <w:jc w:val="center"/>
                    <w:rPr>
                      <w:rFonts w:hint="default" w:eastAsia="宋体"/>
                      <w:b w:val="0"/>
                      <w:bCs/>
                      <w:szCs w:val="21"/>
                      <w:lang w:val="en-US" w:eastAsia="zh-CN"/>
                    </w:rPr>
                  </w:pPr>
                  <w:r>
                    <w:rPr>
                      <w:rFonts w:hint="eastAsia"/>
                      <w:b w:val="0"/>
                      <w:bCs/>
                      <w:szCs w:val="21"/>
                      <w:lang w:val="en-US" w:eastAsia="zh-CN"/>
                    </w:rPr>
                    <w:t>15</w:t>
                  </w:r>
                </w:p>
              </w:tc>
              <w:tc>
                <w:tcPr>
                  <w:tcW w:w="570" w:type="pct"/>
                  <w:vAlign w:val="center"/>
                </w:tcPr>
                <w:p w14:paraId="0C4E9E63">
                  <w:pPr>
                    <w:pStyle w:val="84"/>
                    <w:adjustRightInd w:val="0"/>
                    <w:snapToGrid w:val="0"/>
                    <w:jc w:val="center"/>
                    <w:rPr>
                      <w:rFonts w:hint="default" w:eastAsia="宋体"/>
                      <w:b w:val="0"/>
                      <w:bCs/>
                      <w:szCs w:val="21"/>
                      <w:lang w:val="en-US" w:eastAsia="zh-CN"/>
                    </w:rPr>
                  </w:pPr>
                  <w:r>
                    <w:rPr>
                      <w:rFonts w:hint="eastAsia"/>
                      <w:b w:val="0"/>
                      <w:bCs/>
                      <w:szCs w:val="21"/>
                      <w:lang w:val="en-US" w:eastAsia="zh-CN"/>
                    </w:rPr>
                    <w:t>3.5</w:t>
                  </w:r>
                </w:p>
              </w:tc>
              <w:tc>
                <w:tcPr>
                  <w:tcW w:w="2202" w:type="pct"/>
                  <w:vAlign w:val="center"/>
                </w:tcPr>
                <w:p w14:paraId="4F05B30C">
                  <w:pPr>
                    <w:autoSpaceDE w:val="0"/>
                    <w:autoSpaceDN w:val="0"/>
                    <w:adjustRightInd w:val="0"/>
                    <w:snapToGrid w:val="0"/>
                    <w:jc w:val="center"/>
                    <w:rPr>
                      <w:bCs/>
                      <w:szCs w:val="21"/>
                      <w:lang w:eastAsia="en-US"/>
                    </w:rPr>
                  </w:pPr>
                  <w:r>
                    <w:rPr>
                      <w:bCs/>
                      <w:szCs w:val="21"/>
                    </w:rPr>
                    <w:t>《大气污染物综合排放标准》（GB16297-1996）二级标准</w:t>
                  </w:r>
                </w:p>
              </w:tc>
            </w:tr>
            <w:tr w14:paraId="3A6FB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Align w:val="center"/>
                </w:tcPr>
                <w:p w14:paraId="0F0C221E">
                  <w:pPr>
                    <w:pStyle w:val="84"/>
                    <w:adjustRightInd w:val="0"/>
                    <w:snapToGrid w:val="0"/>
                    <w:jc w:val="center"/>
                    <w:rPr>
                      <w:bCs/>
                      <w:szCs w:val="21"/>
                    </w:rPr>
                  </w:pPr>
                  <w:r>
                    <w:rPr>
                      <w:bCs/>
                      <w:szCs w:val="21"/>
                    </w:rPr>
                    <w:t>VOCs</w:t>
                  </w:r>
                </w:p>
              </w:tc>
              <w:tc>
                <w:tcPr>
                  <w:tcW w:w="791" w:type="pct"/>
                  <w:vAlign w:val="center"/>
                </w:tcPr>
                <w:p w14:paraId="3A18A34A">
                  <w:pPr>
                    <w:pStyle w:val="84"/>
                    <w:adjustRightInd w:val="0"/>
                    <w:snapToGrid w:val="0"/>
                    <w:jc w:val="center"/>
                    <w:rPr>
                      <w:bCs/>
                      <w:szCs w:val="21"/>
                    </w:rPr>
                  </w:pPr>
                  <w:r>
                    <w:rPr>
                      <w:bCs/>
                      <w:szCs w:val="21"/>
                    </w:rPr>
                    <w:t>60</w:t>
                  </w:r>
                </w:p>
              </w:tc>
              <w:tc>
                <w:tcPr>
                  <w:tcW w:w="736" w:type="pct"/>
                  <w:vAlign w:val="center"/>
                </w:tcPr>
                <w:p w14:paraId="7013C0A0">
                  <w:pPr>
                    <w:pStyle w:val="84"/>
                    <w:adjustRightInd w:val="0"/>
                    <w:snapToGrid w:val="0"/>
                    <w:jc w:val="center"/>
                    <w:rPr>
                      <w:rFonts w:hint="default" w:eastAsia="宋体"/>
                      <w:bCs/>
                      <w:szCs w:val="21"/>
                      <w:lang w:val="en-US" w:eastAsia="zh-CN"/>
                    </w:rPr>
                  </w:pPr>
                  <w:r>
                    <w:rPr>
                      <w:rFonts w:hint="eastAsia"/>
                      <w:bCs/>
                      <w:szCs w:val="21"/>
                      <w:lang w:val="en-US" w:eastAsia="zh-CN"/>
                    </w:rPr>
                    <w:t>15</w:t>
                  </w:r>
                </w:p>
              </w:tc>
              <w:tc>
                <w:tcPr>
                  <w:tcW w:w="570" w:type="pct"/>
                  <w:vAlign w:val="center"/>
                </w:tcPr>
                <w:p w14:paraId="47025C7B">
                  <w:pPr>
                    <w:pStyle w:val="84"/>
                    <w:adjustRightInd w:val="0"/>
                    <w:snapToGrid w:val="0"/>
                    <w:jc w:val="center"/>
                    <w:rPr>
                      <w:rFonts w:hint="default" w:eastAsia="宋体"/>
                      <w:bCs/>
                      <w:szCs w:val="21"/>
                      <w:lang w:val="en-US" w:eastAsia="zh-CN"/>
                    </w:rPr>
                  </w:pPr>
                  <w:r>
                    <w:rPr>
                      <w:rFonts w:hint="eastAsia"/>
                      <w:bCs/>
                      <w:szCs w:val="21"/>
                      <w:lang w:val="en-US" w:eastAsia="zh-CN"/>
                    </w:rPr>
                    <w:t>3.4</w:t>
                  </w:r>
                </w:p>
              </w:tc>
              <w:tc>
                <w:tcPr>
                  <w:tcW w:w="2202" w:type="pct"/>
                  <w:vMerge w:val="restart"/>
                  <w:vAlign w:val="center"/>
                </w:tcPr>
                <w:p w14:paraId="2D8EC094">
                  <w:pPr>
                    <w:pStyle w:val="84"/>
                    <w:adjustRightInd w:val="0"/>
                    <w:snapToGrid w:val="0"/>
                    <w:jc w:val="center"/>
                    <w:rPr>
                      <w:bCs/>
                      <w:szCs w:val="21"/>
                    </w:rPr>
                  </w:pPr>
                  <w:r>
                    <w:rPr>
                      <w:bCs/>
                      <w:szCs w:val="21"/>
                    </w:rPr>
                    <w:t>《四川省固定污染源大气挥发性有机物排放标准》表3</w:t>
                  </w:r>
                  <w:r>
                    <w:rPr>
                      <w:rFonts w:hint="eastAsia"/>
                      <w:bCs/>
                      <w:szCs w:val="21"/>
                      <w:lang w:eastAsia="zh-CN"/>
                    </w:rPr>
                    <w:t>、</w:t>
                  </w:r>
                  <w:r>
                    <w:rPr>
                      <w:rFonts w:hint="eastAsia"/>
                      <w:bCs/>
                      <w:szCs w:val="21"/>
                      <w:lang w:val="en-US" w:eastAsia="zh-CN"/>
                    </w:rPr>
                    <w:t>表4</w:t>
                  </w:r>
                  <w:r>
                    <w:rPr>
                      <w:bCs/>
                      <w:szCs w:val="21"/>
                    </w:rPr>
                    <w:t>限值</w:t>
                  </w:r>
                </w:p>
              </w:tc>
            </w:tr>
            <w:tr w14:paraId="4884C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Align w:val="center"/>
                </w:tcPr>
                <w:p w14:paraId="4640967E">
                  <w:pPr>
                    <w:pStyle w:val="84"/>
                    <w:adjustRightInd w:val="0"/>
                    <w:snapToGrid w:val="0"/>
                    <w:jc w:val="center"/>
                    <w:rPr>
                      <w:bCs/>
                      <w:szCs w:val="21"/>
                    </w:rPr>
                  </w:pPr>
                  <w:r>
                    <w:rPr>
                      <w:bCs/>
                      <w:szCs w:val="21"/>
                    </w:rPr>
                    <w:t>二甲苯</w:t>
                  </w:r>
                </w:p>
              </w:tc>
              <w:tc>
                <w:tcPr>
                  <w:tcW w:w="791" w:type="pct"/>
                  <w:vAlign w:val="center"/>
                </w:tcPr>
                <w:p w14:paraId="44A57DF1">
                  <w:pPr>
                    <w:pStyle w:val="84"/>
                    <w:adjustRightInd w:val="0"/>
                    <w:snapToGrid w:val="0"/>
                    <w:jc w:val="center"/>
                    <w:rPr>
                      <w:bCs/>
                      <w:szCs w:val="21"/>
                    </w:rPr>
                  </w:pPr>
                  <w:r>
                    <w:rPr>
                      <w:rFonts w:hint="eastAsia"/>
                      <w:bCs/>
                      <w:szCs w:val="21"/>
                    </w:rPr>
                    <w:t>15</w:t>
                  </w:r>
                </w:p>
              </w:tc>
              <w:tc>
                <w:tcPr>
                  <w:tcW w:w="736" w:type="pct"/>
                  <w:vAlign w:val="center"/>
                </w:tcPr>
                <w:p w14:paraId="346335F2">
                  <w:pPr>
                    <w:adjustRightInd w:val="0"/>
                    <w:snapToGrid w:val="0"/>
                    <w:jc w:val="center"/>
                    <w:rPr>
                      <w:bCs/>
                      <w:szCs w:val="21"/>
                    </w:rPr>
                  </w:pPr>
                  <w:r>
                    <w:rPr>
                      <w:rFonts w:hint="eastAsia"/>
                      <w:bCs/>
                      <w:szCs w:val="21"/>
                      <w:lang w:val="en-US" w:eastAsia="zh-CN"/>
                    </w:rPr>
                    <w:t>15</w:t>
                  </w:r>
                </w:p>
              </w:tc>
              <w:tc>
                <w:tcPr>
                  <w:tcW w:w="570" w:type="pct"/>
                  <w:vAlign w:val="center"/>
                </w:tcPr>
                <w:p w14:paraId="27D7AE0A">
                  <w:pPr>
                    <w:pStyle w:val="84"/>
                    <w:adjustRightInd w:val="0"/>
                    <w:snapToGrid w:val="0"/>
                    <w:jc w:val="center"/>
                    <w:rPr>
                      <w:rFonts w:hint="default" w:eastAsia="宋体"/>
                      <w:bCs/>
                      <w:szCs w:val="21"/>
                      <w:lang w:val="en-US" w:eastAsia="zh-CN"/>
                    </w:rPr>
                  </w:pPr>
                  <w:r>
                    <w:rPr>
                      <w:rFonts w:hint="eastAsia"/>
                      <w:bCs/>
                      <w:szCs w:val="21"/>
                      <w:lang w:val="en-US" w:eastAsia="zh-CN"/>
                    </w:rPr>
                    <w:t>0.9</w:t>
                  </w:r>
                </w:p>
              </w:tc>
              <w:tc>
                <w:tcPr>
                  <w:tcW w:w="2202" w:type="pct"/>
                  <w:vMerge w:val="continue"/>
                  <w:vAlign w:val="center"/>
                </w:tcPr>
                <w:p w14:paraId="56275E03">
                  <w:pPr>
                    <w:pStyle w:val="84"/>
                    <w:adjustRightInd w:val="0"/>
                    <w:snapToGrid w:val="0"/>
                    <w:jc w:val="center"/>
                    <w:rPr>
                      <w:bCs/>
                      <w:szCs w:val="21"/>
                    </w:rPr>
                  </w:pPr>
                </w:p>
              </w:tc>
            </w:tr>
            <w:tr w14:paraId="278F3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Align w:val="center"/>
                </w:tcPr>
                <w:p w14:paraId="45DDB5CD">
                  <w:pPr>
                    <w:pStyle w:val="84"/>
                    <w:adjustRightInd w:val="0"/>
                    <w:snapToGrid w:val="0"/>
                    <w:jc w:val="center"/>
                    <w:rPr>
                      <w:bCs/>
                      <w:szCs w:val="21"/>
                    </w:rPr>
                  </w:pPr>
                  <w:r>
                    <w:rPr>
                      <w:bCs/>
                      <w:szCs w:val="21"/>
                    </w:rPr>
                    <w:t>甲苯</w:t>
                  </w:r>
                </w:p>
              </w:tc>
              <w:tc>
                <w:tcPr>
                  <w:tcW w:w="791" w:type="pct"/>
                  <w:vAlign w:val="center"/>
                </w:tcPr>
                <w:p w14:paraId="4CA2932D">
                  <w:pPr>
                    <w:pStyle w:val="84"/>
                    <w:adjustRightInd w:val="0"/>
                    <w:snapToGrid w:val="0"/>
                    <w:jc w:val="center"/>
                    <w:rPr>
                      <w:bCs/>
                      <w:szCs w:val="21"/>
                    </w:rPr>
                  </w:pPr>
                  <w:r>
                    <w:rPr>
                      <w:rFonts w:hint="eastAsia"/>
                      <w:bCs/>
                      <w:szCs w:val="21"/>
                    </w:rPr>
                    <w:t>5</w:t>
                  </w:r>
                </w:p>
              </w:tc>
              <w:tc>
                <w:tcPr>
                  <w:tcW w:w="736" w:type="pct"/>
                  <w:vAlign w:val="center"/>
                </w:tcPr>
                <w:p w14:paraId="361C1238">
                  <w:pPr>
                    <w:adjustRightInd w:val="0"/>
                    <w:snapToGrid w:val="0"/>
                    <w:jc w:val="center"/>
                    <w:rPr>
                      <w:bCs/>
                      <w:szCs w:val="21"/>
                    </w:rPr>
                  </w:pPr>
                  <w:r>
                    <w:rPr>
                      <w:rFonts w:hint="eastAsia"/>
                      <w:bCs/>
                      <w:szCs w:val="21"/>
                      <w:lang w:val="en-US" w:eastAsia="zh-CN"/>
                    </w:rPr>
                    <w:t>15</w:t>
                  </w:r>
                </w:p>
              </w:tc>
              <w:tc>
                <w:tcPr>
                  <w:tcW w:w="570" w:type="pct"/>
                  <w:vAlign w:val="center"/>
                </w:tcPr>
                <w:p w14:paraId="0A8B97AF">
                  <w:pPr>
                    <w:pStyle w:val="84"/>
                    <w:adjustRightInd w:val="0"/>
                    <w:snapToGrid w:val="0"/>
                    <w:jc w:val="center"/>
                    <w:rPr>
                      <w:rFonts w:hint="default" w:eastAsia="宋体"/>
                      <w:bCs/>
                      <w:szCs w:val="21"/>
                      <w:lang w:val="en-US" w:eastAsia="zh-CN"/>
                    </w:rPr>
                  </w:pPr>
                  <w:r>
                    <w:rPr>
                      <w:rFonts w:hint="eastAsia"/>
                      <w:bCs/>
                      <w:szCs w:val="21"/>
                      <w:lang w:val="en-US" w:eastAsia="zh-CN"/>
                    </w:rPr>
                    <w:t>0.6</w:t>
                  </w:r>
                </w:p>
              </w:tc>
              <w:tc>
                <w:tcPr>
                  <w:tcW w:w="2202" w:type="pct"/>
                  <w:vMerge w:val="continue"/>
                  <w:vAlign w:val="center"/>
                </w:tcPr>
                <w:p w14:paraId="4387EEA9">
                  <w:pPr>
                    <w:pStyle w:val="84"/>
                    <w:adjustRightInd w:val="0"/>
                    <w:snapToGrid w:val="0"/>
                    <w:jc w:val="center"/>
                    <w:rPr>
                      <w:bCs/>
                      <w:szCs w:val="21"/>
                    </w:rPr>
                  </w:pPr>
                </w:p>
              </w:tc>
            </w:tr>
            <w:tr w14:paraId="312AD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Align w:val="center"/>
                </w:tcPr>
                <w:p w14:paraId="64FBED15">
                  <w:pPr>
                    <w:pStyle w:val="84"/>
                    <w:adjustRightInd w:val="0"/>
                    <w:snapToGrid w:val="0"/>
                    <w:jc w:val="center"/>
                    <w:rPr>
                      <w:bCs/>
                      <w:szCs w:val="21"/>
                    </w:rPr>
                  </w:pPr>
                  <w:r>
                    <w:rPr>
                      <w:bCs/>
                      <w:szCs w:val="21"/>
                    </w:rPr>
                    <w:t>乙苯</w:t>
                  </w:r>
                </w:p>
              </w:tc>
              <w:tc>
                <w:tcPr>
                  <w:tcW w:w="791" w:type="pct"/>
                  <w:vAlign w:val="center"/>
                </w:tcPr>
                <w:p w14:paraId="23BD75BB">
                  <w:pPr>
                    <w:pStyle w:val="84"/>
                    <w:adjustRightInd w:val="0"/>
                    <w:snapToGrid w:val="0"/>
                    <w:jc w:val="center"/>
                    <w:rPr>
                      <w:bCs/>
                      <w:szCs w:val="21"/>
                    </w:rPr>
                  </w:pPr>
                  <w:r>
                    <w:rPr>
                      <w:rFonts w:hint="eastAsia"/>
                      <w:bCs/>
                      <w:szCs w:val="21"/>
                    </w:rPr>
                    <w:t>40</w:t>
                  </w:r>
                </w:p>
              </w:tc>
              <w:tc>
                <w:tcPr>
                  <w:tcW w:w="736" w:type="pct"/>
                  <w:vAlign w:val="center"/>
                </w:tcPr>
                <w:p w14:paraId="60D1DE56">
                  <w:pPr>
                    <w:adjustRightInd w:val="0"/>
                    <w:snapToGrid w:val="0"/>
                    <w:jc w:val="center"/>
                    <w:rPr>
                      <w:bCs/>
                      <w:szCs w:val="21"/>
                    </w:rPr>
                  </w:pPr>
                  <w:r>
                    <w:rPr>
                      <w:rFonts w:hint="eastAsia"/>
                      <w:bCs/>
                      <w:szCs w:val="21"/>
                      <w:lang w:val="en-US" w:eastAsia="zh-CN"/>
                    </w:rPr>
                    <w:t>15</w:t>
                  </w:r>
                </w:p>
              </w:tc>
              <w:tc>
                <w:tcPr>
                  <w:tcW w:w="570" w:type="pct"/>
                  <w:vAlign w:val="center"/>
                </w:tcPr>
                <w:p w14:paraId="5E7AFF2C">
                  <w:pPr>
                    <w:pStyle w:val="84"/>
                    <w:adjustRightInd w:val="0"/>
                    <w:snapToGrid w:val="0"/>
                    <w:jc w:val="center"/>
                    <w:rPr>
                      <w:rFonts w:hint="default" w:eastAsia="宋体"/>
                      <w:bCs/>
                      <w:szCs w:val="21"/>
                      <w:lang w:val="en-US" w:eastAsia="zh-CN"/>
                    </w:rPr>
                  </w:pPr>
                  <w:r>
                    <w:rPr>
                      <w:rFonts w:hint="eastAsia"/>
                      <w:bCs/>
                      <w:szCs w:val="21"/>
                      <w:lang w:val="en-US" w:eastAsia="zh-CN"/>
                    </w:rPr>
                    <w:t>1.4</w:t>
                  </w:r>
                </w:p>
              </w:tc>
              <w:tc>
                <w:tcPr>
                  <w:tcW w:w="2202" w:type="pct"/>
                  <w:vMerge w:val="continue"/>
                  <w:vAlign w:val="center"/>
                </w:tcPr>
                <w:p w14:paraId="1197AE71">
                  <w:pPr>
                    <w:pStyle w:val="84"/>
                    <w:adjustRightInd w:val="0"/>
                    <w:snapToGrid w:val="0"/>
                    <w:jc w:val="center"/>
                    <w:rPr>
                      <w:bCs/>
                      <w:szCs w:val="21"/>
                    </w:rPr>
                  </w:pPr>
                </w:p>
              </w:tc>
            </w:tr>
            <w:tr w14:paraId="01BE6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Align w:val="center"/>
                </w:tcPr>
                <w:p w14:paraId="626DBD14">
                  <w:pPr>
                    <w:pStyle w:val="84"/>
                    <w:adjustRightInd w:val="0"/>
                    <w:snapToGrid w:val="0"/>
                    <w:jc w:val="center"/>
                    <w:rPr>
                      <w:bCs/>
                      <w:szCs w:val="21"/>
                    </w:rPr>
                  </w:pPr>
                  <w:r>
                    <w:rPr>
                      <w:rFonts w:hint="eastAsia"/>
                      <w:szCs w:val="21"/>
                    </w:rPr>
                    <w:t>苯乙烯</w:t>
                  </w:r>
                </w:p>
              </w:tc>
              <w:tc>
                <w:tcPr>
                  <w:tcW w:w="791" w:type="pct"/>
                  <w:vAlign w:val="center"/>
                </w:tcPr>
                <w:p w14:paraId="1A1C3814">
                  <w:pPr>
                    <w:pStyle w:val="84"/>
                    <w:adjustRightInd w:val="0"/>
                    <w:snapToGrid w:val="0"/>
                    <w:jc w:val="center"/>
                    <w:rPr>
                      <w:rFonts w:hint="default" w:eastAsia="宋体"/>
                      <w:bCs/>
                      <w:szCs w:val="21"/>
                      <w:lang w:val="en-US" w:eastAsia="zh-CN"/>
                    </w:rPr>
                  </w:pPr>
                  <w:r>
                    <w:rPr>
                      <w:rFonts w:hint="eastAsia"/>
                      <w:bCs/>
                      <w:szCs w:val="21"/>
                      <w:lang w:val="en-US" w:eastAsia="zh-CN"/>
                    </w:rPr>
                    <w:t>20</w:t>
                  </w:r>
                </w:p>
              </w:tc>
              <w:tc>
                <w:tcPr>
                  <w:tcW w:w="736" w:type="pct"/>
                  <w:vAlign w:val="center"/>
                </w:tcPr>
                <w:p w14:paraId="2ED27C40">
                  <w:pPr>
                    <w:adjustRightInd w:val="0"/>
                    <w:snapToGrid w:val="0"/>
                    <w:jc w:val="center"/>
                    <w:rPr>
                      <w:rFonts w:hint="default"/>
                      <w:bCs/>
                      <w:szCs w:val="21"/>
                      <w:lang w:val="en-US" w:eastAsia="zh-CN"/>
                    </w:rPr>
                  </w:pPr>
                  <w:r>
                    <w:rPr>
                      <w:rFonts w:hint="eastAsia"/>
                      <w:bCs/>
                      <w:szCs w:val="21"/>
                      <w:lang w:val="en-US" w:eastAsia="zh-CN"/>
                    </w:rPr>
                    <w:t>15</w:t>
                  </w:r>
                </w:p>
              </w:tc>
              <w:tc>
                <w:tcPr>
                  <w:tcW w:w="570" w:type="pct"/>
                  <w:vAlign w:val="center"/>
                </w:tcPr>
                <w:p w14:paraId="13316256">
                  <w:pPr>
                    <w:pStyle w:val="84"/>
                    <w:adjustRightInd w:val="0"/>
                    <w:snapToGrid w:val="0"/>
                    <w:jc w:val="center"/>
                    <w:rPr>
                      <w:rFonts w:hint="default"/>
                      <w:bCs/>
                      <w:szCs w:val="21"/>
                      <w:lang w:val="en-US" w:eastAsia="zh-CN"/>
                    </w:rPr>
                  </w:pPr>
                  <w:r>
                    <w:rPr>
                      <w:rFonts w:hint="eastAsia"/>
                      <w:bCs/>
                      <w:szCs w:val="21"/>
                      <w:lang w:val="en-US" w:eastAsia="zh-CN"/>
                    </w:rPr>
                    <w:t>0.7</w:t>
                  </w:r>
                </w:p>
              </w:tc>
              <w:tc>
                <w:tcPr>
                  <w:tcW w:w="2202" w:type="pct"/>
                  <w:vMerge w:val="continue"/>
                  <w:vAlign w:val="center"/>
                </w:tcPr>
                <w:p w14:paraId="3E8B99CE">
                  <w:pPr>
                    <w:pStyle w:val="84"/>
                    <w:adjustRightInd w:val="0"/>
                    <w:snapToGrid w:val="0"/>
                    <w:jc w:val="center"/>
                    <w:rPr>
                      <w:bCs/>
                      <w:szCs w:val="21"/>
                    </w:rPr>
                  </w:pPr>
                </w:p>
              </w:tc>
            </w:tr>
            <w:tr w14:paraId="65374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pct"/>
                  <w:vAlign w:val="center"/>
                </w:tcPr>
                <w:p w14:paraId="163F880B">
                  <w:pPr>
                    <w:keepNext w:val="0"/>
                    <w:keepLines w:val="0"/>
                    <w:widowControl/>
                    <w:suppressLineNumbers w:val="0"/>
                    <w:jc w:val="center"/>
                    <w:rPr>
                      <w:rFonts w:hint="eastAsia"/>
                      <w:szCs w:val="21"/>
                    </w:rPr>
                  </w:pPr>
                  <w:r>
                    <w:rPr>
                      <w:rFonts w:hint="eastAsia" w:ascii="宋体" w:hAnsi="宋体" w:eastAsia="宋体" w:cs="宋体"/>
                      <w:color w:val="000000"/>
                      <w:kern w:val="0"/>
                      <w:sz w:val="21"/>
                      <w:szCs w:val="21"/>
                      <w:lang w:val="en-US" w:eastAsia="zh-CN" w:bidi="ar"/>
                    </w:rPr>
                    <w:t>丙烯腈</w:t>
                  </w:r>
                </w:p>
              </w:tc>
              <w:tc>
                <w:tcPr>
                  <w:tcW w:w="791" w:type="pct"/>
                  <w:vAlign w:val="center"/>
                </w:tcPr>
                <w:p w14:paraId="4026CA18">
                  <w:pPr>
                    <w:pStyle w:val="84"/>
                    <w:adjustRightInd w:val="0"/>
                    <w:snapToGrid w:val="0"/>
                    <w:jc w:val="center"/>
                    <w:rPr>
                      <w:rFonts w:hint="default"/>
                      <w:bCs/>
                      <w:szCs w:val="21"/>
                      <w:lang w:val="en-US" w:eastAsia="zh-CN"/>
                    </w:rPr>
                  </w:pPr>
                  <w:r>
                    <w:rPr>
                      <w:rFonts w:hint="eastAsia"/>
                      <w:bCs/>
                      <w:szCs w:val="21"/>
                      <w:lang w:val="en-US" w:eastAsia="zh-CN"/>
                    </w:rPr>
                    <w:t>0.5</w:t>
                  </w:r>
                </w:p>
              </w:tc>
              <w:tc>
                <w:tcPr>
                  <w:tcW w:w="736" w:type="pct"/>
                  <w:vAlign w:val="center"/>
                </w:tcPr>
                <w:p w14:paraId="4C03138A">
                  <w:pPr>
                    <w:adjustRightInd w:val="0"/>
                    <w:snapToGrid w:val="0"/>
                    <w:jc w:val="center"/>
                    <w:rPr>
                      <w:rFonts w:hint="default"/>
                      <w:bCs/>
                      <w:szCs w:val="21"/>
                      <w:lang w:val="en-US" w:eastAsia="zh-CN"/>
                    </w:rPr>
                  </w:pPr>
                  <w:r>
                    <w:rPr>
                      <w:rFonts w:hint="eastAsia"/>
                      <w:bCs/>
                      <w:szCs w:val="21"/>
                      <w:lang w:val="en-US" w:eastAsia="zh-CN"/>
                    </w:rPr>
                    <w:t>/</w:t>
                  </w:r>
                </w:p>
              </w:tc>
              <w:tc>
                <w:tcPr>
                  <w:tcW w:w="570" w:type="pct"/>
                  <w:vAlign w:val="center"/>
                </w:tcPr>
                <w:p w14:paraId="350D73C6">
                  <w:pPr>
                    <w:pStyle w:val="84"/>
                    <w:adjustRightInd w:val="0"/>
                    <w:snapToGrid w:val="0"/>
                    <w:jc w:val="center"/>
                    <w:rPr>
                      <w:rFonts w:hint="default"/>
                      <w:bCs/>
                      <w:szCs w:val="21"/>
                      <w:lang w:val="en-US" w:eastAsia="zh-CN"/>
                    </w:rPr>
                  </w:pPr>
                  <w:r>
                    <w:rPr>
                      <w:rFonts w:hint="eastAsia"/>
                      <w:bCs/>
                      <w:szCs w:val="21"/>
                      <w:lang w:val="en-US" w:eastAsia="zh-CN"/>
                    </w:rPr>
                    <w:t>/</w:t>
                  </w:r>
                </w:p>
              </w:tc>
              <w:tc>
                <w:tcPr>
                  <w:tcW w:w="2202" w:type="pct"/>
                  <w:vAlign w:val="center"/>
                </w:tcPr>
                <w:p w14:paraId="01C2E1F1">
                  <w:pPr>
                    <w:keepNext w:val="0"/>
                    <w:keepLines w:val="0"/>
                    <w:widowControl/>
                    <w:suppressLineNumbers w:val="0"/>
                    <w:jc w:val="left"/>
                    <w:rPr>
                      <w:bCs/>
                      <w:szCs w:val="21"/>
                    </w:rPr>
                  </w:pPr>
                  <w:r>
                    <w:rPr>
                      <w:rFonts w:hint="eastAsia" w:ascii="宋体" w:hAnsi="宋体" w:eastAsia="宋体" w:cs="宋体"/>
                      <w:color w:val="000000"/>
                      <w:kern w:val="0"/>
                      <w:sz w:val="21"/>
                      <w:szCs w:val="21"/>
                      <w:lang w:val="en-US" w:eastAsia="zh-CN" w:bidi="ar"/>
                    </w:rPr>
                    <w:t>《合成树脂工业污染物排放标准》（</w:t>
                  </w:r>
                  <w:r>
                    <w:rPr>
                      <w:rFonts w:hint="default" w:ascii="Times New Roman" w:hAnsi="Times New Roman" w:eastAsia="宋体" w:cs="Times New Roman"/>
                      <w:color w:val="000000"/>
                      <w:kern w:val="0"/>
                      <w:sz w:val="21"/>
                      <w:szCs w:val="21"/>
                      <w:lang w:val="en-US" w:eastAsia="zh-CN" w:bidi="ar"/>
                    </w:rPr>
                    <w:t>GB31572-2015</w:t>
                  </w:r>
                  <w:r>
                    <w:rPr>
                      <w:rFonts w:hint="eastAsia" w:ascii="宋体" w:hAnsi="宋体" w:eastAsia="宋体" w:cs="宋体"/>
                      <w:color w:val="000000"/>
                      <w:kern w:val="0"/>
                      <w:sz w:val="21"/>
                      <w:szCs w:val="21"/>
                      <w:lang w:val="en-US" w:eastAsia="zh-CN" w:bidi="ar"/>
                    </w:rPr>
                    <w:t>）表</w:t>
                  </w:r>
                  <w:r>
                    <w:rPr>
                      <w:rFonts w:hint="eastAsia" w:ascii="Times New Roman" w:hAnsi="Times New Roman" w:eastAsia="宋体" w:cs="Times New Roman"/>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特别排放限值</w:t>
                  </w:r>
                </w:p>
              </w:tc>
            </w:tr>
          </w:tbl>
          <w:p w14:paraId="75AEEA2E">
            <w:pPr>
              <w:adjustRightInd w:val="0"/>
              <w:snapToGrid w:val="0"/>
              <w:spacing w:line="240" w:lineRule="auto"/>
              <w:jc w:val="center"/>
              <w:rPr>
                <w:b/>
                <w:sz w:val="21"/>
                <w:szCs w:val="21"/>
              </w:rPr>
            </w:pPr>
            <w:r>
              <w:rPr>
                <w:rFonts w:hint="eastAsia"/>
                <w:b/>
                <w:sz w:val="21"/>
                <w:szCs w:val="21"/>
              </w:rPr>
              <w:t>表3-8</w:t>
            </w:r>
            <w:r>
              <w:rPr>
                <w:b/>
                <w:sz w:val="21"/>
                <w:szCs w:val="21"/>
              </w:rPr>
              <w:t>项目</w:t>
            </w:r>
            <w:r>
              <w:rPr>
                <w:rFonts w:hint="eastAsia"/>
                <w:b/>
                <w:sz w:val="21"/>
                <w:szCs w:val="21"/>
              </w:rPr>
              <w:t>无</w:t>
            </w:r>
            <w:r>
              <w:rPr>
                <w:b/>
                <w:sz w:val="21"/>
                <w:szCs w:val="21"/>
              </w:rPr>
              <w:t>组织废气污染物排放标准</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124"/>
              <w:gridCol w:w="1056"/>
              <w:gridCol w:w="480"/>
              <w:gridCol w:w="2928"/>
            </w:tblGrid>
            <w:tr w14:paraId="29F6D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5CC0411E">
                  <w:pPr>
                    <w:adjustRightInd w:val="0"/>
                    <w:snapToGrid w:val="0"/>
                    <w:jc w:val="center"/>
                    <w:rPr>
                      <w:b/>
                    </w:rPr>
                  </w:pPr>
                  <w:r>
                    <w:rPr>
                      <w:rFonts w:hint="eastAsia"/>
                      <w:b/>
                    </w:rPr>
                    <w:t>序号</w:t>
                  </w:r>
                </w:p>
              </w:tc>
              <w:tc>
                <w:tcPr>
                  <w:tcW w:w="1879" w:type="pct"/>
                  <w:vAlign w:val="center"/>
                </w:tcPr>
                <w:p w14:paraId="19D6CABE">
                  <w:pPr>
                    <w:adjustRightInd w:val="0"/>
                    <w:snapToGrid w:val="0"/>
                    <w:jc w:val="center"/>
                    <w:rPr>
                      <w:b/>
                    </w:rPr>
                  </w:pPr>
                  <w:r>
                    <w:rPr>
                      <w:rFonts w:hint="eastAsia"/>
                      <w:b/>
                      <w:bCs/>
                      <w:szCs w:val="21"/>
                    </w:rPr>
                    <w:t>排放</w:t>
                  </w:r>
                  <w:r>
                    <w:rPr>
                      <w:b/>
                      <w:bCs/>
                      <w:szCs w:val="21"/>
                    </w:rPr>
                    <w:t>标准名称</w:t>
                  </w:r>
                </w:p>
              </w:tc>
              <w:tc>
                <w:tcPr>
                  <w:tcW w:w="635" w:type="pct"/>
                  <w:vAlign w:val="center"/>
                </w:tcPr>
                <w:p w14:paraId="1ED0EF7E">
                  <w:pPr>
                    <w:adjustRightInd w:val="0"/>
                    <w:snapToGrid w:val="0"/>
                    <w:jc w:val="center"/>
                    <w:rPr>
                      <w:b/>
                    </w:rPr>
                  </w:pPr>
                  <w:r>
                    <w:rPr>
                      <w:b/>
                    </w:rPr>
                    <w:t>污染物</w:t>
                  </w:r>
                </w:p>
              </w:tc>
              <w:tc>
                <w:tcPr>
                  <w:tcW w:w="2050" w:type="pct"/>
                  <w:gridSpan w:val="2"/>
                  <w:vAlign w:val="center"/>
                </w:tcPr>
                <w:p w14:paraId="40B91696">
                  <w:pPr>
                    <w:adjustRightInd w:val="0"/>
                    <w:snapToGrid w:val="0"/>
                    <w:jc w:val="center"/>
                    <w:rPr>
                      <w:b/>
                    </w:rPr>
                  </w:pPr>
                  <w:r>
                    <w:rPr>
                      <w:b/>
                    </w:rPr>
                    <w:t>排放浓度限值</w:t>
                  </w:r>
                </w:p>
              </w:tc>
            </w:tr>
            <w:tr w14:paraId="2F1F1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696A7A83">
                  <w:pPr>
                    <w:adjustRightInd w:val="0"/>
                    <w:snapToGrid w:val="0"/>
                    <w:jc w:val="center"/>
                  </w:pPr>
                  <w:r>
                    <w:rPr>
                      <w:rFonts w:hint="eastAsia"/>
                    </w:rPr>
                    <w:t>1</w:t>
                  </w:r>
                </w:p>
              </w:tc>
              <w:tc>
                <w:tcPr>
                  <w:tcW w:w="1879" w:type="pct"/>
                  <w:vAlign w:val="center"/>
                </w:tcPr>
                <w:p w14:paraId="01BC574C">
                  <w:pPr>
                    <w:adjustRightInd w:val="0"/>
                    <w:snapToGrid w:val="0"/>
                    <w:jc w:val="center"/>
                  </w:pPr>
                  <w:r>
                    <w:rPr>
                      <w:bCs/>
                      <w:szCs w:val="21"/>
                    </w:rPr>
                    <w:t>《大气污染物综合排放标准》（GB16297-1996）二级标准</w:t>
                  </w:r>
                </w:p>
              </w:tc>
              <w:tc>
                <w:tcPr>
                  <w:tcW w:w="635" w:type="pct"/>
                  <w:vAlign w:val="center"/>
                </w:tcPr>
                <w:p w14:paraId="10F884DA">
                  <w:pPr>
                    <w:adjustRightInd w:val="0"/>
                    <w:snapToGrid w:val="0"/>
                    <w:jc w:val="center"/>
                  </w:pPr>
                  <w:r>
                    <w:rPr>
                      <w:rFonts w:hint="eastAsia"/>
                    </w:rPr>
                    <w:t>颗粒物</w:t>
                  </w:r>
                </w:p>
              </w:tc>
              <w:tc>
                <w:tcPr>
                  <w:tcW w:w="2050" w:type="pct"/>
                  <w:gridSpan w:val="2"/>
                  <w:vAlign w:val="center"/>
                </w:tcPr>
                <w:p w14:paraId="227A796B">
                  <w:pPr>
                    <w:adjustRightInd w:val="0"/>
                    <w:snapToGrid w:val="0"/>
                    <w:jc w:val="center"/>
                  </w:pPr>
                  <w:r>
                    <w:t>1.0mg/m</w:t>
                  </w:r>
                  <w:r>
                    <w:rPr>
                      <w:vertAlign w:val="superscript"/>
                    </w:rPr>
                    <w:t>3</w:t>
                  </w:r>
                </w:p>
              </w:tc>
            </w:tr>
            <w:tr w14:paraId="5B52E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vAlign w:val="center"/>
                </w:tcPr>
                <w:p w14:paraId="2E4C4D69">
                  <w:pPr>
                    <w:adjustRightInd w:val="0"/>
                    <w:snapToGrid w:val="0"/>
                    <w:jc w:val="center"/>
                  </w:pPr>
                  <w:r>
                    <w:rPr>
                      <w:rFonts w:hint="eastAsia"/>
                    </w:rPr>
                    <w:t>2</w:t>
                  </w:r>
                </w:p>
              </w:tc>
              <w:tc>
                <w:tcPr>
                  <w:tcW w:w="1879" w:type="pct"/>
                  <w:vMerge w:val="restart"/>
                  <w:vAlign w:val="center"/>
                </w:tcPr>
                <w:p w14:paraId="4FE14152">
                  <w:pPr>
                    <w:adjustRightInd w:val="0"/>
                    <w:snapToGrid w:val="0"/>
                    <w:jc w:val="center"/>
                  </w:pPr>
                  <w:r>
                    <w:rPr>
                      <w:bCs/>
                      <w:szCs w:val="21"/>
                    </w:rPr>
                    <w:t>《四川省固定污染源大气挥发性有机物排放标准》表</w:t>
                  </w:r>
                  <w:r>
                    <w:rPr>
                      <w:rFonts w:hint="eastAsia"/>
                      <w:bCs/>
                      <w:szCs w:val="21"/>
                    </w:rPr>
                    <w:t>5限值</w:t>
                  </w:r>
                </w:p>
              </w:tc>
              <w:tc>
                <w:tcPr>
                  <w:tcW w:w="635" w:type="pct"/>
                  <w:vAlign w:val="center"/>
                </w:tcPr>
                <w:p w14:paraId="7B1096F4">
                  <w:pPr>
                    <w:adjustRightInd w:val="0"/>
                    <w:snapToGrid w:val="0"/>
                    <w:jc w:val="center"/>
                    <w:rPr>
                      <w:bCs/>
                      <w:szCs w:val="21"/>
                    </w:rPr>
                  </w:pPr>
                  <w:r>
                    <w:rPr>
                      <w:bCs/>
                      <w:szCs w:val="21"/>
                    </w:rPr>
                    <w:t>VOCs</w:t>
                  </w:r>
                </w:p>
              </w:tc>
              <w:tc>
                <w:tcPr>
                  <w:tcW w:w="2050" w:type="pct"/>
                  <w:gridSpan w:val="2"/>
                  <w:vAlign w:val="center"/>
                </w:tcPr>
                <w:p w14:paraId="2A4A8B50">
                  <w:pPr>
                    <w:adjustRightInd w:val="0"/>
                    <w:snapToGrid w:val="0"/>
                    <w:jc w:val="center"/>
                  </w:pPr>
                  <w:r>
                    <w:rPr>
                      <w:bCs/>
                      <w:szCs w:val="21"/>
                    </w:rPr>
                    <w:t>2.0</w:t>
                  </w:r>
                  <w:r>
                    <w:t>mg/m</w:t>
                  </w:r>
                  <w:r>
                    <w:rPr>
                      <w:vertAlign w:val="superscript"/>
                    </w:rPr>
                    <w:t>3</w:t>
                  </w:r>
                </w:p>
              </w:tc>
            </w:tr>
            <w:tr w14:paraId="42A1B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vAlign w:val="center"/>
                </w:tcPr>
                <w:p w14:paraId="1188E94B">
                  <w:pPr>
                    <w:adjustRightInd w:val="0"/>
                    <w:snapToGrid w:val="0"/>
                    <w:jc w:val="center"/>
                  </w:pPr>
                </w:p>
              </w:tc>
              <w:tc>
                <w:tcPr>
                  <w:tcW w:w="1879" w:type="pct"/>
                  <w:vMerge w:val="continue"/>
                  <w:vAlign w:val="center"/>
                </w:tcPr>
                <w:p w14:paraId="5141DAF0">
                  <w:pPr>
                    <w:adjustRightInd w:val="0"/>
                    <w:snapToGrid w:val="0"/>
                    <w:jc w:val="center"/>
                  </w:pPr>
                </w:p>
              </w:tc>
              <w:tc>
                <w:tcPr>
                  <w:tcW w:w="635" w:type="pct"/>
                  <w:vAlign w:val="center"/>
                </w:tcPr>
                <w:p w14:paraId="1EB08824">
                  <w:pPr>
                    <w:adjustRightInd w:val="0"/>
                    <w:snapToGrid w:val="0"/>
                    <w:jc w:val="center"/>
                    <w:rPr>
                      <w:bCs/>
                      <w:szCs w:val="21"/>
                    </w:rPr>
                  </w:pPr>
                  <w:r>
                    <w:rPr>
                      <w:bCs/>
                      <w:szCs w:val="21"/>
                    </w:rPr>
                    <w:t>二甲苯</w:t>
                  </w:r>
                </w:p>
              </w:tc>
              <w:tc>
                <w:tcPr>
                  <w:tcW w:w="2050" w:type="pct"/>
                  <w:gridSpan w:val="2"/>
                  <w:vAlign w:val="center"/>
                </w:tcPr>
                <w:p w14:paraId="5E15D748">
                  <w:pPr>
                    <w:adjustRightInd w:val="0"/>
                    <w:snapToGrid w:val="0"/>
                    <w:jc w:val="center"/>
                  </w:pPr>
                  <w:r>
                    <w:rPr>
                      <w:rFonts w:hint="eastAsia"/>
                      <w:bCs/>
                      <w:szCs w:val="21"/>
                    </w:rPr>
                    <w:t>0.2</w:t>
                  </w:r>
                  <w:r>
                    <w:t>mg/m</w:t>
                  </w:r>
                  <w:r>
                    <w:rPr>
                      <w:vertAlign w:val="superscript"/>
                    </w:rPr>
                    <w:t>3</w:t>
                  </w:r>
                </w:p>
              </w:tc>
            </w:tr>
            <w:tr w14:paraId="0AF5C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vAlign w:val="center"/>
                </w:tcPr>
                <w:p w14:paraId="6DCEF8F3">
                  <w:pPr>
                    <w:adjustRightInd w:val="0"/>
                    <w:snapToGrid w:val="0"/>
                    <w:jc w:val="center"/>
                  </w:pPr>
                </w:p>
              </w:tc>
              <w:tc>
                <w:tcPr>
                  <w:tcW w:w="1879" w:type="pct"/>
                  <w:vMerge w:val="continue"/>
                  <w:vAlign w:val="center"/>
                </w:tcPr>
                <w:p w14:paraId="10C8F7B0">
                  <w:pPr>
                    <w:adjustRightInd w:val="0"/>
                    <w:snapToGrid w:val="0"/>
                    <w:jc w:val="center"/>
                  </w:pPr>
                </w:p>
              </w:tc>
              <w:tc>
                <w:tcPr>
                  <w:tcW w:w="635" w:type="pct"/>
                  <w:vAlign w:val="center"/>
                </w:tcPr>
                <w:p w14:paraId="6DD2F2E3">
                  <w:pPr>
                    <w:adjustRightInd w:val="0"/>
                    <w:snapToGrid w:val="0"/>
                    <w:jc w:val="center"/>
                    <w:rPr>
                      <w:bCs/>
                      <w:szCs w:val="21"/>
                    </w:rPr>
                  </w:pPr>
                  <w:r>
                    <w:rPr>
                      <w:bCs/>
                      <w:szCs w:val="21"/>
                    </w:rPr>
                    <w:t>甲苯</w:t>
                  </w:r>
                </w:p>
              </w:tc>
              <w:tc>
                <w:tcPr>
                  <w:tcW w:w="2050" w:type="pct"/>
                  <w:gridSpan w:val="2"/>
                  <w:vAlign w:val="center"/>
                </w:tcPr>
                <w:p w14:paraId="024EEF83">
                  <w:pPr>
                    <w:adjustRightInd w:val="0"/>
                    <w:snapToGrid w:val="0"/>
                    <w:jc w:val="center"/>
                  </w:pPr>
                  <w:r>
                    <w:rPr>
                      <w:rFonts w:hint="eastAsia"/>
                      <w:bCs/>
                      <w:szCs w:val="21"/>
                    </w:rPr>
                    <w:t>0.2</w:t>
                  </w:r>
                  <w:r>
                    <w:t>mg/m</w:t>
                  </w:r>
                  <w:r>
                    <w:rPr>
                      <w:vertAlign w:val="superscript"/>
                    </w:rPr>
                    <w:t>3</w:t>
                  </w:r>
                </w:p>
              </w:tc>
            </w:tr>
            <w:tr w14:paraId="55598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vAlign w:val="center"/>
                </w:tcPr>
                <w:p w14:paraId="4E32C546">
                  <w:pPr>
                    <w:adjustRightInd w:val="0"/>
                    <w:snapToGrid w:val="0"/>
                    <w:jc w:val="center"/>
                  </w:pPr>
                </w:p>
              </w:tc>
              <w:tc>
                <w:tcPr>
                  <w:tcW w:w="1879" w:type="pct"/>
                  <w:vMerge w:val="continue"/>
                  <w:vAlign w:val="center"/>
                </w:tcPr>
                <w:p w14:paraId="3443D2E9">
                  <w:pPr>
                    <w:adjustRightInd w:val="0"/>
                    <w:snapToGrid w:val="0"/>
                    <w:jc w:val="center"/>
                  </w:pPr>
                </w:p>
              </w:tc>
              <w:tc>
                <w:tcPr>
                  <w:tcW w:w="635" w:type="pct"/>
                  <w:vAlign w:val="center"/>
                </w:tcPr>
                <w:p w14:paraId="67D082E2">
                  <w:pPr>
                    <w:adjustRightInd w:val="0"/>
                    <w:snapToGrid w:val="0"/>
                    <w:jc w:val="center"/>
                    <w:rPr>
                      <w:bCs/>
                      <w:szCs w:val="21"/>
                    </w:rPr>
                  </w:pPr>
                  <w:r>
                    <w:rPr>
                      <w:bCs/>
                      <w:szCs w:val="21"/>
                    </w:rPr>
                    <w:t>乙苯</w:t>
                  </w:r>
                </w:p>
              </w:tc>
              <w:tc>
                <w:tcPr>
                  <w:tcW w:w="2050" w:type="pct"/>
                  <w:gridSpan w:val="2"/>
                  <w:vAlign w:val="center"/>
                </w:tcPr>
                <w:p w14:paraId="7126831D">
                  <w:pPr>
                    <w:adjustRightInd w:val="0"/>
                    <w:snapToGrid w:val="0"/>
                    <w:jc w:val="center"/>
                  </w:pPr>
                  <w:r>
                    <w:rPr>
                      <w:rFonts w:hint="eastAsia"/>
                      <w:bCs/>
                      <w:szCs w:val="21"/>
                    </w:rPr>
                    <w:t>0.8</w:t>
                  </w:r>
                  <w:r>
                    <w:t>mg/m</w:t>
                  </w:r>
                  <w:r>
                    <w:rPr>
                      <w:vertAlign w:val="superscript"/>
                    </w:rPr>
                    <w:t>3</w:t>
                  </w:r>
                </w:p>
              </w:tc>
            </w:tr>
            <w:tr w14:paraId="5D8D5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31BA5934">
                  <w:pPr>
                    <w:adjustRightInd w:val="0"/>
                    <w:snapToGrid w:val="0"/>
                    <w:jc w:val="center"/>
                  </w:pPr>
                  <w:r>
                    <w:rPr>
                      <w:rFonts w:hint="eastAsia"/>
                    </w:rPr>
                    <w:t>3</w:t>
                  </w:r>
                </w:p>
              </w:tc>
              <w:tc>
                <w:tcPr>
                  <w:tcW w:w="1879" w:type="pct"/>
                  <w:vAlign w:val="center"/>
                </w:tcPr>
                <w:p w14:paraId="33288C28">
                  <w:pPr>
                    <w:tabs>
                      <w:tab w:val="left" w:pos="671"/>
                      <w:tab w:val="center" w:pos="1355"/>
                    </w:tabs>
                    <w:adjustRightInd w:val="0"/>
                    <w:snapToGrid w:val="0"/>
                    <w:jc w:val="left"/>
                  </w:pPr>
                  <w:r>
                    <w:t>DB51/2377-2017</w:t>
                  </w:r>
                  <w:r>
                    <w:rPr>
                      <w:bCs/>
                      <w:szCs w:val="21"/>
                    </w:rPr>
                    <w:t>表</w:t>
                  </w:r>
                  <w:r>
                    <w:rPr>
                      <w:rFonts w:hint="eastAsia"/>
                      <w:bCs/>
                      <w:szCs w:val="21"/>
                      <w:lang w:val="en-US" w:eastAsia="zh-CN"/>
                    </w:rPr>
                    <w:t>6</w:t>
                  </w:r>
                  <w:r>
                    <w:rPr>
                      <w:rFonts w:hint="eastAsia"/>
                      <w:bCs/>
                      <w:szCs w:val="21"/>
                    </w:rPr>
                    <w:t>限值</w:t>
                  </w:r>
                </w:p>
              </w:tc>
              <w:tc>
                <w:tcPr>
                  <w:tcW w:w="635" w:type="pct"/>
                  <w:vAlign w:val="center"/>
                </w:tcPr>
                <w:p w14:paraId="4491D06C">
                  <w:pPr>
                    <w:adjustRightInd w:val="0"/>
                    <w:snapToGrid w:val="0"/>
                    <w:jc w:val="center"/>
                    <w:rPr>
                      <w:bCs/>
                      <w:szCs w:val="21"/>
                    </w:rPr>
                  </w:pPr>
                  <w:r>
                    <w:rPr>
                      <w:rFonts w:hint="eastAsia"/>
                      <w:szCs w:val="21"/>
                    </w:rPr>
                    <w:t>苯乙烯</w:t>
                  </w:r>
                </w:p>
              </w:tc>
              <w:tc>
                <w:tcPr>
                  <w:tcW w:w="2050" w:type="pct"/>
                  <w:gridSpan w:val="2"/>
                  <w:vAlign w:val="center"/>
                </w:tcPr>
                <w:p w14:paraId="19944E15">
                  <w:pPr>
                    <w:adjustRightInd w:val="0"/>
                    <w:snapToGrid w:val="0"/>
                    <w:jc w:val="center"/>
                    <w:rPr>
                      <w:rFonts w:hint="default" w:eastAsia="宋体"/>
                      <w:bCs/>
                      <w:szCs w:val="21"/>
                      <w:lang w:val="en-US" w:eastAsia="zh-CN"/>
                    </w:rPr>
                  </w:pPr>
                  <w:r>
                    <w:rPr>
                      <w:rFonts w:hint="eastAsia"/>
                      <w:bCs/>
                      <w:szCs w:val="21"/>
                      <w:lang w:val="en-US" w:eastAsia="zh-CN"/>
                    </w:rPr>
                    <w:t>0.4</w:t>
                  </w:r>
                  <w:r>
                    <w:t>mg/m</w:t>
                  </w:r>
                  <w:r>
                    <w:rPr>
                      <w:vertAlign w:val="superscript"/>
                    </w:rPr>
                    <w:t>3</w:t>
                  </w:r>
                </w:p>
              </w:tc>
            </w:tr>
            <w:tr w14:paraId="7B0CF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33" w:type="pct"/>
                  <w:vMerge w:val="restart"/>
                  <w:vAlign w:val="center"/>
                </w:tcPr>
                <w:p w14:paraId="01BB60B7">
                  <w:pPr>
                    <w:adjustRightInd w:val="0"/>
                    <w:snapToGrid w:val="0"/>
                    <w:jc w:val="center"/>
                    <w:rPr>
                      <w:rFonts w:hint="eastAsia" w:eastAsia="宋体"/>
                      <w:lang w:val="en-US" w:eastAsia="zh-CN"/>
                    </w:rPr>
                  </w:pPr>
                  <w:r>
                    <w:rPr>
                      <w:rFonts w:hint="eastAsia"/>
                      <w:lang w:val="en-US" w:eastAsia="zh-CN"/>
                    </w:rPr>
                    <w:t>4</w:t>
                  </w:r>
                </w:p>
              </w:tc>
              <w:tc>
                <w:tcPr>
                  <w:tcW w:w="1879" w:type="pct"/>
                  <w:vMerge w:val="restart"/>
                  <w:vAlign w:val="center"/>
                </w:tcPr>
                <w:p w14:paraId="38837270">
                  <w:pPr>
                    <w:adjustRightInd w:val="0"/>
                    <w:snapToGrid w:val="0"/>
                    <w:jc w:val="center"/>
                  </w:pPr>
                  <w:r>
                    <w:rPr>
                      <w:rFonts w:hint="eastAsia"/>
                    </w:rPr>
                    <w:t>《挥发性有机物无组织排放控制标准》</w:t>
                  </w:r>
                </w:p>
              </w:tc>
              <w:tc>
                <w:tcPr>
                  <w:tcW w:w="635" w:type="pct"/>
                  <w:vMerge w:val="restart"/>
                  <w:vAlign w:val="center"/>
                </w:tcPr>
                <w:p w14:paraId="1B0768F5">
                  <w:pPr>
                    <w:adjustRightInd w:val="0"/>
                    <w:snapToGrid w:val="0"/>
                    <w:jc w:val="center"/>
                    <w:rPr>
                      <w:bCs/>
                      <w:szCs w:val="21"/>
                    </w:rPr>
                  </w:pPr>
                  <w:r>
                    <w:rPr>
                      <w:rFonts w:hint="eastAsia"/>
                      <w:bCs/>
                      <w:szCs w:val="21"/>
                    </w:rPr>
                    <w:t>NMHC</w:t>
                  </w:r>
                </w:p>
              </w:tc>
              <w:tc>
                <w:tcPr>
                  <w:tcW w:w="288" w:type="pct"/>
                  <w:vAlign w:val="center"/>
                </w:tcPr>
                <w:p w14:paraId="0B6CCF1F">
                  <w:pPr>
                    <w:adjustRightInd w:val="0"/>
                    <w:snapToGrid w:val="0"/>
                    <w:jc w:val="center"/>
                    <w:rPr>
                      <w:rFonts w:hint="eastAsia" w:eastAsia="宋体"/>
                      <w:bCs/>
                      <w:szCs w:val="21"/>
                      <w:lang w:eastAsia="zh-CN"/>
                    </w:rPr>
                  </w:pPr>
                  <w:r>
                    <w:rPr>
                      <w:rFonts w:hint="eastAsia"/>
                      <w:bCs/>
                      <w:szCs w:val="21"/>
                      <w:lang w:val="en-US" w:eastAsia="zh-CN"/>
                    </w:rPr>
                    <w:t>6</w:t>
                  </w:r>
                </w:p>
              </w:tc>
              <w:tc>
                <w:tcPr>
                  <w:tcW w:w="1761" w:type="pct"/>
                  <w:vAlign w:val="center"/>
                </w:tcPr>
                <w:p w14:paraId="2D45CDAA">
                  <w:pPr>
                    <w:adjustRightInd w:val="0"/>
                    <w:snapToGrid w:val="0"/>
                    <w:jc w:val="center"/>
                    <w:rPr>
                      <w:bCs/>
                      <w:szCs w:val="21"/>
                    </w:rPr>
                  </w:pPr>
                  <w:r>
                    <w:rPr>
                      <w:rFonts w:hint="eastAsia"/>
                      <w:szCs w:val="21"/>
                    </w:rPr>
                    <w:t>监控点处1h</w:t>
                  </w:r>
                  <w:r>
                    <w:rPr>
                      <w:szCs w:val="21"/>
                    </w:rPr>
                    <w:t>平均浓度值</w:t>
                  </w:r>
                </w:p>
              </w:tc>
            </w:tr>
            <w:tr w14:paraId="30525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33" w:type="pct"/>
                  <w:vMerge w:val="continue"/>
                  <w:vAlign w:val="center"/>
                </w:tcPr>
                <w:p w14:paraId="6EB5BAD5">
                  <w:pPr>
                    <w:adjustRightInd w:val="0"/>
                    <w:snapToGrid w:val="0"/>
                    <w:jc w:val="center"/>
                  </w:pPr>
                </w:p>
              </w:tc>
              <w:tc>
                <w:tcPr>
                  <w:tcW w:w="1879" w:type="pct"/>
                  <w:vMerge w:val="continue"/>
                  <w:vAlign w:val="center"/>
                </w:tcPr>
                <w:p w14:paraId="76A2626F">
                  <w:pPr>
                    <w:adjustRightInd w:val="0"/>
                    <w:snapToGrid w:val="0"/>
                    <w:jc w:val="center"/>
                  </w:pPr>
                </w:p>
              </w:tc>
              <w:tc>
                <w:tcPr>
                  <w:tcW w:w="635" w:type="pct"/>
                  <w:vMerge w:val="continue"/>
                  <w:vAlign w:val="center"/>
                </w:tcPr>
                <w:p w14:paraId="68F9FB5E">
                  <w:pPr>
                    <w:adjustRightInd w:val="0"/>
                    <w:snapToGrid w:val="0"/>
                    <w:jc w:val="center"/>
                    <w:rPr>
                      <w:bCs/>
                      <w:szCs w:val="21"/>
                    </w:rPr>
                  </w:pPr>
                </w:p>
              </w:tc>
              <w:tc>
                <w:tcPr>
                  <w:tcW w:w="288" w:type="pct"/>
                  <w:vAlign w:val="center"/>
                </w:tcPr>
                <w:p w14:paraId="2A5D9D7B">
                  <w:pPr>
                    <w:adjustRightInd w:val="0"/>
                    <w:snapToGrid w:val="0"/>
                    <w:jc w:val="center"/>
                    <w:rPr>
                      <w:rFonts w:hint="default" w:eastAsia="宋体"/>
                      <w:bCs/>
                      <w:szCs w:val="21"/>
                      <w:lang w:val="en-US" w:eastAsia="zh-CN"/>
                    </w:rPr>
                  </w:pPr>
                  <w:r>
                    <w:rPr>
                      <w:rFonts w:hint="eastAsia"/>
                      <w:bCs/>
                      <w:szCs w:val="21"/>
                      <w:lang w:val="en-US" w:eastAsia="zh-CN"/>
                    </w:rPr>
                    <w:t>20</w:t>
                  </w:r>
                </w:p>
              </w:tc>
              <w:tc>
                <w:tcPr>
                  <w:tcW w:w="1761" w:type="pct"/>
                  <w:vAlign w:val="center"/>
                </w:tcPr>
                <w:p w14:paraId="5BAC9033">
                  <w:pPr>
                    <w:adjustRightInd w:val="0"/>
                    <w:snapToGrid w:val="0"/>
                    <w:jc w:val="center"/>
                    <w:rPr>
                      <w:bCs/>
                      <w:szCs w:val="21"/>
                    </w:rPr>
                  </w:pPr>
                  <w:r>
                    <w:rPr>
                      <w:rFonts w:hint="eastAsia"/>
                      <w:bCs/>
                      <w:szCs w:val="21"/>
                    </w:rPr>
                    <w:t>监控点处任意一次浓度值</w:t>
                  </w:r>
                </w:p>
              </w:tc>
            </w:tr>
            <w:bookmarkEnd w:id="9"/>
          </w:tbl>
          <w:p w14:paraId="71A8630F">
            <w:pPr>
              <w:numPr>
                <w:ilvl w:val="0"/>
                <w:numId w:val="9"/>
              </w:numPr>
              <w:adjustRightInd w:val="0"/>
              <w:snapToGrid w:val="0"/>
              <w:spacing w:line="360" w:lineRule="auto"/>
              <w:ind w:firstLine="422" w:firstLineChars="200"/>
              <w:rPr>
                <w:rFonts w:hint="eastAsia"/>
                <w:b/>
                <w:bCs/>
                <w:sz w:val="21"/>
                <w:szCs w:val="21"/>
                <w:lang w:val="en-US" w:eastAsia="zh-CN"/>
              </w:rPr>
            </w:pPr>
            <w:r>
              <w:rPr>
                <w:rFonts w:hint="eastAsia"/>
                <w:b/>
                <w:bCs/>
                <w:sz w:val="21"/>
                <w:szCs w:val="21"/>
                <w:lang w:val="en-US" w:eastAsia="zh-CN"/>
              </w:rPr>
              <w:t>废水排放标准</w:t>
            </w:r>
          </w:p>
          <w:p w14:paraId="64D136A4">
            <w:pPr>
              <w:keepNext w:val="0"/>
              <w:keepLines w:val="0"/>
              <w:widowControl/>
              <w:suppressLineNumbers w:val="0"/>
              <w:spacing w:line="360" w:lineRule="auto"/>
              <w:ind w:firstLine="420" w:firstLineChars="200"/>
              <w:jc w:val="left"/>
              <w:rPr>
                <w:kern w:val="0"/>
                <w:sz w:val="21"/>
                <w:szCs w:val="21"/>
              </w:rPr>
            </w:pPr>
            <w:r>
              <w:rPr>
                <w:sz w:val="21"/>
                <w:szCs w:val="21"/>
              </w:rPr>
              <w:t>施工期生活</w:t>
            </w:r>
            <w:r>
              <w:rPr>
                <w:rFonts w:hint="eastAsia"/>
                <w:sz w:val="21"/>
                <w:szCs w:val="21"/>
                <w:lang w:val="en-US" w:eastAsia="zh-CN"/>
              </w:rPr>
              <w:t>污水</w:t>
            </w:r>
            <w:r>
              <w:rPr>
                <w:sz w:val="21"/>
                <w:szCs w:val="21"/>
              </w:rPr>
              <w:t>、运营期</w:t>
            </w:r>
            <w:r>
              <w:rPr>
                <w:rFonts w:hint="eastAsia"/>
                <w:sz w:val="21"/>
                <w:szCs w:val="21"/>
                <w:lang w:val="en-US" w:eastAsia="zh-CN"/>
              </w:rPr>
              <w:t>生产废水（注塑循环冷却水、地面清洁废水）及生活污水</w:t>
            </w:r>
            <w:r>
              <w:rPr>
                <w:sz w:val="21"/>
                <w:szCs w:val="21"/>
              </w:rPr>
              <w:t>经</w:t>
            </w:r>
            <w:r>
              <w:rPr>
                <w:rFonts w:hint="eastAsia"/>
                <w:sz w:val="21"/>
                <w:szCs w:val="21"/>
                <w:lang w:val="en-US" w:eastAsia="zh-CN"/>
              </w:rPr>
              <w:t>预处理池</w:t>
            </w:r>
            <w:r>
              <w:rPr>
                <w:sz w:val="21"/>
                <w:szCs w:val="21"/>
              </w:rPr>
              <w:t>处理达到《污水综合排放标准》（GB8978-1996）中的三级排放标准</w:t>
            </w:r>
            <w:r>
              <w:rPr>
                <w:rFonts w:hint="eastAsia"/>
                <w:sz w:val="21"/>
                <w:szCs w:val="21"/>
                <w:lang w:eastAsia="zh-CN"/>
              </w:rPr>
              <w:t>（</w:t>
            </w:r>
            <w:r>
              <w:rPr>
                <w:rFonts w:hint="eastAsia" w:ascii="宋体" w:hAnsi="宋体" w:eastAsia="宋体" w:cs="宋体"/>
                <w:color w:val="000000"/>
                <w:kern w:val="0"/>
                <w:sz w:val="21"/>
                <w:szCs w:val="21"/>
                <w:lang w:val="en-US" w:eastAsia="zh-CN" w:bidi="ar"/>
              </w:rPr>
              <w:t>氨氮、总磷执行《污水排入城镇下水道水质标准》&lt;</w:t>
            </w:r>
            <w:r>
              <w:rPr>
                <w:rFonts w:hint="default" w:ascii="Times New Roman" w:hAnsi="Times New Roman" w:eastAsia="宋体" w:cs="Times New Roman"/>
                <w:color w:val="000000"/>
                <w:kern w:val="0"/>
                <w:sz w:val="21"/>
                <w:szCs w:val="21"/>
                <w:lang w:val="en-US" w:eastAsia="zh-CN" w:bidi="ar"/>
              </w:rPr>
              <w:t>GB/T31962-2015</w:t>
            </w:r>
            <w:r>
              <w:rPr>
                <w:rFonts w:hint="eastAsia" w:ascii="Times New Roman" w:hAnsi="Times New Roman" w:eastAsia="宋体" w:cs="Times New Roman"/>
                <w:color w:val="000000"/>
                <w:kern w:val="0"/>
                <w:sz w:val="21"/>
                <w:szCs w:val="21"/>
                <w:lang w:val="en-US" w:eastAsia="zh-CN" w:bidi="ar"/>
              </w:rPr>
              <w:t>&gt;</w:t>
            </w:r>
            <w:r>
              <w:rPr>
                <w:rFonts w:hint="default" w:ascii="Times New Roman" w:hAnsi="Times New Roman" w:eastAsia="宋体" w:cs="Times New Roman"/>
                <w:color w:val="000000"/>
                <w:kern w:val="0"/>
                <w:sz w:val="21"/>
                <w:szCs w:val="21"/>
                <w:lang w:val="en-US" w:eastAsia="zh-CN" w:bidi="ar"/>
              </w:rPr>
              <w:t>B</w:t>
            </w:r>
            <w:r>
              <w:rPr>
                <w:rFonts w:hint="eastAsia" w:ascii="宋体" w:hAnsi="宋体" w:eastAsia="宋体" w:cs="宋体"/>
                <w:color w:val="000000"/>
                <w:kern w:val="0"/>
                <w:sz w:val="21"/>
                <w:szCs w:val="21"/>
                <w:lang w:val="en-US" w:eastAsia="zh-CN" w:bidi="ar"/>
              </w:rPr>
              <w:t>级标准</w:t>
            </w:r>
            <w:r>
              <w:rPr>
                <w:rFonts w:hint="eastAsia"/>
                <w:sz w:val="21"/>
                <w:szCs w:val="21"/>
                <w:lang w:eastAsia="zh-CN"/>
              </w:rPr>
              <w:t>）</w:t>
            </w:r>
            <w:r>
              <w:rPr>
                <w:sz w:val="21"/>
                <w:szCs w:val="21"/>
              </w:rPr>
              <w:t>后排入市政污水管网送蓬溪县经开区污水处理厂处理</w:t>
            </w:r>
            <w:r>
              <w:rPr>
                <w:rFonts w:hint="eastAsia"/>
                <w:sz w:val="21"/>
                <w:szCs w:val="21"/>
                <w:lang w:eastAsia="zh-CN"/>
              </w:rPr>
              <w:t>，</w:t>
            </w:r>
            <w:r>
              <w:rPr>
                <w:sz w:val="21"/>
                <w:szCs w:val="21"/>
              </w:rPr>
              <w:t>达到《城镇污水处理厂污染物排放标准》（GB18918-2002）中一级A标准后，最终排往芝溪河。具体标准见表3-</w:t>
            </w:r>
            <w:r>
              <w:rPr>
                <w:rFonts w:hint="eastAsia"/>
                <w:sz w:val="21"/>
                <w:szCs w:val="21"/>
                <w:lang w:val="en-US" w:eastAsia="zh-CN"/>
              </w:rPr>
              <w:t>9</w:t>
            </w:r>
            <w:r>
              <w:rPr>
                <w:sz w:val="21"/>
                <w:szCs w:val="21"/>
              </w:rPr>
              <w:t>。</w:t>
            </w:r>
          </w:p>
          <w:p w14:paraId="4955C6D5">
            <w:pPr>
              <w:bidi w:val="0"/>
              <w:jc w:val="center"/>
              <w:rPr>
                <w:rFonts w:hint="default" w:ascii="Times New Roman" w:hAnsi="Times New Roman" w:cs="Times New Roman"/>
                <w:b/>
                <w:bCs/>
              </w:rPr>
            </w:pPr>
            <w:r>
              <w:rPr>
                <w:rFonts w:hint="default" w:ascii="Times New Roman" w:hAnsi="Times New Roman" w:cs="Times New Roman"/>
                <w:b/>
                <w:bCs/>
              </w:rPr>
              <w:t>表3-</w:t>
            </w:r>
            <w:r>
              <w:rPr>
                <w:rFonts w:hint="eastAsia" w:ascii="Times New Roman" w:hAnsi="Times New Roman" w:cs="Times New Roman"/>
                <w:b/>
                <w:bCs/>
                <w:lang w:val="en-US" w:eastAsia="zh-CN"/>
              </w:rPr>
              <w:t>9</w:t>
            </w:r>
            <w:r>
              <w:rPr>
                <w:rFonts w:hint="default" w:ascii="Times New Roman" w:hAnsi="Times New Roman" w:cs="Times New Roman"/>
                <w:b/>
                <w:bCs/>
              </w:rPr>
              <w:t>污水排放标准</w:t>
            </w:r>
            <w:r>
              <w:rPr>
                <w:rFonts w:hint="default" w:ascii="Times New Roman" w:hAnsi="Times New Roman" w:cs="Times New Roman"/>
                <w:b/>
                <w:bCs/>
                <w:lang w:val="en-US" w:eastAsia="zh-CN"/>
              </w:rPr>
              <w:t xml:space="preserve"> </w:t>
            </w:r>
            <w:r>
              <w:rPr>
                <w:rFonts w:hint="default" w:ascii="Times New Roman" w:hAnsi="Times New Roman" w:cs="Times New Roman"/>
                <w:b/>
                <w:bCs/>
              </w:rPr>
              <w:t>（单位：mg/L，pH无量纲）</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19"/>
              <w:gridCol w:w="1050"/>
              <w:gridCol w:w="989"/>
              <w:gridCol w:w="927"/>
              <w:gridCol w:w="763"/>
              <w:gridCol w:w="949"/>
              <w:gridCol w:w="844"/>
              <w:gridCol w:w="763"/>
            </w:tblGrid>
            <w:tr w14:paraId="394BEF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21" w:hRule="atLeast"/>
                <w:jc w:val="center"/>
              </w:trPr>
              <w:tc>
                <w:tcPr>
                  <w:tcW w:w="1216" w:type="pct"/>
                  <w:noWrap w:val="0"/>
                  <w:tcMar>
                    <w:left w:w="28" w:type="dxa"/>
                    <w:right w:w="28" w:type="dxa"/>
                  </w:tcMar>
                  <w:vAlign w:val="center"/>
                </w:tcPr>
                <w:p w14:paraId="1C72DCF6">
                  <w:pPr>
                    <w:spacing w:line="240" w:lineRule="atLeast"/>
                    <w:jc w:val="center"/>
                    <w:rPr>
                      <w:b/>
                      <w:bCs/>
                      <w:sz w:val="21"/>
                      <w:szCs w:val="21"/>
                    </w:rPr>
                  </w:pPr>
                  <w:r>
                    <w:rPr>
                      <w:b/>
                      <w:bCs/>
                      <w:sz w:val="21"/>
                      <w:szCs w:val="21"/>
                    </w:rPr>
                    <w:t>污染物</w:t>
                  </w:r>
                </w:p>
              </w:tc>
              <w:tc>
                <w:tcPr>
                  <w:tcW w:w="632" w:type="pct"/>
                  <w:noWrap w:val="0"/>
                  <w:tcMar>
                    <w:left w:w="28" w:type="dxa"/>
                    <w:right w:w="28" w:type="dxa"/>
                  </w:tcMar>
                  <w:vAlign w:val="center"/>
                </w:tcPr>
                <w:p w14:paraId="03C7D0BE">
                  <w:pPr>
                    <w:spacing w:line="240" w:lineRule="atLeast"/>
                    <w:jc w:val="center"/>
                    <w:rPr>
                      <w:b/>
                      <w:bCs/>
                      <w:sz w:val="21"/>
                      <w:szCs w:val="21"/>
                    </w:rPr>
                  </w:pPr>
                  <w:r>
                    <w:rPr>
                      <w:b/>
                      <w:bCs/>
                      <w:sz w:val="21"/>
                      <w:szCs w:val="21"/>
                    </w:rPr>
                    <w:t>pH</w:t>
                  </w:r>
                </w:p>
              </w:tc>
              <w:tc>
                <w:tcPr>
                  <w:tcW w:w="595" w:type="pct"/>
                  <w:noWrap w:val="0"/>
                  <w:tcMar>
                    <w:left w:w="28" w:type="dxa"/>
                    <w:right w:w="28" w:type="dxa"/>
                  </w:tcMar>
                  <w:vAlign w:val="center"/>
                </w:tcPr>
                <w:p w14:paraId="40055A67">
                  <w:pPr>
                    <w:spacing w:line="240" w:lineRule="atLeast"/>
                    <w:jc w:val="center"/>
                    <w:rPr>
                      <w:b/>
                      <w:bCs/>
                      <w:sz w:val="21"/>
                      <w:szCs w:val="21"/>
                    </w:rPr>
                  </w:pPr>
                  <w:r>
                    <w:rPr>
                      <w:b/>
                      <w:bCs/>
                      <w:sz w:val="21"/>
                      <w:szCs w:val="21"/>
                    </w:rPr>
                    <w:t>COD</w:t>
                  </w:r>
                </w:p>
              </w:tc>
              <w:tc>
                <w:tcPr>
                  <w:tcW w:w="558" w:type="pct"/>
                  <w:noWrap w:val="0"/>
                  <w:tcMar>
                    <w:left w:w="28" w:type="dxa"/>
                    <w:right w:w="28" w:type="dxa"/>
                  </w:tcMar>
                  <w:vAlign w:val="center"/>
                </w:tcPr>
                <w:p w14:paraId="0CA42EE4">
                  <w:pPr>
                    <w:spacing w:line="240" w:lineRule="atLeast"/>
                    <w:jc w:val="center"/>
                    <w:rPr>
                      <w:b/>
                      <w:bCs/>
                      <w:sz w:val="21"/>
                      <w:szCs w:val="21"/>
                    </w:rPr>
                  </w:pPr>
                  <w:r>
                    <w:rPr>
                      <w:b/>
                      <w:bCs/>
                      <w:sz w:val="21"/>
                      <w:szCs w:val="21"/>
                    </w:rPr>
                    <w:t>BOD</w:t>
                  </w:r>
                  <w:r>
                    <w:rPr>
                      <w:b/>
                      <w:bCs/>
                      <w:sz w:val="21"/>
                      <w:szCs w:val="21"/>
                      <w:vertAlign w:val="subscript"/>
                    </w:rPr>
                    <w:t>5</w:t>
                  </w:r>
                </w:p>
              </w:tc>
              <w:tc>
                <w:tcPr>
                  <w:tcW w:w="459" w:type="pct"/>
                  <w:noWrap w:val="0"/>
                  <w:tcMar>
                    <w:left w:w="28" w:type="dxa"/>
                    <w:right w:w="28" w:type="dxa"/>
                  </w:tcMar>
                  <w:vAlign w:val="center"/>
                </w:tcPr>
                <w:p w14:paraId="10EF0C81">
                  <w:pPr>
                    <w:spacing w:line="240" w:lineRule="atLeast"/>
                    <w:jc w:val="center"/>
                    <w:rPr>
                      <w:b/>
                      <w:bCs/>
                      <w:sz w:val="21"/>
                      <w:szCs w:val="21"/>
                    </w:rPr>
                  </w:pPr>
                  <w:r>
                    <w:rPr>
                      <w:b/>
                      <w:bCs/>
                      <w:sz w:val="21"/>
                      <w:szCs w:val="21"/>
                    </w:rPr>
                    <w:t>SS</w:t>
                  </w:r>
                </w:p>
              </w:tc>
              <w:tc>
                <w:tcPr>
                  <w:tcW w:w="571" w:type="pct"/>
                  <w:noWrap w:val="0"/>
                  <w:tcMar>
                    <w:left w:w="28" w:type="dxa"/>
                    <w:right w:w="28" w:type="dxa"/>
                  </w:tcMar>
                  <w:vAlign w:val="center"/>
                </w:tcPr>
                <w:p w14:paraId="03D185FE">
                  <w:pPr>
                    <w:spacing w:line="240" w:lineRule="atLeast"/>
                    <w:jc w:val="center"/>
                    <w:rPr>
                      <w:b/>
                      <w:bCs/>
                      <w:sz w:val="21"/>
                      <w:szCs w:val="21"/>
                    </w:rPr>
                  </w:pPr>
                  <w:r>
                    <w:rPr>
                      <w:b/>
                      <w:bCs/>
                      <w:sz w:val="21"/>
                      <w:szCs w:val="21"/>
                    </w:rPr>
                    <w:t>石油类</w:t>
                  </w:r>
                </w:p>
              </w:tc>
              <w:tc>
                <w:tcPr>
                  <w:tcW w:w="508" w:type="pct"/>
                  <w:noWrap w:val="0"/>
                  <w:tcMar>
                    <w:left w:w="28" w:type="dxa"/>
                    <w:right w:w="28" w:type="dxa"/>
                  </w:tcMar>
                  <w:vAlign w:val="center"/>
                </w:tcPr>
                <w:p w14:paraId="4318C550">
                  <w:pPr>
                    <w:spacing w:line="240" w:lineRule="atLeast"/>
                    <w:jc w:val="center"/>
                    <w:rPr>
                      <w:b/>
                      <w:bCs/>
                      <w:sz w:val="21"/>
                      <w:szCs w:val="21"/>
                    </w:rPr>
                  </w:pPr>
                  <w:r>
                    <w:rPr>
                      <w:b/>
                      <w:bCs/>
                      <w:sz w:val="21"/>
                      <w:szCs w:val="21"/>
                    </w:rPr>
                    <w:t>氨氮</w:t>
                  </w:r>
                </w:p>
              </w:tc>
              <w:tc>
                <w:tcPr>
                  <w:tcW w:w="459" w:type="pct"/>
                  <w:noWrap w:val="0"/>
                  <w:tcMar>
                    <w:left w:w="28" w:type="dxa"/>
                    <w:right w:w="28" w:type="dxa"/>
                  </w:tcMar>
                  <w:vAlign w:val="center"/>
                </w:tcPr>
                <w:p w14:paraId="376CBA75">
                  <w:pPr>
                    <w:spacing w:line="240" w:lineRule="atLeast"/>
                    <w:jc w:val="center"/>
                    <w:rPr>
                      <w:b/>
                      <w:bCs/>
                      <w:sz w:val="21"/>
                      <w:szCs w:val="21"/>
                    </w:rPr>
                  </w:pPr>
                  <w:r>
                    <w:rPr>
                      <w:b/>
                      <w:bCs/>
                      <w:sz w:val="21"/>
                      <w:szCs w:val="21"/>
                    </w:rPr>
                    <w:t>总磷</w:t>
                  </w:r>
                </w:p>
              </w:tc>
            </w:tr>
            <w:tr w14:paraId="650E7E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1216" w:type="pct"/>
                  <w:noWrap w:val="0"/>
                  <w:tcMar>
                    <w:left w:w="28" w:type="dxa"/>
                    <w:right w:w="28" w:type="dxa"/>
                  </w:tcMar>
                  <w:vAlign w:val="center"/>
                </w:tcPr>
                <w:p w14:paraId="61B22CD7">
                  <w:pPr>
                    <w:spacing w:line="240" w:lineRule="atLeast"/>
                    <w:jc w:val="center"/>
                    <w:rPr>
                      <w:rFonts w:hint="default" w:ascii="Times New Roman" w:hAnsi="Times New Roman" w:cs="Times New Roman"/>
                      <w:bCs/>
                      <w:sz w:val="21"/>
                      <w:szCs w:val="21"/>
                    </w:rPr>
                  </w:pPr>
                  <w:r>
                    <w:rPr>
                      <w:rFonts w:hint="default" w:ascii="Times New Roman" w:hAnsi="Times New Roman" w:cs="Times New Roman"/>
                      <w:bCs/>
                      <w:sz w:val="21"/>
                      <w:szCs w:val="21"/>
                    </w:rPr>
                    <w:t>GB8978—1996</w:t>
                  </w:r>
                </w:p>
                <w:p w14:paraId="1DF740CF">
                  <w:pPr>
                    <w:spacing w:line="240" w:lineRule="atLeast"/>
                    <w:jc w:val="center"/>
                    <w:rPr>
                      <w:bCs/>
                      <w:sz w:val="21"/>
                      <w:szCs w:val="21"/>
                    </w:rPr>
                  </w:pPr>
                  <w:r>
                    <w:rPr>
                      <w:rFonts w:hint="default" w:ascii="Times New Roman" w:hAnsi="Times New Roman" w:cs="Times New Roman"/>
                      <w:bCs/>
                      <w:sz w:val="21"/>
                      <w:szCs w:val="21"/>
                    </w:rPr>
                    <w:t>三级标准</w:t>
                  </w:r>
                </w:p>
              </w:tc>
              <w:tc>
                <w:tcPr>
                  <w:tcW w:w="632" w:type="pct"/>
                  <w:noWrap w:val="0"/>
                  <w:tcMar>
                    <w:left w:w="28" w:type="dxa"/>
                    <w:right w:w="28" w:type="dxa"/>
                  </w:tcMar>
                  <w:vAlign w:val="center"/>
                </w:tcPr>
                <w:p w14:paraId="632CC789">
                  <w:pPr>
                    <w:spacing w:line="240" w:lineRule="atLeast"/>
                    <w:jc w:val="center"/>
                    <w:rPr>
                      <w:bCs/>
                      <w:sz w:val="21"/>
                      <w:szCs w:val="21"/>
                    </w:rPr>
                  </w:pPr>
                  <w:r>
                    <w:rPr>
                      <w:bCs/>
                      <w:sz w:val="21"/>
                      <w:szCs w:val="21"/>
                    </w:rPr>
                    <w:t>6~9</w:t>
                  </w:r>
                </w:p>
              </w:tc>
              <w:tc>
                <w:tcPr>
                  <w:tcW w:w="595" w:type="pct"/>
                  <w:noWrap w:val="0"/>
                  <w:tcMar>
                    <w:left w:w="28" w:type="dxa"/>
                    <w:right w:w="28" w:type="dxa"/>
                  </w:tcMar>
                  <w:vAlign w:val="center"/>
                </w:tcPr>
                <w:p w14:paraId="2EF0ECEB">
                  <w:pPr>
                    <w:spacing w:line="240" w:lineRule="atLeast"/>
                    <w:jc w:val="center"/>
                    <w:rPr>
                      <w:bCs/>
                      <w:sz w:val="21"/>
                      <w:szCs w:val="21"/>
                    </w:rPr>
                  </w:pPr>
                  <w:r>
                    <w:rPr>
                      <w:bCs/>
                      <w:sz w:val="21"/>
                      <w:szCs w:val="21"/>
                    </w:rPr>
                    <w:t>500</w:t>
                  </w:r>
                </w:p>
              </w:tc>
              <w:tc>
                <w:tcPr>
                  <w:tcW w:w="558" w:type="pct"/>
                  <w:noWrap w:val="0"/>
                  <w:tcMar>
                    <w:left w:w="28" w:type="dxa"/>
                    <w:right w:w="28" w:type="dxa"/>
                  </w:tcMar>
                  <w:vAlign w:val="center"/>
                </w:tcPr>
                <w:p w14:paraId="5AF98B38">
                  <w:pPr>
                    <w:spacing w:line="240" w:lineRule="atLeast"/>
                    <w:jc w:val="center"/>
                    <w:rPr>
                      <w:bCs/>
                      <w:sz w:val="21"/>
                      <w:szCs w:val="21"/>
                    </w:rPr>
                  </w:pPr>
                  <w:r>
                    <w:rPr>
                      <w:bCs/>
                      <w:sz w:val="21"/>
                      <w:szCs w:val="21"/>
                    </w:rPr>
                    <w:t>300</w:t>
                  </w:r>
                </w:p>
              </w:tc>
              <w:tc>
                <w:tcPr>
                  <w:tcW w:w="459" w:type="pct"/>
                  <w:noWrap w:val="0"/>
                  <w:tcMar>
                    <w:left w:w="28" w:type="dxa"/>
                    <w:right w:w="28" w:type="dxa"/>
                  </w:tcMar>
                  <w:vAlign w:val="center"/>
                </w:tcPr>
                <w:p w14:paraId="2EFE9269">
                  <w:pPr>
                    <w:spacing w:line="240" w:lineRule="atLeast"/>
                    <w:jc w:val="center"/>
                    <w:rPr>
                      <w:bCs/>
                      <w:sz w:val="21"/>
                      <w:szCs w:val="21"/>
                    </w:rPr>
                  </w:pPr>
                  <w:r>
                    <w:rPr>
                      <w:bCs/>
                      <w:sz w:val="21"/>
                      <w:szCs w:val="21"/>
                    </w:rPr>
                    <w:t>400</w:t>
                  </w:r>
                </w:p>
              </w:tc>
              <w:tc>
                <w:tcPr>
                  <w:tcW w:w="571" w:type="pct"/>
                  <w:noWrap w:val="0"/>
                  <w:tcMar>
                    <w:left w:w="28" w:type="dxa"/>
                    <w:right w:w="28" w:type="dxa"/>
                  </w:tcMar>
                  <w:vAlign w:val="center"/>
                </w:tcPr>
                <w:p w14:paraId="0272E8F1">
                  <w:pPr>
                    <w:spacing w:line="240" w:lineRule="atLeast"/>
                    <w:jc w:val="center"/>
                    <w:rPr>
                      <w:bCs/>
                      <w:sz w:val="21"/>
                      <w:szCs w:val="21"/>
                    </w:rPr>
                  </w:pPr>
                  <w:r>
                    <w:rPr>
                      <w:bCs/>
                      <w:sz w:val="21"/>
                      <w:szCs w:val="21"/>
                    </w:rPr>
                    <w:t>20</w:t>
                  </w:r>
                </w:p>
              </w:tc>
              <w:tc>
                <w:tcPr>
                  <w:tcW w:w="508" w:type="pct"/>
                  <w:noWrap w:val="0"/>
                  <w:tcMar>
                    <w:left w:w="28" w:type="dxa"/>
                    <w:right w:w="28" w:type="dxa"/>
                  </w:tcMar>
                  <w:vAlign w:val="center"/>
                </w:tcPr>
                <w:p w14:paraId="1E8CA91C">
                  <w:pPr>
                    <w:spacing w:line="240" w:lineRule="atLeast"/>
                    <w:jc w:val="center"/>
                    <w:rPr>
                      <w:rFonts w:hint="default" w:eastAsia="宋体"/>
                      <w:bCs/>
                      <w:sz w:val="21"/>
                      <w:szCs w:val="21"/>
                      <w:lang w:val="en-US" w:eastAsia="zh-CN"/>
                    </w:rPr>
                  </w:pPr>
                  <w:r>
                    <w:rPr>
                      <w:rFonts w:hint="eastAsia"/>
                      <w:bCs/>
                      <w:sz w:val="21"/>
                      <w:szCs w:val="21"/>
                      <w:lang w:val="en-US" w:eastAsia="zh-CN"/>
                    </w:rPr>
                    <w:t>45</w:t>
                  </w:r>
                </w:p>
              </w:tc>
              <w:tc>
                <w:tcPr>
                  <w:tcW w:w="459" w:type="pct"/>
                  <w:noWrap w:val="0"/>
                  <w:tcMar>
                    <w:left w:w="28" w:type="dxa"/>
                    <w:right w:w="28" w:type="dxa"/>
                  </w:tcMar>
                  <w:vAlign w:val="center"/>
                </w:tcPr>
                <w:p w14:paraId="4203CAA6">
                  <w:pPr>
                    <w:spacing w:line="240" w:lineRule="atLeast"/>
                    <w:jc w:val="center"/>
                    <w:rPr>
                      <w:rFonts w:hint="eastAsia" w:eastAsia="宋体"/>
                      <w:bCs/>
                      <w:sz w:val="21"/>
                      <w:szCs w:val="21"/>
                      <w:lang w:eastAsia="zh-CN"/>
                    </w:rPr>
                  </w:pPr>
                  <w:r>
                    <w:rPr>
                      <w:rFonts w:hint="eastAsia"/>
                      <w:bCs/>
                      <w:sz w:val="21"/>
                      <w:szCs w:val="21"/>
                      <w:lang w:val="en-US" w:eastAsia="zh-CN"/>
                    </w:rPr>
                    <w:t>8</w:t>
                  </w:r>
                </w:p>
              </w:tc>
            </w:tr>
            <w:tr w14:paraId="5FDAC2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1216" w:type="pct"/>
                  <w:noWrap w:val="0"/>
                  <w:tcMar>
                    <w:left w:w="28" w:type="dxa"/>
                    <w:right w:w="28" w:type="dxa"/>
                  </w:tcMar>
                  <w:vAlign w:val="center"/>
                </w:tcPr>
                <w:p w14:paraId="03C58F7D">
                  <w:pPr>
                    <w:spacing w:line="240" w:lineRule="atLeast"/>
                    <w:jc w:val="center"/>
                    <w:rPr>
                      <w:sz w:val="21"/>
                      <w:szCs w:val="21"/>
                    </w:rPr>
                  </w:pPr>
                  <w:r>
                    <w:rPr>
                      <w:sz w:val="21"/>
                      <w:szCs w:val="21"/>
                    </w:rPr>
                    <w:t>GB18918-2002</w:t>
                  </w:r>
                </w:p>
                <w:p w14:paraId="66199559">
                  <w:pPr>
                    <w:bidi w:val="0"/>
                    <w:jc w:val="center"/>
                    <w:rPr>
                      <w:rFonts w:hint="default"/>
                    </w:rPr>
                  </w:pPr>
                  <w:r>
                    <w:t>一级A标准</w:t>
                  </w:r>
                </w:p>
              </w:tc>
              <w:tc>
                <w:tcPr>
                  <w:tcW w:w="632" w:type="pct"/>
                  <w:noWrap w:val="0"/>
                  <w:tcMar>
                    <w:left w:w="28" w:type="dxa"/>
                    <w:right w:w="28" w:type="dxa"/>
                  </w:tcMar>
                  <w:vAlign w:val="center"/>
                </w:tcPr>
                <w:p w14:paraId="2B5BE139">
                  <w:pPr>
                    <w:spacing w:line="240" w:lineRule="atLeast"/>
                    <w:jc w:val="center"/>
                    <w:rPr>
                      <w:bCs/>
                      <w:sz w:val="21"/>
                      <w:szCs w:val="21"/>
                    </w:rPr>
                  </w:pPr>
                  <w:r>
                    <w:rPr>
                      <w:bCs/>
                      <w:sz w:val="21"/>
                      <w:szCs w:val="21"/>
                    </w:rPr>
                    <w:t>6~9</w:t>
                  </w:r>
                </w:p>
              </w:tc>
              <w:tc>
                <w:tcPr>
                  <w:tcW w:w="595" w:type="pct"/>
                  <w:noWrap w:val="0"/>
                  <w:tcMar>
                    <w:left w:w="28" w:type="dxa"/>
                    <w:right w:w="28" w:type="dxa"/>
                  </w:tcMar>
                  <w:vAlign w:val="center"/>
                </w:tcPr>
                <w:p w14:paraId="49644C6A">
                  <w:pPr>
                    <w:spacing w:line="240" w:lineRule="atLeast"/>
                    <w:jc w:val="center"/>
                    <w:rPr>
                      <w:rFonts w:hint="default" w:eastAsia="宋体"/>
                      <w:bCs/>
                      <w:sz w:val="21"/>
                      <w:szCs w:val="21"/>
                      <w:lang w:val="en-US" w:eastAsia="zh-CN"/>
                    </w:rPr>
                  </w:pPr>
                  <w:r>
                    <w:rPr>
                      <w:rFonts w:hint="eastAsia"/>
                      <w:bCs/>
                      <w:sz w:val="21"/>
                      <w:szCs w:val="21"/>
                      <w:lang w:val="en-US" w:eastAsia="zh-CN"/>
                    </w:rPr>
                    <w:t>50</w:t>
                  </w:r>
                </w:p>
              </w:tc>
              <w:tc>
                <w:tcPr>
                  <w:tcW w:w="558" w:type="pct"/>
                  <w:noWrap w:val="0"/>
                  <w:tcMar>
                    <w:left w:w="28" w:type="dxa"/>
                    <w:right w:w="28" w:type="dxa"/>
                  </w:tcMar>
                  <w:vAlign w:val="center"/>
                </w:tcPr>
                <w:p w14:paraId="0404024F">
                  <w:pPr>
                    <w:spacing w:line="240" w:lineRule="atLeast"/>
                    <w:jc w:val="center"/>
                    <w:rPr>
                      <w:rFonts w:hint="default" w:eastAsia="宋体"/>
                      <w:bCs/>
                      <w:sz w:val="21"/>
                      <w:szCs w:val="21"/>
                      <w:lang w:val="en-US" w:eastAsia="zh-CN"/>
                    </w:rPr>
                  </w:pPr>
                  <w:r>
                    <w:rPr>
                      <w:rFonts w:hint="eastAsia"/>
                      <w:bCs/>
                      <w:sz w:val="21"/>
                      <w:szCs w:val="21"/>
                      <w:lang w:val="en-US" w:eastAsia="zh-CN"/>
                    </w:rPr>
                    <w:t>10</w:t>
                  </w:r>
                </w:p>
              </w:tc>
              <w:tc>
                <w:tcPr>
                  <w:tcW w:w="459" w:type="pct"/>
                  <w:noWrap w:val="0"/>
                  <w:tcMar>
                    <w:left w:w="28" w:type="dxa"/>
                    <w:right w:w="28" w:type="dxa"/>
                  </w:tcMar>
                  <w:vAlign w:val="center"/>
                </w:tcPr>
                <w:p w14:paraId="7390C593">
                  <w:pPr>
                    <w:spacing w:line="240" w:lineRule="atLeast"/>
                    <w:jc w:val="center"/>
                    <w:rPr>
                      <w:rFonts w:hint="default" w:eastAsia="宋体"/>
                      <w:bCs/>
                      <w:sz w:val="21"/>
                      <w:szCs w:val="21"/>
                      <w:lang w:val="en-US" w:eastAsia="zh-CN"/>
                    </w:rPr>
                  </w:pPr>
                  <w:r>
                    <w:rPr>
                      <w:rFonts w:hint="eastAsia"/>
                      <w:bCs/>
                      <w:sz w:val="21"/>
                      <w:szCs w:val="21"/>
                      <w:lang w:val="en-US" w:eastAsia="zh-CN"/>
                    </w:rPr>
                    <w:t>10</w:t>
                  </w:r>
                </w:p>
              </w:tc>
              <w:tc>
                <w:tcPr>
                  <w:tcW w:w="571" w:type="pct"/>
                  <w:noWrap w:val="0"/>
                  <w:tcMar>
                    <w:left w:w="28" w:type="dxa"/>
                    <w:right w:w="28" w:type="dxa"/>
                  </w:tcMar>
                  <w:vAlign w:val="center"/>
                </w:tcPr>
                <w:p w14:paraId="4A7D679A">
                  <w:pPr>
                    <w:spacing w:line="240" w:lineRule="atLeast"/>
                    <w:jc w:val="center"/>
                    <w:rPr>
                      <w:rFonts w:hint="eastAsia" w:eastAsia="宋体"/>
                      <w:bCs/>
                      <w:sz w:val="21"/>
                      <w:szCs w:val="21"/>
                      <w:lang w:val="en-US" w:eastAsia="zh-CN"/>
                    </w:rPr>
                  </w:pPr>
                  <w:r>
                    <w:rPr>
                      <w:rFonts w:hint="eastAsia"/>
                      <w:bCs/>
                      <w:sz w:val="21"/>
                      <w:szCs w:val="21"/>
                      <w:lang w:val="en-US" w:eastAsia="zh-CN"/>
                    </w:rPr>
                    <w:t>1</w:t>
                  </w:r>
                </w:p>
              </w:tc>
              <w:tc>
                <w:tcPr>
                  <w:tcW w:w="508" w:type="pct"/>
                  <w:noWrap w:val="0"/>
                  <w:tcMar>
                    <w:left w:w="28" w:type="dxa"/>
                    <w:right w:w="28" w:type="dxa"/>
                  </w:tcMar>
                  <w:vAlign w:val="center"/>
                </w:tcPr>
                <w:p w14:paraId="6E077CB9">
                  <w:pPr>
                    <w:spacing w:line="240" w:lineRule="atLeast"/>
                    <w:jc w:val="center"/>
                    <w:rPr>
                      <w:rFonts w:hint="default" w:eastAsia="宋体"/>
                      <w:bCs/>
                      <w:sz w:val="21"/>
                      <w:szCs w:val="21"/>
                      <w:lang w:val="en-US" w:eastAsia="zh-CN"/>
                    </w:rPr>
                  </w:pPr>
                  <w:r>
                    <w:rPr>
                      <w:rFonts w:hint="eastAsia"/>
                      <w:bCs/>
                      <w:sz w:val="21"/>
                      <w:szCs w:val="21"/>
                      <w:lang w:val="en-US" w:eastAsia="zh-CN"/>
                    </w:rPr>
                    <w:t>5</w:t>
                  </w:r>
                </w:p>
              </w:tc>
              <w:tc>
                <w:tcPr>
                  <w:tcW w:w="459" w:type="pct"/>
                  <w:noWrap w:val="0"/>
                  <w:tcMar>
                    <w:left w:w="28" w:type="dxa"/>
                    <w:right w:w="28" w:type="dxa"/>
                  </w:tcMar>
                  <w:vAlign w:val="center"/>
                </w:tcPr>
                <w:p w14:paraId="12CB168F">
                  <w:pPr>
                    <w:spacing w:line="240" w:lineRule="atLeast"/>
                    <w:jc w:val="center"/>
                    <w:rPr>
                      <w:rFonts w:hint="default" w:eastAsia="宋体"/>
                      <w:bCs/>
                      <w:sz w:val="21"/>
                      <w:szCs w:val="21"/>
                      <w:lang w:val="en-US" w:eastAsia="zh-CN"/>
                    </w:rPr>
                  </w:pPr>
                  <w:r>
                    <w:rPr>
                      <w:rFonts w:hint="eastAsia"/>
                      <w:bCs/>
                      <w:sz w:val="21"/>
                      <w:szCs w:val="21"/>
                      <w:lang w:val="en-US" w:eastAsia="zh-CN"/>
                    </w:rPr>
                    <w:t>0.5</w:t>
                  </w:r>
                </w:p>
              </w:tc>
            </w:tr>
          </w:tbl>
          <w:p w14:paraId="746DF674">
            <w:pPr>
              <w:numPr>
                <w:ilvl w:val="0"/>
                <w:numId w:val="9"/>
              </w:numPr>
              <w:adjustRightInd w:val="0"/>
              <w:snapToGrid w:val="0"/>
              <w:spacing w:line="360" w:lineRule="auto"/>
              <w:ind w:left="0" w:leftChars="0" w:firstLine="422" w:firstLineChars="200"/>
              <w:rPr>
                <w:rFonts w:hint="eastAsia"/>
                <w:b/>
                <w:bCs/>
                <w:sz w:val="21"/>
                <w:szCs w:val="21"/>
                <w:lang w:val="en-US" w:eastAsia="zh-CN"/>
              </w:rPr>
            </w:pPr>
            <w:r>
              <w:rPr>
                <w:rFonts w:hint="eastAsia"/>
                <w:b/>
                <w:bCs/>
                <w:sz w:val="21"/>
                <w:szCs w:val="21"/>
                <w:lang w:val="en-US" w:eastAsia="zh-CN"/>
              </w:rPr>
              <w:t>噪声排放标准</w:t>
            </w:r>
          </w:p>
          <w:p w14:paraId="6310B106">
            <w:pPr>
              <w:numPr>
                <w:ilvl w:val="0"/>
                <w:numId w:val="0"/>
              </w:numPr>
              <w:adjustRightInd w:val="0"/>
              <w:snapToGrid w:val="0"/>
              <w:spacing w:line="360" w:lineRule="auto"/>
              <w:ind w:firstLine="420" w:firstLineChars="200"/>
              <w:rPr>
                <w:sz w:val="21"/>
                <w:szCs w:val="21"/>
              </w:rPr>
            </w:pPr>
            <w:r>
              <w:rPr>
                <w:sz w:val="21"/>
                <w:szCs w:val="21"/>
              </w:rPr>
              <w:t>施工期噪声执行《建筑施工场界环境噪声排放标准》（GB12523-2011）中相应标准限值，如下表所示：</w:t>
            </w:r>
          </w:p>
          <w:p w14:paraId="100E832E">
            <w:pPr>
              <w:pStyle w:val="63"/>
              <w:spacing w:line="240" w:lineRule="auto"/>
              <w:rPr>
                <w:rFonts w:hint="default" w:ascii="Times New Roman" w:hAnsi="Times New Roman"/>
                <w:sz w:val="21"/>
                <w:szCs w:val="21"/>
              </w:rPr>
            </w:pPr>
            <w:r>
              <w:rPr>
                <w:rFonts w:hint="default" w:ascii="Times New Roman" w:hAnsi="Times New Roman"/>
                <w:sz w:val="21"/>
                <w:szCs w:val="21"/>
              </w:rPr>
              <w:t>表3-</w:t>
            </w:r>
            <w:r>
              <w:rPr>
                <w:rFonts w:hint="eastAsia" w:ascii="Times New Roman" w:hAnsi="Times New Roman"/>
                <w:sz w:val="21"/>
                <w:szCs w:val="21"/>
                <w:lang w:val="en-US" w:eastAsia="zh-CN"/>
              </w:rPr>
              <w:t>10</w:t>
            </w:r>
            <w:r>
              <w:rPr>
                <w:rFonts w:hint="default" w:ascii="Times New Roman" w:hAnsi="Times New Roman"/>
                <w:sz w:val="21"/>
                <w:szCs w:val="21"/>
              </w:rPr>
              <w:t>《建筑施工场界环境噪声排放标准》GB12523-2011</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103"/>
              <w:gridCol w:w="2557"/>
              <w:gridCol w:w="2560"/>
            </w:tblGrid>
            <w:tr w14:paraId="325E8F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3103" w:type="dxa"/>
                  <w:vMerge w:val="restart"/>
                  <w:noWrap w:val="0"/>
                  <w:tcMar>
                    <w:left w:w="28" w:type="dxa"/>
                    <w:right w:w="28" w:type="dxa"/>
                  </w:tcMar>
                  <w:vAlign w:val="center"/>
                </w:tcPr>
                <w:p w14:paraId="3E37BE12">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执行标准</w:t>
                  </w:r>
                </w:p>
              </w:tc>
              <w:tc>
                <w:tcPr>
                  <w:tcW w:w="5117" w:type="dxa"/>
                  <w:gridSpan w:val="2"/>
                  <w:noWrap w:val="0"/>
                  <w:tcMar>
                    <w:left w:w="28" w:type="dxa"/>
                    <w:right w:w="28" w:type="dxa"/>
                  </w:tcMar>
                  <w:vAlign w:val="center"/>
                </w:tcPr>
                <w:p w14:paraId="5E3A9EAF">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标准值Leq：dB(A)</w:t>
                  </w:r>
                </w:p>
              </w:tc>
            </w:tr>
            <w:tr w14:paraId="482509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3103" w:type="dxa"/>
                  <w:vMerge w:val="continue"/>
                  <w:noWrap w:val="0"/>
                  <w:tcMar>
                    <w:left w:w="28" w:type="dxa"/>
                    <w:right w:w="28" w:type="dxa"/>
                  </w:tcMar>
                  <w:vAlign w:val="center"/>
                </w:tcPr>
                <w:p w14:paraId="37B32664">
                  <w:pPr>
                    <w:spacing w:line="240" w:lineRule="auto"/>
                    <w:jc w:val="center"/>
                    <w:rPr>
                      <w:rFonts w:hint="default" w:ascii="Times New Roman" w:hAnsi="Times New Roman" w:cs="Times New Roman"/>
                      <w:bCs/>
                      <w:sz w:val="21"/>
                      <w:szCs w:val="21"/>
                    </w:rPr>
                  </w:pPr>
                </w:p>
              </w:tc>
              <w:tc>
                <w:tcPr>
                  <w:tcW w:w="2557" w:type="dxa"/>
                  <w:noWrap w:val="0"/>
                  <w:tcMar>
                    <w:left w:w="28" w:type="dxa"/>
                    <w:right w:w="28" w:type="dxa"/>
                  </w:tcMar>
                  <w:vAlign w:val="center"/>
                </w:tcPr>
                <w:p w14:paraId="5FC03167">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昼间</w:t>
                  </w:r>
                </w:p>
              </w:tc>
              <w:tc>
                <w:tcPr>
                  <w:tcW w:w="2560" w:type="dxa"/>
                  <w:noWrap w:val="0"/>
                  <w:tcMar>
                    <w:left w:w="28" w:type="dxa"/>
                    <w:right w:w="28" w:type="dxa"/>
                  </w:tcMar>
                  <w:vAlign w:val="center"/>
                </w:tcPr>
                <w:p w14:paraId="344DED2F">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夜间</w:t>
                  </w:r>
                </w:p>
              </w:tc>
            </w:tr>
            <w:tr w14:paraId="014FB5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3103" w:type="dxa"/>
                  <w:noWrap w:val="0"/>
                  <w:tcMar>
                    <w:left w:w="28" w:type="dxa"/>
                    <w:right w:w="28" w:type="dxa"/>
                  </w:tcMar>
                  <w:vAlign w:val="center"/>
                </w:tcPr>
                <w:p w14:paraId="4A6BC56A">
                  <w:pPr>
                    <w:spacing w:line="240" w:lineRule="auto"/>
                    <w:jc w:val="center"/>
                    <w:rPr>
                      <w:rFonts w:hint="default" w:ascii="Times New Roman" w:hAnsi="Times New Roman" w:cs="Times New Roman"/>
                      <w:bCs/>
                      <w:sz w:val="21"/>
                      <w:szCs w:val="21"/>
                    </w:rPr>
                  </w:pPr>
                  <w:r>
                    <w:rPr>
                      <w:rFonts w:hint="default" w:ascii="Times New Roman" w:hAnsi="Times New Roman" w:cs="Times New Roman"/>
                      <w:sz w:val="21"/>
                      <w:szCs w:val="21"/>
                    </w:rPr>
                    <w:t>GB12523-2011</w:t>
                  </w:r>
                </w:p>
              </w:tc>
              <w:tc>
                <w:tcPr>
                  <w:tcW w:w="2557" w:type="dxa"/>
                  <w:noWrap w:val="0"/>
                  <w:tcMar>
                    <w:left w:w="28" w:type="dxa"/>
                    <w:right w:w="28" w:type="dxa"/>
                  </w:tcMar>
                  <w:vAlign w:val="center"/>
                </w:tcPr>
                <w:p w14:paraId="79DF96A8">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70</w:t>
                  </w:r>
                </w:p>
              </w:tc>
              <w:tc>
                <w:tcPr>
                  <w:tcW w:w="2560" w:type="dxa"/>
                  <w:noWrap w:val="0"/>
                  <w:tcMar>
                    <w:left w:w="28" w:type="dxa"/>
                    <w:right w:w="28" w:type="dxa"/>
                  </w:tcMar>
                  <w:vAlign w:val="center"/>
                </w:tcPr>
                <w:p w14:paraId="7E9266A7">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55</w:t>
                  </w:r>
                </w:p>
              </w:tc>
            </w:tr>
          </w:tbl>
          <w:p w14:paraId="60F710ED">
            <w:pPr>
              <w:adjustRightInd w:val="0"/>
              <w:snapToGrid w:val="0"/>
              <w:spacing w:line="360" w:lineRule="auto"/>
              <w:ind w:firstLine="420" w:firstLineChars="200"/>
              <w:rPr>
                <w:sz w:val="21"/>
                <w:szCs w:val="21"/>
              </w:rPr>
            </w:pPr>
            <w:r>
              <w:rPr>
                <w:sz w:val="21"/>
                <w:szCs w:val="21"/>
              </w:rPr>
              <w:t>运营期执行《工业企业厂界环境噪声排放标准》（GB12348-2008）</w:t>
            </w:r>
            <w:r>
              <w:rPr>
                <w:rFonts w:hint="eastAsia"/>
                <w:kern w:val="28"/>
                <w:sz w:val="21"/>
                <w:szCs w:val="21"/>
                <w:lang w:val="en-US" w:eastAsia="zh-CN"/>
              </w:rPr>
              <w:t>2</w:t>
            </w:r>
            <w:r>
              <w:rPr>
                <w:sz w:val="21"/>
                <w:szCs w:val="21"/>
              </w:rPr>
              <w:t>类标准，昼间6</w:t>
            </w:r>
            <w:r>
              <w:rPr>
                <w:rFonts w:hint="eastAsia"/>
                <w:sz w:val="21"/>
                <w:szCs w:val="21"/>
                <w:lang w:val="en-US" w:eastAsia="zh-CN"/>
              </w:rPr>
              <w:t>0</w:t>
            </w:r>
            <w:r>
              <w:rPr>
                <w:sz w:val="21"/>
                <w:szCs w:val="21"/>
              </w:rPr>
              <w:t>dB(A)，夜间5</w:t>
            </w:r>
            <w:r>
              <w:rPr>
                <w:rFonts w:hint="eastAsia"/>
                <w:sz w:val="21"/>
                <w:szCs w:val="21"/>
                <w:lang w:val="en-US" w:eastAsia="zh-CN"/>
              </w:rPr>
              <w:t>0</w:t>
            </w:r>
            <w:r>
              <w:rPr>
                <w:sz w:val="21"/>
                <w:szCs w:val="21"/>
              </w:rPr>
              <w:t>dB(A)。具体标准限值如下表：</w:t>
            </w:r>
          </w:p>
          <w:p w14:paraId="08003291">
            <w:pPr>
              <w:bidi w:val="0"/>
              <w:jc w:val="center"/>
              <w:rPr>
                <w:rFonts w:hint="default"/>
                <w:b/>
                <w:bCs/>
              </w:rPr>
            </w:pPr>
            <w:r>
              <w:rPr>
                <w:rFonts w:hint="default"/>
                <w:b/>
                <w:bCs/>
              </w:rPr>
              <w:t>表3-</w:t>
            </w:r>
            <w:r>
              <w:rPr>
                <w:rFonts w:hint="eastAsia"/>
                <w:b/>
                <w:bCs/>
                <w:lang w:val="en-US" w:eastAsia="zh-CN"/>
              </w:rPr>
              <w:t>11</w:t>
            </w:r>
            <w:r>
              <w:rPr>
                <w:rFonts w:hint="default"/>
                <w:b/>
                <w:bCs/>
              </w:rPr>
              <w:t>《工业企业厂界环境噪声排放标准》GB12348-2008</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69"/>
              <w:gridCol w:w="1679"/>
              <w:gridCol w:w="2035"/>
              <w:gridCol w:w="2037"/>
            </w:tblGrid>
            <w:tr w14:paraId="0DD721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2469" w:type="dxa"/>
                  <w:vMerge w:val="restart"/>
                  <w:noWrap w:val="0"/>
                  <w:tcMar>
                    <w:left w:w="28" w:type="dxa"/>
                    <w:right w:w="28" w:type="dxa"/>
                  </w:tcMar>
                  <w:vAlign w:val="center"/>
                </w:tcPr>
                <w:p w14:paraId="7437C736">
                  <w:pPr>
                    <w:spacing w:line="240" w:lineRule="atLeast"/>
                    <w:jc w:val="center"/>
                    <w:rPr>
                      <w:b/>
                      <w:bCs/>
                      <w:sz w:val="21"/>
                      <w:szCs w:val="21"/>
                    </w:rPr>
                  </w:pPr>
                  <w:r>
                    <w:rPr>
                      <w:b/>
                      <w:bCs/>
                      <w:sz w:val="21"/>
                      <w:szCs w:val="21"/>
                    </w:rPr>
                    <w:t>执行标准</w:t>
                  </w:r>
                </w:p>
              </w:tc>
              <w:tc>
                <w:tcPr>
                  <w:tcW w:w="1679" w:type="dxa"/>
                  <w:vMerge w:val="restart"/>
                  <w:noWrap w:val="0"/>
                  <w:tcMar>
                    <w:left w:w="28" w:type="dxa"/>
                    <w:right w:w="28" w:type="dxa"/>
                  </w:tcMar>
                  <w:vAlign w:val="center"/>
                </w:tcPr>
                <w:p w14:paraId="0D724BAB">
                  <w:pPr>
                    <w:spacing w:line="240" w:lineRule="atLeast"/>
                    <w:jc w:val="center"/>
                    <w:rPr>
                      <w:b/>
                      <w:bCs/>
                      <w:sz w:val="21"/>
                      <w:szCs w:val="21"/>
                    </w:rPr>
                  </w:pPr>
                  <w:r>
                    <w:rPr>
                      <w:b/>
                      <w:bCs/>
                      <w:sz w:val="21"/>
                      <w:szCs w:val="21"/>
                    </w:rPr>
                    <w:t>类别</w:t>
                  </w:r>
                </w:p>
              </w:tc>
              <w:tc>
                <w:tcPr>
                  <w:tcW w:w="4072" w:type="dxa"/>
                  <w:gridSpan w:val="2"/>
                  <w:noWrap w:val="0"/>
                  <w:tcMar>
                    <w:left w:w="28" w:type="dxa"/>
                    <w:right w:w="28" w:type="dxa"/>
                  </w:tcMar>
                  <w:vAlign w:val="center"/>
                </w:tcPr>
                <w:p w14:paraId="0A111F42">
                  <w:pPr>
                    <w:spacing w:line="240" w:lineRule="atLeast"/>
                    <w:jc w:val="center"/>
                    <w:rPr>
                      <w:b/>
                      <w:bCs/>
                      <w:sz w:val="21"/>
                      <w:szCs w:val="21"/>
                    </w:rPr>
                  </w:pPr>
                  <w:r>
                    <w:rPr>
                      <w:b/>
                      <w:bCs/>
                      <w:sz w:val="21"/>
                      <w:szCs w:val="21"/>
                    </w:rPr>
                    <w:t>标准值Leq：dB(A)</w:t>
                  </w:r>
                </w:p>
              </w:tc>
            </w:tr>
            <w:tr w14:paraId="7E2164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2469" w:type="dxa"/>
                  <w:vMerge w:val="continue"/>
                  <w:noWrap w:val="0"/>
                  <w:tcMar>
                    <w:left w:w="28" w:type="dxa"/>
                    <w:right w:w="28" w:type="dxa"/>
                  </w:tcMar>
                  <w:vAlign w:val="center"/>
                </w:tcPr>
                <w:p w14:paraId="6C23E1B1">
                  <w:pPr>
                    <w:spacing w:line="240" w:lineRule="atLeast"/>
                    <w:jc w:val="center"/>
                    <w:rPr>
                      <w:bCs/>
                      <w:sz w:val="21"/>
                      <w:szCs w:val="21"/>
                    </w:rPr>
                  </w:pPr>
                </w:p>
              </w:tc>
              <w:tc>
                <w:tcPr>
                  <w:tcW w:w="1679" w:type="dxa"/>
                  <w:vMerge w:val="continue"/>
                  <w:noWrap w:val="0"/>
                  <w:tcMar>
                    <w:left w:w="28" w:type="dxa"/>
                    <w:right w:w="28" w:type="dxa"/>
                  </w:tcMar>
                  <w:vAlign w:val="center"/>
                </w:tcPr>
                <w:p w14:paraId="5AEF7324">
                  <w:pPr>
                    <w:spacing w:line="240" w:lineRule="atLeast"/>
                    <w:jc w:val="center"/>
                    <w:rPr>
                      <w:bCs/>
                      <w:sz w:val="21"/>
                      <w:szCs w:val="21"/>
                    </w:rPr>
                  </w:pPr>
                </w:p>
              </w:tc>
              <w:tc>
                <w:tcPr>
                  <w:tcW w:w="2035" w:type="dxa"/>
                  <w:noWrap w:val="0"/>
                  <w:tcMar>
                    <w:left w:w="28" w:type="dxa"/>
                    <w:right w:w="28" w:type="dxa"/>
                  </w:tcMar>
                  <w:vAlign w:val="center"/>
                </w:tcPr>
                <w:p w14:paraId="08A2E0FA">
                  <w:pPr>
                    <w:spacing w:line="240" w:lineRule="atLeast"/>
                    <w:jc w:val="center"/>
                    <w:rPr>
                      <w:bCs/>
                      <w:sz w:val="21"/>
                      <w:szCs w:val="21"/>
                    </w:rPr>
                  </w:pPr>
                  <w:r>
                    <w:rPr>
                      <w:bCs/>
                      <w:sz w:val="21"/>
                      <w:szCs w:val="21"/>
                    </w:rPr>
                    <w:t>昼间</w:t>
                  </w:r>
                </w:p>
              </w:tc>
              <w:tc>
                <w:tcPr>
                  <w:tcW w:w="2037" w:type="dxa"/>
                  <w:noWrap w:val="0"/>
                  <w:tcMar>
                    <w:left w:w="28" w:type="dxa"/>
                    <w:right w:w="28" w:type="dxa"/>
                  </w:tcMar>
                  <w:vAlign w:val="center"/>
                </w:tcPr>
                <w:p w14:paraId="127BA1BD">
                  <w:pPr>
                    <w:spacing w:line="240" w:lineRule="atLeast"/>
                    <w:jc w:val="center"/>
                    <w:rPr>
                      <w:bCs/>
                      <w:sz w:val="21"/>
                      <w:szCs w:val="21"/>
                    </w:rPr>
                  </w:pPr>
                  <w:r>
                    <w:rPr>
                      <w:bCs/>
                      <w:sz w:val="21"/>
                      <w:szCs w:val="21"/>
                    </w:rPr>
                    <w:t>夜间</w:t>
                  </w:r>
                </w:p>
              </w:tc>
            </w:tr>
            <w:tr w14:paraId="1CF034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2469" w:type="dxa"/>
                  <w:noWrap w:val="0"/>
                  <w:tcMar>
                    <w:left w:w="28" w:type="dxa"/>
                    <w:right w:w="28" w:type="dxa"/>
                  </w:tcMar>
                  <w:vAlign w:val="center"/>
                </w:tcPr>
                <w:p w14:paraId="6F3B0AFE">
                  <w:pPr>
                    <w:spacing w:line="240" w:lineRule="atLeast"/>
                    <w:jc w:val="center"/>
                    <w:rPr>
                      <w:bCs/>
                      <w:sz w:val="21"/>
                      <w:szCs w:val="21"/>
                    </w:rPr>
                  </w:pPr>
                  <w:r>
                    <w:rPr>
                      <w:bCs/>
                      <w:sz w:val="21"/>
                      <w:szCs w:val="21"/>
                    </w:rPr>
                    <w:t>GB12348-2008</w:t>
                  </w:r>
                </w:p>
              </w:tc>
              <w:tc>
                <w:tcPr>
                  <w:tcW w:w="1679" w:type="dxa"/>
                  <w:noWrap w:val="0"/>
                  <w:tcMar>
                    <w:left w:w="28" w:type="dxa"/>
                    <w:right w:w="28" w:type="dxa"/>
                  </w:tcMar>
                  <w:vAlign w:val="center"/>
                </w:tcPr>
                <w:p w14:paraId="76AFA091">
                  <w:pPr>
                    <w:spacing w:line="240" w:lineRule="atLeast"/>
                    <w:jc w:val="center"/>
                    <w:rPr>
                      <w:bCs/>
                      <w:sz w:val="21"/>
                      <w:szCs w:val="21"/>
                    </w:rPr>
                  </w:pPr>
                  <w:r>
                    <w:rPr>
                      <w:rFonts w:hint="eastAsia"/>
                      <w:bCs/>
                      <w:sz w:val="21"/>
                      <w:szCs w:val="21"/>
                      <w:lang w:val="en-US" w:eastAsia="zh-CN"/>
                    </w:rPr>
                    <w:t>2</w:t>
                  </w:r>
                  <w:r>
                    <w:rPr>
                      <w:bCs/>
                      <w:sz w:val="21"/>
                      <w:szCs w:val="21"/>
                    </w:rPr>
                    <w:t>类</w:t>
                  </w:r>
                </w:p>
              </w:tc>
              <w:tc>
                <w:tcPr>
                  <w:tcW w:w="2035" w:type="dxa"/>
                  <w:noWrap w:val="0"/>
                  <w:tcMar>
                    <w:left w:w="28" w:type="dxa"/>
                    <w:right w:w="28" w:type="dxa"/>
                  </w:tcMar>
                  <w:vAlign w:val="center"/>
                </w:tcPr>
                <w:p w14:paraId="06E9CA25">
                  <w:pPr>
                    <w:spacing w:line="240" w:lineRule="atLeast"/>
                    <w:jc w:val="center"/>
                    <w:rPr>
                      <w:rFonts w:hint="default" w:eastAsia="宋体"/>
                      <w:bCs/>
                      <w:sz w:val="21"/>
                      <w:szCs w:val="21"/>
                      <w:lang w:val="en-US" w:eastAsia="zh-CN"/>
                    </w:rPr>
                  </w:pPr>
                  <w:r>
                    <w:rPr>
                      <w:rFonts w:hint="eastAsia"/>
                      <w:bCs/>
                      <w:sz w:val="21"/>
                      <w:szCs w:val="21"/>
                      <w:lang w:val="en-US" w:eastAsia="zh-CN"/>
                    </w:rPr>
                    <w:t>60</w:t>
                  </w:r>
                </w:p>
              </w:tc>
              <w:tc>
                <w:tcPr>
                  <w:tcW w:w="2037" w:type="dxa"/>
                  <w:noWrap w:val="0"/>
                  <w:tcMar>
                    <w:left w:w="28" w:type="dxa"/>
                    <w:right w:w="28" w:type="dxa"/>
                  </w:tcMar>
                  <w:vAlign w:val="center"/>
                </w:tcPr>
                <w:p w14:paraId="22CF3FD8">
                  <w:pPr>
                    <w:spacing w:line="240" w:lineRule="atLeast"/>
                    <w:jc w:val="center"/>
                    <w:rPr>
                      <w:rFonts w:hint="default" w:eastAsia="宋体"/>
                      <w:bCs/>
                      <w:sz w:val="21"/>
                      <w:szCs w:val="21"/>
                      <w:lang w:val="en-US" w:eastAsia="zh-CN"/>
                    </w:rPr>
                  </w:pPr>
                  <w:r>
                    <w:rPr>
                      <w:rFonts w:hint="eastAsia"/>
                      <w:bCs/>
                      <w:sz w:val="21"/>
                      <w:szCs w:val="21"/>
                      <w:lang w:val="en-US" w:eastAsia="zh-CN"/>
                    </w:rPr>
                    <w:t>50</w:t>
                  </w:r>
                </w:p>
              </w:tc>
            </w:tr>
          </w:tbl>
          <w:p w14:paraId="61D790D9">
            <w:pPr>
              <w:numPr>
                <w:ilvl w:val="0"/>
                <w:numId w:val="9"/>
              </w:numPr>
              <w:adjustRightInd w:val="0"/>
              <w:snapToGrid w:val="0"/>
              <w:spacing w:line="360" w:lineRule="auto"/>
              <w:ind w:left="0" w:leftChars="0" w:firstLine="422" w:firstLineChars="200"/>
              <w:rPr>
                <w:rFonts w:hint="eastAsia"/>
                <w:b/>
                <w:bCs/>
                <w:sz w:val="21"/>
                <w:szCs w:val="21"/>
                <w:lang w:val="en-US" w:eastAsia="zh-CN"/>
              </w:rPr>
            </w:pPr>
            <w:r>
              <w:rPr>
                <w:rFonts w:hint="eastAsia"/>
                <w:b/>
                <w:bCs/>
                <w:sz w:val="21"/>
                <w:szCs w:val="21"/>
                <w:lang w:val="en-US" w:eastAsia="zh-CN"/>
              </w:rPr>
              <w:t>固体废物评价标准</w:t>
            </w:r>
          </w:p>
          <w:p w14:paraId="56FF0953">
            <w:pPr>
              <w:keepNext w:val="0"/>
              <w:keepLines w:val="0"/>
              <w:widowControl/>
              <w:suppressLineNumbers w:val="0"/>
              <w:spacing w:line="360" w:lineRule="auto"/>
              <w:ind w:firstLine="420" w:firstLineChars="200"/>
              <w:jc w:val="left"/>
              <w:rPr>
                <w:kern w:val="0"/>
                <w:sz w:val="21"/>
                <w:szCs w:val="21"/>
              </w:rPr>
            </w:pPr>
            <w:r>
              <w:rPr>
                <w:rFonts w:hint="eastAsia" w:ascii="宋体" w:hAnsi="宋体" w:eastAsia="宋体" w:cs="宋体"/>
                <w:color w:val="000000"/>
                <w:kern w:val="0"/>
                <w:sz w:val="21"/>
                <w:szCs w:val="21"/>
                <w:lang w:val="en-US" w:eastAsia="zh-CN" w:bidi="ar"/>
              </w:rPr>
              <w:t>一般工业固废，根据《一般工业固体废物贮存和填埋污染控制标准》（</w:t>
            </w:r>
            <w:r>
              <w:rPr>
                <w:rFonts w:hint="default" w:ascii="Times New Roman" w:hAnsi="Times New Roman" w:eastAsia="宋体" w:cs="Times New Roman"/>
                <w:color w:val="000000"/>
                <w:kern w:val="0"/>
                <w:sz w:val="21"/>
                <w:szCs w:val="21"/>
                <w:lang w:val="en-US" w:eastAsia="zh-CN" w:bidi="ar"/>
              </w:rPr>
              <w:t>GB18599-2020</w:t>
            </w:r>
            <w:r>
              <w:rPr>
                <w:rFonts w:hint="eastAsia" w:ascii="宋体" w:hAnsi="宋体" w:eastAsia="宋体" w:cs="宋体"/>
                <w:color w:val="000000"/>
                <w:kern w:val="0"/>
                <w:sz w:val="21"/>
                <w:szCs w:val="21"/>
                <w:lang w:val="en-US" w:eastAsia="zh-CN" w:bidi="ar"/>
              </w:rPr>
              <w:t>），其贮存过程应满足相应防渗漏、防雨淋、防扬尘等环境保护要求</w:t>
            </w:r>
            <w:r>
              <w:rPr>
                <w:rFonts w:hint="eastAsia" w:eastAsia="宋体"/>
                <w:sz w:val="21"/>
                <w:szCs w:val="21"/>
                <w:lang w:eastAsia="zh-CN"/>
              </w:rPr>
              <w:t>；</w:t>
            </w:r>
            <w:r>
              <w:rPr>
                <w:rFonts w:hint="eastAsia" w:eastAsia="宋体"/>
                <w:sz w:val="21"/>
                <w:szCs w:val="21"/>
                <w:lang w:val="en-US" w:eastAsia="zh-CN"/>
              </w:rPr>
              <w:t>危险</w:t>
            </w:r>
            <w:r>
              <w:rPr>
                <w:sz w:val="21"/>
                <w:szCs w:val="21"/>
              </w:rPr>
              <w:t>废物贮存执行《危险废物贮存污染控制标准》</w:t>
            </w:r>
            <w:r>
              <w:rPr>
                <w:rFonts w:hint="eastAsia"/>
                <w:sz w:val="21"/>
                <w:szCs w:val="21"/>
                <w:lang w:eastAsia="zh-CN"/>
              </w:rPr>
              <w:t>（</w:t>
            </w:r>
            <w:r>
              <w:rPr>
                <w:sz w:val="21"/>
                <w:szCs w:val="21"/>
              </w:rPr>
              <w:t>GB18597－</w:t>
            </w:r>
            <w:r>
              <w:rPr>
                <w:rFonts w:hint="eastAsia"/>
                <w:sz w:val="21"/>
                <w:szCs w:val="21"/>
                <w:lang w:val="en-US" w:eastAsia="zh-CN"/>
              </w:rPr>
              <w:t>2023</w:t>
            </w:r>
            <w:r>
              <w:rPr>
                <w:rFonts w:hint="eastAsia"/>
                <w:sz w:val="21"/>
                <w:szCs w:val="21"/>
                <w:lang w:eastAsia="zh-CN"/>
              </w:rPr>
              <w:t>）</w:t>
            </w:r>
            <w:r>
              <w:rPr>
                <w:sz w:val="21"/>
                <w:szCs w:val="21"/>
              </w:rPr>
              <w:t>的规定。</w:t>
            </w:r>
          </w:p>
        </w:tc>
      </w:tr>
      <w:tr w14:paraId="13E2A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65" w:type="dxa"/>
            <w:noWrap w:val="0"/>
            <w:vAlign w:val="center"/>
          </w:tcPr>
          <w:p w14:paraId="7F5CB867">
            <w:pPr>
              <w:adjustRightInd w:val="0"/>
              <w:snapToGrid w:val="0"/>
              <w:jc w:val="center"/>
              <w:rPr>
                <w:kern w:val="0"/>
                <w:sz w:val="21"/>
                <w:szCs w:val="21"/>
              </w:rPr>
            </w:pPr>
            <w:r>
              <w:rPr>
                <w:kern w:val="0"/>
                <w:sz w:val="21"/>
                <w:szCs w:val="21"/>
              </w:rPr>
              <w:t>总量</w:t>
            </w:r>
          </w:p>
          <w:p w14:paraId="34C36FD4">
            <w:pPr>
              <w:adjustRightInd w:val="0"/>
              <w:snapToGrid w:val="0"/>
              <w:jc w:val="center"/>
              <w:rPr>
                <w:kern w:val="0"/>
                <w:sz w:val="21"/>
                <w:szCs w:val="21"/>
              </w:rPr>
            </w:pPr>
            <w:r>
              <w:rPr>
                <w:kern w:val="0"/>
                <w:sz w:val="21"/>
                <w:szCs w:val="21"/>
              </w:rPr>
              <w:t>控制</w:t>
            </w:r>
          </w:p>
          <w:p w14:paraId="561FB0A3">
            <w:pPr>
              <w:adjustRightInd w:val="0"/>
              <w:snapToGrid w:val="0"/>
              <w:jc w:val="center"/>
              <w:rPr>
                <w:kern w:val="0"/>
                <w:sz w:val="21"/>
                <w:szCs w:val="21"/>
              </w:rPr>
            </w:pPr>
            <w:r>
              <w:rPr>
                <w:kern w:val="0"/>
                <w:sz w:val="21"/>
                <w:szCs w:val="21"/>
              </w:rPr>
              <w:t>指标</w:t>
            </w:r>
          </w:p>
        </w:tc>
        <w:tc>
          <w:tcPr>
            <w:tcW w:w="8525" w:type="dxa"/>
            <w:noWrap w:val="0"/>
            <w:vAlign w:val="center"/>
          </w:tcPr>
          <w:p w14:paraId="5B9FA03B">
            <w:pPr>
              <w:adjustRightInd w:val="0"/>
              <w:snapToGrid w:val="0"/>
              <w:spacing w:line="420" w:lineRule="auto"/>
              <w:ind w:firstLine="420" w:firstLineChars="20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根据后文计算，</w:t>
            </w:r>
            <w:r>
              <w:rPr>
                <w:rFonts w:hint="default" w:ascii="Times New Roman" w:hAnsi="Times New Roman" w:eastAsia="宋体" w:cs="Times New Roman"/>
                <w:sz w:val="21"/>
                <w:szCs w:val="21"/>
                <w:lang w:eastAsia="zh-CN"/>
              </w:rPr>
              <w:t>建议指标如下：</w:t>
            </w:r>
          </w:p>
          <w:p w14:paraId="5AAAC8BC">
            <w:pPr>
              <w:adjustRightInd w:val="0"/>
              <w:snapToGrid w:val="0"/>
              <w:spacing w:line="420" w:lineRule="auto"/>
              <w:ind w:firstLine="422" w:firstLineChars="200"/>
              <w:jc w:val="both"/>
              <w:rPr>
                <w:rFonts w:hint="default" w:ascii="Times New Roman" w:hAnsi="Times New Roman" w:eastAsia="宋体" w:cs="Times New Roman"/>
                <w:color w:val="auto"/>
                <w:sz w:val="21"/>
                <w:szCs w:val="21"/>
                <w:highlight w:val="none"/>
                <w:lang w:eastAsia="zh-CN"/>
              </w:rPr>
            </w:pPr>
            <w:r>
              <w:rPr>
                <w:rFonts w:hint="eastAsia" w:cs="Times New Roman"/>
                <w:b/>
                <w:bCs/>
                <w:color w:val="auto"/>
                <w:kern w:val="2"/>
                <w:sz w:val="21"/>
                <w:szCs w:val="21"/>
                <w:highlight w:val="none"/>
                <w:lang w:val="en-US" w:eastAsia="zh-CN" w:bidi="ar-SA"/>
              </w:rPr>
              <w:t>1、</w:t>
            </w:r>
            <w:r>
              <w:rPr>
                <w:rFonts w:hint="default" w:ascii="Times New Roman" w:hAnsi="Times New Roman" w:eastAsia="宋体" w:cs="Times New Roman"/>
                <w:b/>
                <w:bCs/>
                <w:color w:val="auto"/>
                <w:sz w:val="21"/>
                <w:szCs w:val="21"/>
                <w:highlight w:val="none"/>
                <w:lang w:eastAsia="zh-CN"/>
              </w:rPr>
              <w:t>废气</w:t>
            </w:r>
            <w:r>
              <w:rPr>
                <w:rFonts w:hint="default" w:ascii="Times New Roman" w:hAnsi="Times New Roman" w:eastAsia="宋体" w:cs="Times New Roman"/>
                <w:color w:val="auto"/>
                <w:sz w:val="21"/>
                <w:szCs w:val="21"/>
                <w:highlight w:val="none"/>
                <w:lang w:eastAsia="zh-CN"/>
              </w:rPr>
              <w:t>：</w:t>
            </w:r>
          </w:p>
          <w:p w14:paraId="37E2264F">
            <w:pPr>
              <w:bidi w:val="0"/>
              <w:spacing w:line="360" w:lineRule="auto"/>
              <w:ind w:firstLine="420" w:firstLineChars="200"/>
              <w:rPr>
                <w:lang w:val="zh-CN"/>
              </w:rPr>
            </w:pPr>
            <w:r>
              <w:t>本</w:t>
            </w:r>
            <w:r>
              <w:rPr>
                <w:rFonts w:hint="eastAsia"/>
                <w:lang w:val="en-US" w:eastAsia="zh-CN"/>
              </w:rPr>
              <w:t>项目</w:t>
            </w:r>
            <w:r>
              <w:t>涉及的废气总量控制污染物为：</w:t>
            </w:r>
            <w:r>
              <w:rPr>
                <w:lang w:val="zh-CN"/>
              </w:rPr>
              <w:t>VOCs、</w:t>
            </w:r>
            <w:r>
              <w:rPr>
                <w:rFonts w:hint="eastAsia"/>
              </w:rPr>
              <w:t>颗粒物</w:t>
            </w:r>
            <w:r>
              <w:rPr>
                <w:lang w:val="zh-CN"/>
              </w:rPr>
              <w:t>。</w:t>
            </w:r>
          </w:p>
          <w:p w14:paraId="20C55078">
            <w:pPr>
              <w:bidi w:val="0"/>
              <w:spacing w:line="360" w:lineRule="auto"/>
              <w:ind w:firstLine="420" w:firstLineChars="200"/>
              <w:rPr>
                <w:lang w:val="zh-CN"/>
              </w:rPr>
            </w:pPr>
            <w:r>
              <w:rPr>
                <w:rFonts w:hint="eastAsia"/>
                <w:lang w:val="en-US" w:eastAsia="zh-CN"/>
              </w:rPr>
              <w:t>①</w:t>
            </w:r>
            <w:r>
              <w:rPr>
                <w:rFonts w:hint="eastAsia"/>
                <w:lang w:val="zh-CN"/>
              </w:rPr>
              <w:t>VOCs</w:t>
            </w:r>
          </w:p>
          <w:p w14:paraId="18E5F2F6">
            <w:pPr>
              <w:bidi w:val="0"/>
              <w:spacing w:line="360" w:lineRule="auto"/>
              <w:ind w:firstLine="420" w:firstLineChars="200"/>
            </w:pPr>
            <w:r>
              <w:rPr>
                <w:rFonts w:hint="eastAsia"/>
                <w:lang w:val="zh-CN"/>
              </w:rPr>
              <w:t>本项目</w:t>
            </w:r>
            <w:r>
              <w:rPr>
                <w:rFonts w:hint="eastAsia"/>
                <w:lang w:val="en-US" w:eastAsia="zh-CN"/>
              </w:rPr>
              <w:t>建成</w:t>
            </w:r>
            <w:r>
              <w:rPr>
                <w:rFonts w:hint="eastAsia"/>
                <w:lang w:val="zh-CN"/>
              </w:rPr>
              <w:t>后全厂</w:t>
            </w:r>
            <w:r>
              <w:rPr>
                <w:rFonts w:hint="eastAsia"/>
              </w:rPr>
              <w:t>VOCs</w:t>
            </w:r>
          </w:p>
          <w:p w14:paraId="4AF709D5">
            <w:pPr>
              <w:bidi w:val="0"/>
              <w:spacing w:line="360" w:lineRule="auto"/>
              <w:ind w:firstLine="420" w:firstLineChars="200"/>
              <w:rPr>
                <w:color w:val="auto"/>
              </w:rPr>
            </w:pPr>
            <w:r>
              <w:rPr>
                <w:rFonts w:hint="eastAsia"/>
              </w:rPr>
              <w:t>VOCs</w:t>
            </w:r>
            <w:r>
              <w:t>有组织排放量：</w:t>
            </w:r>
            <w:r>
              <w:rPr>
                <w:rFonts w:hint="eastAsia"/>
                <w:color w:val="auto"/>
                <w:lang w:val="en-US" w:eastAsia="zh-CN"/>
              </w:rPr>
              <w:t>0.0675</w:t>
            </w:r>
            <w:r>
              <w:rPr>
                <w:color w:val="auto"/>
              </w:rPr>
              <w:t>t/a×9</w:t>
            </w:r>
            <w:r>
              <w:rPr>
                <w:rFonts w:hint="eastAsia"/>
                <w:color w:val="auto"/>
                <w:lang w:val="en-US" w:eastAsia="zh-CN"/>
              </w:rPr>
              <w:t>0</w:t>
            </w:r>
            <w:r>
              <w:rPr>
                <w:color w:val="auto"/>
              </w:rPr>
              <w:t>%×（1-9</w:t>
            </w:r>
            <w:r>
              <w:rPr>
                <w:rFonts w:hint="eastAsia"/>
                <w:color w:val="auto"/>
                <w:lang w:val="en-US" w:eastAsia="zh-CN"/>
              </w:rPr>
              <w:t>0</w:t>
            </w:r>
            <w:r>
              <w:rPr>
                <w:color w:val="auto"/>
              </w:rPr>
              <w:t>%）</w:t>
            </w:r>
            <w:r>
              <w:rPr>
                <w:rFonts w:hint="eastAsia"/>
                <w:color w:val="auto"/>
              </w:rPr>
              <w:t>+</w:t>
            </w:r>
            <w:r>
              <w:rPr>
                <w:rFonts w:hint="eastAsia"/>
                <w:color w:val="auto"/>
                <w:szCs w:val="21"/>
                <w:lang w:val="en-US" w:eastAsia="zh-CN"/>
              </w:rPr>
              <w:t>0.000146</w:t>
            </w:r>
            <w:r>
              <w:rPr>
                <w:color w:val="auto"/>
              </w:rPr>
              <w:t>t/a×9</w:t>
            </w:r>
            <w:r>
              <w:rPr>
                <w:rFonts w:hint="eastAsia"/>
                <w:color w:val="auto"/>
                <w:lang w:val="en-US" w:eastAsia="zh-CN"/>
              </w:rPr>
              <w:t>0</w:t>
            </w:r>
            <w:r>
              <w:rPr>
                <w:color w:val="auto"/>
              </w:rPr>
              <w:t>%×（</w:t>
            </w:r>
            <w:r>
              <w:rPr>
                <w:rFonts w:hint="eastAsia"/>
                <w:color w:val="auto"/>
              </w:rPr>
              <w:t>1-90%</w:t>
            </w:r>
            <w:r>
              <w:rPr>
                <w:color w:val="auto"/>
              </w:rPr>
              <w:t>）</w:t>
            </w:r>
            <w:r>
              <w:rPr>
                <w:rFonts w:hint="eastAsia"/>
                <w:color w:val="auto"/>
                <w:lang w:val="en-US" w:eastAsia="zh-CN"/>
              </w:rPr>
              <w:t>+</w:t>
            </w:r>
            <w:r>
              <w:rPr>
                <w:rFonts w:hint="eastAsia"/>
                <w:color w:val="auto"/>
                <w:sz w:val="21"/>
                <w:szCs w:val="21"/>
                <w:lang w:val="en-US" w:eastAsia="zh-CN"/>
              </w:rPr>
              <w:t>7.6761</w:t>
            </w:r>
            <w:r>
              <w:rPr>
                <w:color w:val="auto"/>
              </w:rPr>
              <w:t>t/a×9</w:t>
            </w:r>
            <w:r>
              <w:rPr>
                <w:rFonts w:hint="eastAsia"/>
                <w:color w:val="auto"/>
                <w:lang w:val="en-US" w:eastAsia="zh-CN"/>
              </w:rPr>
              <w:t>5</w:t>
            </w:r>
            <w:r>
              <w:rPr>
                <w:color w:val="auto"/>
              </w:rPr>
              <w:t>%×（1-9</w:t>
            </w:r>
            <w:r>
              <w:rPr>
                <w:rFonts w:hint="eastAsia"/>
                <w:color w:val="auto"/>
                <w:lang w:val="en-US" w:eastAsia="zh-CN"/>
              </w:rPr>
              <w:t>0</w:t>
            </w:r>
            <w:r>
              <w:rPr>
                <w:color w:val="auto"/>
              </w:rPr>
              <w:t>%）=</w:t>
            </w:r>
            <w:r>
              <w:rPr>
                <w:rFonts w:hint="eastAsia"/>
                <w:color w:val="auto"/>
                <w:lang w:val="en-US" w:eastAsia="zh-CN"/>
              </w:rPr>
              <w:t>0.7353</w:t>
            </w:r>
            <w:r>
              <w:rPr>
                <w:color w:val="auto"/>
              </w:rPr>
              <w:t>t/a</w:t>
            </w:r>
          </w:p>
          <w:p w14:paraId="2322FB81">
            <w:pPr>
              <w:bidi w:val="0"/>
              <w:spacing w:line="360" w:lineRule="auto"/>
              <w:ind w:firstLine="420" w:firstLineChars="200"/>
            </w:pPr>
            <w:r>
              <w:rPr>
                <w:rFonts w:hint="eastAsia"/>
              </w:rPr>
              <w:t>VOCs</w:t>
            </w:r>
            <w:r>
              <w:t>无组织排放量：</w:t>
            </w:r>
            <w:r>
              <w:rPr>
                <w:rFonts w:hint="eastAsia"/>
                <w:color w:val="auto"/>
                <w:lang w:val="en-US" w:eastAsia="zh-CN"/>
              </w:rPr>
              <w:t>0.0675</w:t>
            </w:r>
            <w:r>
              <w:rPr>
                <w:color w:val="auto"/>
              </w:rPr>
              <w:t>t/a</w:t>
            </w:r>
            <w:r>
              <w:t>×</w:t>
            </w:r>
            <w:r>
              <w:rPr>
                <w:rFonts w:hint="eastAsia"/>
                <w:lang w:val="en-US" w:eastAsia="zh-CN"/>
              </w:rPr>
              <w:t>10</w:t>
            </w:r>
            <w:r>
              <w:rPr>
                <w:rFonts w:hint="eastAsia"/>
              </w:rPr>
              <w:t>%+</w:t>
            </w:r>
            <w:r>
              <w:rPr>
                <w:rFonts w:hint="eastAsia"/>
                <w:color w:val="auto"/>
                <w:szCs w:val="21"/>
                <w:lang w:val="en-US" w:eastAsia="zh-CN"/>
              </w:rPr>
              <w:t>0.000146</w:t>
            </w:r>
            <w:r>
              <w:rPr>
                <w:color w:val="auto"/>
              </w:rPr>
              <w:t>t/a</w:t>
            </w:r>
            <w:r>
              <w:t>×</w:t>
            </w:r>
            <w:r>
              <w:rPr>
                <w:rFonts w:hint="eastAsia"/>
                <w:lang w:val="en-US" w:eastAsia="zh-CN"/>
              </w:rPr>
              <w:t>10</w:t>
            </w:r>
            <w:r>
              <w:rPr>
                <w:rFonts w:hint="eastAsia"/>
              </w:rPr>
              <w:t>%</w:t>
            </w:r>
            <w:r>
              <w:rPr>
                <w:rFonts w:hint="eastAsia"/>
                <w:lang w:val="en-US" w:eastAsia="zh-CN"/>
              </w:rPr>
              <w:t>+</w:t>
            </w:r>
            <w:r>
              <w:rPr>
                <w:rFonts w:hint="eastAsia"/>
                <w:color w:val="auto"/>
                <w:sz w:val="21"/>
                <w:szCs w:val="21"/>
                <w:lang w:val="en-US" w:eastAsia="zh-CN"/>
              </w:rPr>
              <w:t>7.6761</w:t>
            </w:r>
            <w:r>
              <w:rPr>
                <w:color w:val="auto"/>
              </w:rPr>
              <w:t>t/a×</w:t>
            </w:r>
            <w:r>
              <w:rPr>
                <w:rFonts w:hint="eastAsia"/>
                <w:color w:val="auto"/>
                <w:lang w:val="en-US" w:eastAsia="zh-CN"/>
              </w:rPr>
              <w:t>5%</w:t>
            </w:r>
            <w:r>
              <w:t>=</w:t>
            </w:r>
            <w:r>
              <w:rPr>
                <w:rFonts w:hint="eastAsia"/>
              </w:rPr>
              <w:t>0.</w:t>
            </w:r>
            <w:r>
              <w:rPr>
                <w:rFonts w:hint="eastAsia"/>
                <w:lang w:val="en-US" w:eastAsia="zh-CN"/>
              </w:rPr>
              <w:t>3906</w:t>
            </w:r>
            <w:r>
              <w:t>t/a</w:t>
            </w:r>
          </w:p>
          <w:p w14:paraId="6F9323D7">
            <w:pPr>
              <w:bidi w:val="0"/>
              <w:spacing w:line="360" w:lineRule="auto"/>
              <w:ind w:firstLine="420" w:firstLineChars="200"/>
            </w:pPr>
            <w:r>
              <w:rPr>
                <w:rFonts w:hint="eastAsia"/>
                <w:lang w:val="en-US" w:eastAsia="zh-CN"/>
              </w:rPr>
              <w:t>②</w:t>
            </w:r>
            <w:r>
              <w:rPr>
                <w:rFonts w:hint="eastAsia"/>
              </w:rPr>
              <w:t>颗粒物</w:t>
            </w:r>
          </w:p>
          <w:p w14:paraId="2C7A95F9">
            <w:pPr>
              <w:bidi w:val="0"/>
              <w:spacing w:line="360" w:lineRule="auto"/>
              <w:ind w:firstLine="420" w:firstLineChars="200"/>
            </w:pPr>
            <w:r>
              <w:rPr>
                <w:rFonts w:hint="eastAsia"/>
                <w:lang w:val="zh-CN"/>
              </w:rPr>
              <w:t>本项目</w:t>
            </w:r>
            <w:r>
              <w:rPr>
                <w:rFonts w:hint="eastAsia"/>
                <w:lang w:val="en-US" w:eastAsia="zh-CN"/>
              </w:rPr>
              <w:t>建成</w:t>
            </w:r>
            <w:r>
              <w:rPr>
                <w:rFonts w:hint="eastAsia"/>
                <w:lang w:val="zh-CN"/>
              </w:rPr>
              <w:t>后全厂颗粒物</w:t>
            </w:r>
          </w:p>
          <w:p w14:paraId="4BCE9206">
            <w:pPr>
              <w:bidi w:val="0"/>
              <w:spacing w:line="360" w:lineRule="auto"/>
              <w:ind w:firstLine="420" w:firstLineChars="200"/>
            </w:pPr>
            <w:r>
              <w:rPr>
                <w:rFonts w:hint="eastAsia"/>
              </w:rPr>
              <w:t>颗粒物</w:t>
            </w:r>
            <w:r>
              <w:t>有组织排放量：</w:t>
            </w:r>
            <w:r>
              <w:rPr>
                <w:rFonts w:hint="eastAsia"/>
                <w:color w:val="auto"/>
                <w:lang w:val="en-US" w:eastAsia="zh-CN"/>
              </w:rPr>
              <w:t>2.02</w:t>
            </w:r>
            <w:r>
              <w:rPr>
                <w:color w:val="auto"/>
              </w:rPr>
              <w:t>t/a×9</w:t>
            </w:r>
            <w:r>
              <w:rPr>
                <w:rFonts w:hint="eastAsia"/>
                <w:color w:val="auto"/>
                <w:lang w:val="en-US" w:eastAsia="zh-CN"/>
              </w:rPr>
              <w:t>5</w:t>
            </w:r>
            <w:r>
              <w:rPr>
                <w:color w:val="auto"/>
              </w:rPr>
              <w:t>%×（1-9</w:t>
            </w:r>
            <w:r>
              <w:rPr>
                <w:rFonts w:hint="eastAsia"/>
                <w:color w:val="auto"/>
                <w:lang w:val="en-US" w:eastAsia="zh-CN"/>
              </w:rPr>
              <w:t>5</w:t>
            </w:r>
            <w:r>
              <w:rPr>
                <w:color w:val="auto"/>
              </w:rPr>
              <w:t>%）</w:t>
            </w:r>
            <w:r>
              <w:rPr>
                <w:rFonts w:hint="eastAsia"/>
                <w:color w:val="auto"/>
                <w:lang w:val="en-US" w:eastAsia="zh-CN"/>
              </w:rPr>
              <w:t>+0.000106</w:t>
            </w:r>
            <w:r>
              <w:rPr>
                <w:color w:val="auto"/>
              </w:rPr>
              <w:t>t/a×9</w:t>
            </w:r>
            <w:r>
              <w:rPr>
                <w:rFonts w:hint="eastAsia"/>
                <w:color w:val="auto"/>
                <w:lang w:val="en-US" w:eastAsia="zh-CN"/>
              </w:rPr>
              <w:t>0</w:t>
            </w:r>
            <w:r>
              <w:rPr>
                <w:color w:val="auto"/>
              </w:rPr>
              <w:t>%×（</w:t>
            </w:r>
            <w:r>
              <w:t>1-9</w:t>
            </w:r>
            <w:r>
              <w:rPr>
                <w:rFonts w:hint="eastAsia"/>
                <w:lang w:val="en-US" w:eastAsia="zh-CN"/>
              </w:rPr>
              <w:t>0</w:t>
            </w:r>
            <w:r>
              <w:t>%）=0.</w:t>
            </w:r>
            <w:r>
              <w:rPr>
                <w:rFonts w:hint="eastAsia"/>
              </w:rPr>
              <w:t>0</w:t>
            </w:r>
            <w:r>
              <w:rPr>
                <w:rFonts w:hint="eastAsia"/>
                <w:lang w:val="en-US" w:eastAsia="zh-CN"/>
              </w:rPr>
              <w:t>960</w:t>
            </w:r>
            <w:r>
              <w:t>t/a</w:t>
            </w:r>
          </w:p>
          <w:p w14:paraId="2DBA3E92">
            <w:pPr>
              <w:bidi w:val="0"/>
              <w:spacing w:line="360" w:lineRule="auto"/>
              <w:ind w:firstLine="420" w:firstLineChars="200"/>
              <w:rPr>
                <w:rFonts w:hint="default"/>
                <w:lang w:val="en-US" w:eastAsia="zh-CN"/>
              </w:rPr>
            </w:pPr>
            <w:r>
              <w:rPr>
                <w:rFonts w:hint="eastAsia"/>
              </w:rPr>
              <w:t>颗粒物</w:t>
            </w:r>
            <w:r>
              <w:t>无组织排放量：</w:t>
            </w:r>
            <w:r>
              <w:rPr>
                <w:rFonts w:hint="eastAsia"/>
                <w:color w:val="auto"/>
                <w:lang w:val="en-US" w:eastAsia="zh-CN"/>
              </w:rPr>
              <w:t>2.02</w:t>
            </w:r>
            <w:r>
              <w:rPr>
                <w:color w:val="auto"/>
              </w:rPr>
              <w:t>t/</w:t>
            </w:r>
            <w:r>
              <w:t>a×</w:t>
            </w:r>
            <w:r>
              <w:rPr>
                <w:rFonts w:hint="eastAsia"/>
                <w:lang w:val="en-US" w:eastAsia="zh-CN"/>
              </w:rPr>
              <w:t>5</w:t>
            </w:r>
            <w:r>
              <w:t>%</w:t>
            </w:r>
            <w:r>
              <w:rPr>
                <w:rFonts w:hint="eastAsia"/>
                <w:lang w:val="en-US" w:eastAsia="zh-CN"/>
              </w:rPr>
              <w:t>+</w:t>
            </w:r>
            <w:r>
              <w:rPr>
                <w:rFonts w:hint="eastAsia"/>
                <w:color w:val="auto"/>
                <w:lang w:val="en-US" w:eastAsia="zh-CN"/>
              </w:rPr>
              <w:t>0.000106</w:t>
            </w:r>
            <w:r>
              <w:rPr>
                <w:color w:val="auto"/>
              </w:rPr>
              <w:t>t/a×</w:t>
            </w:r>
            <w:r>
              <w:rPr>
                <w:rFonts w:hint="eastAsia"/>
                <w:color w:val="auto"/>
                <w:lang w:val="en-US" w:eastAsia="zh-CN"/>
              </w:rPr>
              <w:t>10%</w:t>
            </w:r>
            <w:r>
              <w:t>=0.</w:t>
            </w:r>
            <w:r>
              <w:rPr>
                <w:rFonts w:hint="eastAsia"/>
                <w:lang w:val="en-US" w:eastAsia="zh-CN"/>
              </w:rPr>
              <w:t>1010</w:t>
            </w:r>
            <w:r>
              <w:t>t/a</w:t>
            </w:r>
          </w:p>
          <w:p w14:paraId="4E439E08">
            <w:pPr>
              <w:pStyle w:val="2"/>
              <w:ind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r>
              <w:rPr>
                <w:rFonts w:hint="default" w:ascii="Times New Roman" w:hAnsi="Times New Roman" w:eastAsia="宋体" w:cs="Times New Roman"/>
                <w:b/>
                <w:bCs/>
                <w:color w:val="auto"/>
                <w:kern w:val="2"/>
                <w:sz w:val="21"/>
                <w:szCs w:val="21"/>
                <w:highlight w:val="none"/>
                <w:lang w:val="en-US" w:eastAsia="zh-CN" w:bidi="ar-SA"/>
              </w:rPr>
              <w:t>废水</w:t>
            </w:r>
          </w:p>
          <w:p w14:paraId="31B6201B">
            <w:pPr>
              <w:adjustRightInd w:val="0"/>
              <w:snapToGrid w:val="0"/>
              <w:spacing w:line="360" w:lineRule="auto"/>
              <w:ind w:firstLine="420" w:firstLineChars="200"/>
              <w:jc w:val="left"/>
              <w:rPr>
                <w:bCs/>
                <w:snapToGrid w:val="0"/>
                <w:sz w:val="21"/>
                <w:szCs w:val="21"/>
              </w:rPr>
            </w:pPr>
            <w:r>
              <w:rPr>
                <w:bCs/>
                <w:snapToGrid w:val="0"/>
                <w:sz w:val="21"/>
                <w:szCs w:val="21"/>
              </w:rPr>
              <w:t>本项目涉及的废水总量控制污染物为：COD、NH</w:t>
            </w:r>
            <w:r>
              <w:rPr>
                <w:bCs/>
                <w:snapToGrid w:val="0"/>
                <w:sz w:val="21"/>
                <w:szCs w:val="21"/>
                <w:vertAlign w:val="subscript"/>
              </w:rPr>
              <w:t>3</w:t>
            </w:r>
            <w:r>
              <w:rPr>
                <w:bCs/>
                <w:snapToGrid w:val="0"/>
                <w:sz w:val="21"/>
                <w:szCs w:val="21"/>
              </w:rPr>
              <w:t>-N、TP。</w:t>
            </w:r>
          </w:p>
          <w:p w14:paraId="29A8A878">
            <w:pPr>
              <w:adjustRightInd w:val="0"/>
              <w:snapToGrid w:val="0"/>
              <w:spacing w:line="360" w:lineRule="auto"/>
              <w:ind w:firstLine="420" w:firstLineChars="200"/>
              <w:rPr>
                <w:bCs/>
                <w:snapToGrid w:val="0"/>
                <w:sz w:val="21"/>
                <w:szCs w:val="21"/>
              </w:rPr>
            </w:pPr>
            <w:r>
              <w:rPr>
                <w:bCs/>
                <w:snapToGrid w:val="0"/>
                <w:sz w:val="21"/>
                <w:szCs w:val="21"/>
              </w:rPr>
              <w:t>根据工程分析，本项目建成后全厂废水排放量为</w:t>
            </w:r>
            <w:r>
              <w:rPr>
                <w:rFonts w:hint="eastAsia"/>
                <w:bCs/>
                <w:snapToGrid w:val="0"/>
                <w:sz w:val="21"/>
                <w:szCs w:val="21"/>
              </w:rPr>
              <w:t>4715.8</w:t>
            </w:r>
            <w:r>
              <w:rPr>
                <w:sz w:val="21"/>
                <w:szCs w:val="21"/>
              </w:rPr>
              <w:t>m</w:t>
            </w:r>
            <w:r>
              <w:rPr>
                <w:sz w:val="21"/>
                <w:szCs w:val="21"/>
                <w:vertAlign w:val="superscript"/>
              </w:rPr>
              <w:t>3</w:t>
            </w:r>
            <w:r>
              <w:rPr>
                <w:bCs/>
                <w:snapToGrid w:val="0"/>
                <w:sz w:val="21"/>
                <w:szCs w:val="21"/>
              </w:rPr>
              <w:t>/a。</w:t>
            </w:r>
          </w:p>
          <w:p w14:paraId="41FDCE2C">
            <w:pPr>
              <w:bidi w:val="0"/>
              <w:spacing w:line="360" w:lineRule="auto"/>
              <w:rPr>
                <w:b/>
                <w:bCs/>
              </w:rPr>
            </w:pPr>
            <w:r>
              <w:rPr>
                <w:b/>
                <w:bCs/>
              </w:rPr>
              <w:t>废水排放总量</w:t>
            </w:r>
          </w:p>
          <w:p w14:paraId="344FD256">
            <w:pPr>
              <w:bidi w:val="0"/>
              <w:spacing w:line="360" w:lineRule="auto"/>
              <w:ind w:firstLine="420" w:firstLineChars="200"/>
            </w:pPr>
            <w:r>
              <w:rPr>
                <w:rFonts w:hint="eastAsia"/>
                <w:lang w:val="en-US" w:eastAsia="zh-CN"/>
              </w:rPr>
              <w:t>①</w:t>
            </w:r>
            <w:r>
              <w:t>厂区排口：</w:t>
            </w:r>
          </w:p>
          <w:p w14:paraId="5549099E">
            <w:pPr>
              <w:bidi w:val="0"/>
              <w:spacing w:line="360" w:lineRule="auto"/>
              <w:ind w:firstLine="420" w:firstLineChars="200"/>
              <w:rPr>
                <w:color w:val="auto"/>
              </w:rPr>
            </w:pPr>
            <w:r>
              <w:t>COD：</w:t>
            </w:r>
            <w:r>
              <w:rPr>
                <w:rFonts w:hint="eastAsia"/>
                <w:color w:val="auto"/>
                <w:lang w:val="en-US" w:eastAsia="zh-CN"/>
              </w:rPr>
              <w:t>863.12</w:t>
            </w:r>
            <w:r>
              <w:rPr>
                <w:color w:val="auto"/>
              </w:rPr>
              <w:t>（t/a）×</w:t>
            </w:r>
            <w:r>
              <w:rPr>
                <w:rFonts w:hint="eastAsia"/>
                <w:color w:val="auto"/>
                <w:lang w:val="en-US" w:eastAsia="zh-CN"/>
              </w:rPr>
              <w:t>5</w:t>
            </w:r>
            <w:r>
              <w:rPr>
                <w:color w:val="auto"/>
              </w:rPr>
              <w:t>00（mg/L）×10</w:t>
            </w:r>
            <w:r>
              <w:rPr>
                <w:color w:val="auto"/>
                <w:vertAlign w:val="superscript"/>
              </w:rPr>
              <w:t>-6</w:t>
            </w:r>
            <w:r>
              <w:rPr>
                <w:color w:val="auto"/>
              </w:rPr>
              <w:t>=</w:t>
            </w:r>
            <w:r>
              <w:rPr>
                <w:rFonts w:hint="eastAsia"/>
                <w:color w:val="auto"/>
                <w:lang w:val="en-US" w:eastAsia="zh-CN"/>
              </w:rPr>
              <w:t>0.4316</w:t>
            </w:r>
            <w:r>
              <w:rPr>
                <w:color w:val="auto"/>
              </w:rPr>
              <w:t>（t/a）</w:t>
            </w:r>
          </w:p>
          <w:p w14:paraId="5C949EC4">
            <w:pPr>
              <w:bidi w:val="0"/>
              <w:spacing w:line="360" w:lineRule="auto"/>
              <w:ind w:firstLine="420" w:firstLineChars="200"/>
              <w:rPr>
                <w:color w:val="auto"/>
              </w:rPr>
            </w:pPr>
            <w:r>
              <w:rPr>
                <w:color w:val="auto"/>
              </w:rPr>
              <w:t>NH</w:t>
            </w:r>
            <w:r>
              <w:rPr>
                <w:color w:val="auto"/>
                <w:vertAlign w:val="subscript"/>
              </w:rPr>
              <w:t>3</w:t>
            </w:r>
            <w:r>
              <w:rPr>
                <w:color w:val="auto"/>
              </w:rPr>
              <w:t>-N：</w:t>
            </w:r>
            <w:r>
              <w:rPr>
                <w:rFonts w:hint="eastAsia"/>
                <w:color w:val="auto"/>
                <w:lang w:val="en-US" w:eastAsia="zh-CN"/>
              </w:rPr>
              <w:t>863.12</w:t>
            </w:r>
            <w:r>
              <w:rPr>
                <w:color w:val="auto"/>
              </w:rPr>
              <w:t>（t/a）×</w:t>
            </w:r>
            <w:r>
              <w:rPr>
                <w:rFonts w:hint="eastAsia"/>
                <w:color w:val="auto"/>
                <w:lang w:val="en-US" w:eastAsia="zh-CN"/>
              </w:rPr>
              <w:t>4</w:t>
            </w:r>
            <w:r>
              <w:rPr>
                <w:color w:val="auto"/>
              </w:rPr>
              <w:t>5（mg/L）×10</w:t>
            </w:r>
            <w:r>
              <w:rPr>
                <w:color w:val="auto"/>
                <w:vertAlign w:val="superscript"/>
              </w:rPr>
              <w:t>-6</w:t>
            </w:r>
            <w:r>
              <w:rPr>
                <w:color w:val="auto"/>
              </w:rPr>
              <w:t>=</w:t>
            </w:r>
            <w:r>
              <w:rPr>
                <w:rFonts w:hint="eastAsia"/>
                <w:color w:val="auto"/>
              </w:rPr>
              <w:t>0.</w:t>
            </w:r>
            <w:r>
              <w:rPr>
                <w:rFonts w:hint="eastAsia"/>
                <w:color w:val="auto"/>
                <w:lang w:val="en-US" w:eastAsia="zh-CN"/>
              </w:rPr>
              <w:t>0388</w:t>
            </w:r>
            <w:r>
              <w:rPr>
                <w:color w:val="auto"/>
              </w:rPr>
              <w:t>（t/a）</w:t>
            </w:r>
          </w:p>
          <w:p w14:paraId="6EB5808F">
            <w:pPr>
              <w:bidi w:val="0"/>
              <w:spacing w:line="360" w:lineRule="auto"/>
              <w:ind w:firstLine="420" w:firstLineChars="200"/>
              <w:rPr>
                <w:color w:val="auto"/>
              </w:rPr>
            </w:pPr>
            <w:r>
              <w:rPr>
                <w:color w:val="auto"/>
              </w:rPr>
              <w:t>TP：</w:t>
            </w:r>
            <w:r>
              <w:rPr>
                <w:rFonts w:hint="eastAsia"/>
                <w:color w:val="auto"/>
                <w:lang w:val="en-US" w:eastAsia="zh-CN"/>
              </w:rPr>
              <w:t>863.12</w:t>
            </w:r>
            <w:r>
              <w:rPr>
                <w:color w:val="auto"/>
              </w:rPr>
              <w:t>（t/a）×</w:t>
            </w:r>
            <w:r>
              <w:rPr>
                <w:rFonts w:hint="eastAsia"/>
                <w:color w:val="auto"/>
                <w:lang w:val="en-US" w:eastAsia="zh-CN"/>
              </w:rPr>
              <w:t>8</w:t>
            </w:r>
            <w:r>
              <w:rPr>
                <w:color w:val="auto"/>
              </w:rPr>
              <w:t>（mg/L）×10</w:t>
            </w:r>
            <w:r>
              <w:rPr>
                <w:color w:val="auto"/>
                <w:vertAlign w:val="superscript"/>
              </w:rPr>
              <w:t>-6</w:t>
            </w:r>
            <w:r>
              <w:rPr>
                <w:color w:val="auto"/>
              </w:rPr>
              <w:t>=0.</w:t>
            </w:r>
            <w:r>
              <w:rPr>
                <w:rFonts w:hint="eastAsia"/>
                <w:color w:val="auto"/>
                <w:lang w:val="en-US" w:eastAsia="zh-CN"/>
              </w:rPr>
              <w:t>0069</w:t>
            </w:r>
            <w:r>
              <w:rPr>
                <w:color w:val="auto"/>
              </w:rPr>
              <w:t>（t/a）</w:t>
            </w:r>
          </w:p>
          <w:p w14:paraId="78F9D8AC">
            <w:pPr>
              <w:bidi w:val="0"/>
              <w:spacing w:line="360" w:lineRule="auto"/>
              <w:ind w:firstLine="420" w:firstLineChars="200"/>
              <w:rPr>
                <w:color w:val="auto"/>
              </w:rPr>
            </w:pPr>
            <w:r>
              <w:rPr>
                <w:rFonts w:hint="eastAsia"/>
                <w:color w:val="auto"/>
                <w:lang w:val="en-US" w:eastAsia="zh-CN"/>
              </w:rPr>
              <w:t>②</w:t>
            </w:r>
            <w:r>
              <w:rPr>
                <w:color w:val="auto"/>
              </w:rPr>
              <w:t>污水处理厂排口：</w:t>
            </w:r>
          </w:p>
          <w:p w14:paraId="0D2EA081">
            <w:pPr>
              <w:bidi w:val="0"/>
              <w:spacing w:line="360" w:lineRule="auto"/>
              <w:ind w:firstLine="420" w:firstLineChars="200"/>
              <w:rPr>
                <w:color w:val="auto"/>
              </w:rPr>
            </w:pPr>
            <w:r>
              <w:rPr>
                <w:color w:val="auto"/>
              </w:rPr>
              <w:t>COD：</w:t>
            </w:r>
            <w:r>
              <w:rPr>
                <w:rFonts w:hint="eastAsia"/>
                <w:color w:val="auto"/>
                <w:lang w:val="en-US" w:eastAsia="zh-CN"/>
              </w:rPr>
              <w:t>863.12</w:t>
            </w:r>
            <w:r>
              <w:rPr>
                <w:color w:val="auto"/>
              </w:rPr>
              <w:t>（t/a）×</w:t>
            </w:r>
            <w:r>
              <w:rPr>
                <w:rFonts w:hint="eastAsia"/>
                <w:color w:val="auto"/>
                <w:lang w:val="en-US" w:eastAsia="zh-CN"/>
              </w:rPr>
              <w:t>5</w:t>
            </w:r>
            <w:r>
              <w:rPr>
                <w:color w:val="auto"/>
              </w:rPr>
              <w:t>0（mg/L）×10</w:t>
            </w:r>
            <w:r>
              <w:rPr>
                <w:color w:val="auto"/>
                <w:vertAlign w:val="superscript"/>
              </w:rPr>
              <w:t>-6</w:t>
            </w:r>
            <w:r>
              <w:rPr>
                <w:color w:val="auto"/>
              </w:rPr>
              <w:t>=0.</w:t>
            </w:r>
            <w:r>
              <w:rPr>
                <w:rFonts w:hint="eastAsia"/>
                <w:color w:val="auto"/>
                <w:lang w:val="en-US" w:eastAsia="zh-CN"/>
              </w:rPr>
              <w:t>0432</w:t>
            </w:r>
            <w:r>
              <w:rPr>
                <w:color w:val="auto"/>
              </w:rPr>
              <w:t>（t/a）</w:t>
            </w:r>
          </w:p>
          <w:p w14:paraId="3E6E0AFD">
            <w:pPr>
              <w:bidi w:val="0"/>
              <w:spacing w:line="360" w:lineRule="auto"/>
              <w:ind w:firstLine="420" w:firstLineChars="200"/>
              <w:rPr>
                <w:color w:val="auto"/>
              </w:rPr>
            </w:pPr>
            <w:r>
              <w:rPr>
                <w:color w:val="auto"/>
              </w:rPr>
              <w:t>NH</w:t>
            </w:r>
            <w:r>
              <w:rPr>
                <w:color w:val="auto"/>
                <w:vertAlign w:val="subscript"/>
              </w:rPr>
              <w:t>3</w:t>
            </w:r>
            <w:r>
              <w:rPr>
                <w:color w:val="auto"/>
              </w:rPr>
              <w:t>-N：</w:t>
            </w:r>
            <w:r>
              <w:rPr>
                <w:rFonts w:hint="eastAsia"/>
                <w:color w:val="auto"/>
                <w:lang w:val="en-US" w:eastAsia="zh-CN"/>
              </w:rPr>
              <w:t>863.12</w:t>
            </w:r>
            <w:r>
              <w:rPr>
                <w:color w:val="auto"/>
              </w:rPr>
              <w:t>（t/a）×</w:t>
            </w:r>
            <w:r>
              <w:rPr>
                <w:rFonts w:hint="eastAsia"/>
                <w:color w:val="auto"/>
                <w:lang w:val="en-US" w:eastAsia="zh-CN"/>
              </w:rPr>
              <w:t>5</w:t>
            </w:r>
            <w:r>
              <w:rPr>
                <w:color w:val="auto"/>
              </w:rPr>
              <w:t>（mg/L）×10</w:t>
            </w:r>
            <w:r>
              <w:rPr>
                <w:color w:val="auto"/>
                <w:vertAlign w:val="superscript"/>
              </w:rPr>
              <w:t>-6=</w:t>
            </w:r>
            <w:r>
              <w:rPr>
                <w:color w:val="auto"/>
              </w:rPr>
              <w:t>0.</w:t>
            </w:r>
            <w:r>
              <w:rPr>
                <w:rFonts w:hint="eastAsia"/>
                <w:color w:val="auto"/>
              </w:rPr>
              <w:t>00</w:t>
            </w:r>
            <w:r>
              <w:rPr>
                <w:rFonts w:hint="eastAsia"/>
                <w:color w:val="auto"/>
                <w:lang w:val="en-US" w:eastAsia="zh-CN"/>
              </w:rPr>
              <w:t>43</w:t>
            </w:r>
            <w:r>
              <w:rPr>
                <w:color w:val="auto"/>
              </w:rPr>
              <w:t>（t/a）</w:t>
            </w:r>
          </w:p>
          <w:p w14:paraId="5C5EDE17">
            <w:pPr>
              <w:bidi w:val="0"/>
              <w:spacing w:line="360" w:lineRule="auto"/>
              <w:ind w:firstLine="420" w:firstLineChars="200"/>
              <w:rPr>
                <w:kern w:val="0"/>
                <w:szCs w:val="21"/>
              </w:rPr>
            </w:pPr>
            <w:r>
              <w:rPr>
                <w:color w:val="auto"/>
              </w:rPr>
              <w:t>TP：</w:t>
            </w:r>
            <w:r>
              <w:rPr>
                <w:rFonts w:hint="eastAsia"/>
                <w:color w:val="auto"/>
                <w:lang w:val="en-US" w:eastAsia="zh-CN"/>
              </w:rPr>
              <w:t>863.12</w:t>
            </w:r>
            <w:r>
              <w:rPr>
                <w:color w:val="auto"/>
              </w:rPr>
              <w:t>（t/a）</w:t>
            </w:r>
            <w:r>
              <w:t>×0.</w:t>
            </w:r>
            <w:r>
              <w:rPr>
                <w:rFonts w:hint="eastAsia"/>
                <w:lang w:val="en-US" w:eastAsia="zh-CN"/>
              </w:rPr>
              <w:t>5</w:t>
            </w:r>
            <w:r>
              <w:t>（mg/L）×10</w:t>
            </w:r>
            <w:r>
              <w:rPr>
                <w:vertAlign w:val="superscript"/>
              </w:rPr>
              <w:t>-6</w:t>
            </w:r>
            <w:r>
              <w:t>=0.00</w:t>
            </w:r>
            <w:r>
              <w:rPr>
                <w:rFonts w:hint="eastAsia"/>
                <w:lang w:val="en-US" w:eastAsia="zh-CN"/>
              </w:rPr>
              <w:t>0</w:t>
            </w:r>
            <w:r>
              <w:rPr>
                <w:rFonts w:hint="eastAsia"/>
              </w:rPr>
              <w:t>4</w:t>
            </w:r>
            <w:r>
              <w:t>（t/a）</w:t>
            </w:r>
          </w:p>
        </w:tc>
      </w:tr>
    </w:tbl>
    <w:p w14:paraId="0E7200EC">
      <w:pPr>
        <w:pStyle w:val="9"/>
        <w:spacing w:before="0" w:beforeAutospacing="0" w:after="0" w:afterAutospacing="0"/>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10" w:name="_Toc17224"/>
      <w:r>
        <w:rPr>
          <w:rFonts w:ascii="Times New Roman" w:hAnsi="Times New Roman" w:eastAsia="黑体"/>
          <w:snapToGrid w:val="0"/>
          <w:sz w:val="30"/>
          <w:szCs w:val="30"/>
        </w:rPr>
        <w:t>四、主要环境影响和保护措施</w:t>
      </w:r>
      <w:bookmarkEnd w:id="10"/>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401"/>
      </w:tblGrid>
      <w:tr w14:paraId="50227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07" w:type="dxa"/>
            <w:noWrap w:val="0"/>
            <w:tcMar>
              <w:left w:w="28" w:type="dxa"/>
              <w:right w:w="28" w:type="dxa"/>
            </w:tcMar>
            <w:vAlign w:val="center"/>
          </w:tcPr>
          <w:p w14:paraId="6551B015">
            <w:pPr>
              <w:pStyle w:val="9"/>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14:paraId="74B099A9">
            <w:pPr>
              <w:pStyle w:val="9"/>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14:paraId="60856F38">
            <w:pPr>
              <w:pStyle w:val="9"/>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14:paraId="6EF64679">
            <w:pPr>
              <w:pStyle w:val="9"/>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14:paraId="0F57F71F">
            <w:pPr>
              <w:pStyle w:val="9"/>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401" w:type="dxa"/>
            <w:noWrap w:val="0"/>
            <w:vAlign w:val="center"/>
          </w:tcPr>
          <w:p w14:paraId="2FE4CBED">
            <w:pPr>
              <w:autoSpaceDE w:val="0"/>
              <w:autoSpaceDN w:val="0"/>
              <w:adjustRightInd w:val="0"/>
              <w:snapToGrid w:val="0"/>
              <w:spacing w:line="360" w:lineRule="auto"/>
              <w:rPr>
                <w:b/>
                <w:bCs/>
                <w:kern w:val="0"/>
                <w:sz w:val="21"/>
                <w:szCs w:val="21"/>
              </w:rPr>
            </w:pPr>
            <w:r>
              <w:rPr>
                <w:rFonts w:hint="eastAsia"/>
                <w:b/>
                <w:bCs/>
                <w:kern w:val="0"/>
                <w:sz w:val="21"/>
                <w:szCs w:val="21"/>
                <w:lang w:val="en-US" w:eastAsia="zh-CN"/>
              </w:rPr>
              <w:t>一、</w:t>
            </w:r>
            <w:r>
              <w:rPr>
                <w:rFonts w:hint="eastAsia"/>
                <w:b/>
                <w:bCs/>
                <w:kern w:val="0"/>
                <w:sz w:val="21"/>
                <w:szCs w:val="21"/>
              </w:rPr>
              <w:t>施工期环境影响和保护措施</w:t>
            </w:r>
          </w:p>
          <w:p w14:paraId="04AFCA94">
            <w:pPr>
              <w:pStyle w:val="81"/>
              <w:spacing w:line="360" w:lineRule="auto"/>
              <w:rPr>
                <w:sz w:val="21"/>
                <w:szCs w:val="21"/>
              </w:rPr>
            </w:pPr>
            <w:r>
              <w:rPr>
                <w:sz w:val="21"/>
                <w:szCs w:val="21"/>
              </w:rPr>
              <w:t>本项目为</w:t>
            </w:r>
            <w:r>
              <w:rPr>
                <w:rFonts w:hint="eastAsia"/>
                <w:sz w:val="21"/>
                <w:szCs w:val="21"/>
                <w:lang w:val="en-US" w:eastAsia="zh-CN"/>
              </w:rPr>
              <w:t>新建</w:t>
            </w:r>
            <w:r>
              <w:rPr>
                <w:sz w:val="21"/>
                <w:szCs w:val="21"/>
              </w:rPr>
              <w:t>项目，在</w:t>
            </w:r>
            <w:r>
              <w:rPr>
                <w:rFonts w:hint="eastAsia"/>
                <w:sz w:val="21"/>
                <w:szCs w:val="21"/>
                <w:lang w:val="en-US" w:eastAsia="zh-CN"/>
              </w:rPr>
              <w:t>标准厂房</w:t>
            </w:r>
            <w:r>
              <w:rPr>
                <w:sz w:val="21"/>
                <w:szCs w:val="21"/>
              </w:rPr>
              <w:t>内</w:t>
            </w:r>
            <w:r>
              <w:rPr>
                <w:rFonts w:hint="eastAsia"/>
                <w:sz w:val="21"/>
                <w:szCs w:val="21"/>
                <w:lang w:val="en-US" w:eastAsia="zh-CN"/>
              </w:rPr>
              <w:t>进行简单的安装</w:t>
            </w:r>
            <w:r>
              <w:rPr>
                <w:sz w:val="21"/>
                <w:szCs w:val="21"/>
              </w:rPr>
              <w:t>设备、</w:t>
            </w:r>
            <w:r>
              <w:rPr>
                <w:rFonts w:hint="eastAsia"/>
                <w:sz w:val="21"/>
                <w:szCs w:val="21"/>
                <w:lang w:val="en-US" w:eastAsia="zh-CN"/>
              </w:rPr>
              <w:t>室内装潢</w:t>
            </w:r>
            <w:r>
              <w:rPr>
                <w:sz w:val="21"/>
                <w:szCs w:val="21"/>
              </w:rPr>
              <w:t>，工程施工期在保有原建筑主体结构的前提下进行少量施工，主要进行适应性改造等。本项目预计施工期为</w:t>
            </w:r>
            <w:r>
              <w:rPr>
                <w:rFonts w:hint="eastAsia"/>
                <w:sz w:val="21"/>
                <w:szCs w:val="21"/>
              </w:rPr>
              <w:t>1</w:t>
            </w:r>
            <w:r>
              <w:rPr>
                <w:sz w:val="21"/>
                <w:szCs w:val="21"/>
              </w:rPr>
              <w:t>个月。</w:t>
            </w:r>
          </w:p>
          <w:p w14:paraId="636A1BA9">
            <w:pPr>
              <w:pStyle w:val="81"/>
              <w:spacing w:line="360" w:lineRule="auto"/>
              <w:rPr>
                <w:sz w:val="21"/>
                <w:szCs w:val="21"/>
              </w:rPr>
            </w:pPr>
            <w:r>
              <w:rPr>
                <w:sz w:val="21"/>
                <w:szCs w:val="21"/>
              </w:rPr>
              <w:t>施工期的工艺流程及产污节点如</w:t>
            </w:r>
            <w:r>
              <w:rPr>
                <w:rFonts w:hint="eastAsia"/>
                <w:sz w:val="21"/>
                <w:szCs w:val="21"/>
              </w:rPr>
              <w:t>4-1所示.</w:t>
            </w:r>
          </w:p>
          <w:p w14:paraId="75245963">
            <w:pPr>
              <w:pStyle w:val="81"/>
              <w:spacing w:line="240" w:lineRule="auto"/>
              <w:jc w:val="center"/>
              <w:rPr>
                <w:rFonts w:hint="eastAsia" w:eastAsia="宋体"/>
                <w:sz w:val="21"/>
                <w:szCs w:val="21"/>
                <w:lang w:eastAsia="zh-CN"/>
              </w:rPr>
            </w:pPr>
            <w:r>
              <w:rPr>
                <w:rFonts w:hint="eastAsia" w:eastAsia="宋体"/>
                <w:sz w:val="21"/>
                <w:szCs w:val="21"/>
                <w:lang w:eastAsia="zh-CN"/>
              </w:rPr>
              <w:drawing>
                <wp:inline distT="0" distB="0" distL="114300" distR="114300">
                  <wp:extent cx="4655820" cy="1539240"/>
                  <wp:effectExtent l="0" t="0" r="7620" b="0"/>
                  <wp:docPr id="9" name="图片 9" descr="172664758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6647588777"/>
                          <pic:cNvPicPr>
                            <a:picLocks noChangeAspect="1"/>
                          </pic:cNvPicPr>
                        </pic:nvPicPr>
                        <pic:blipFill>
                          <a:blip r:embed="rId17"/>
                          <a:stretch>
                            <a:fillRect/>
                          </a:stretch>
                        </pic:blipFill>
                        <pic:spPr>
                          <a:xfrm>
                            <a:off x="0" y="0"/>
                            <a:ext cx="4655820" cy="1539240"/>
                          </a:xfrm>
                          <a:prstGeom prst="rect">
                            <a:avLst/>
                          </a:prstGeom>
                        </pic:spPr>
                      </pic:pic>
                    </a:graphicData>
                  </a:graphic>
                </wp:inline>
              </w:drawing>
            </w:r>
          </w:p>
          <w:p w14:paraId="32DC793C">
            <w:pPr>
              <w:pStyle w:val="81"/>
              <w:spacing w:line="360" w:lineRule="auto"/>
              <w:ind w:firstLine="482"/>
              <w:jc w:val="center"/>
              <w:rPr>
                <w:b/>
                <w:sz w:val="21"/>
                <w:szCs w:val="21"/>
              </w:rPr>
            </w:pPr>
            <w:r>
              <w:rPr>
                <w:b/>
                <w:sz w:val="21"/>
                <w:szCs w:val="21"/>
              </w:rPr>
              <w:t>图</w:t>
            </w:r>
            <w:r>
              <w:rPr>
                <w:rFonts w:hint="eastAsia"/>
                <w:b/>
                <w:sz w:val="21"/>
                <w:szCs w:val="21"/>
              </w:rPr>
              <w:t>4-1施工阶段程序及其产污节点示意图</w:t>
            </w:r>
          </w:p>
          <w:p w14:paraId="2CF67452">
            <w:pPr>
              <w:wordWrap w:val="0"/>
              <w:topLinePunct/>
              <w:adjustRightInd w:val="0"/>
              <w:snapToGrid w:val="0"/>
              <w:spacing w:line="360" w:lineRule="auto"/>
              <w:ind w:firstLine="422" w:firstLineChars="200"/>
              <w:rPr>
                <w:b/>
                <w:sz w:val="21"/>
                <w:szCs w:val="21"/>
              </w:rPr>
            </w:pPr>
            <w:r>
              <w:rPr>
                <w:b/>
                <w:sz w:val="21"/>
                <w:szCs w:val="21"/>
              </w:rPr>
              <w:t xml:space="preserve">1、废气 </w:t>
            </w:r>
          </w:p>
          <w:p w14:paraId="12E0A20D">
            <w:pPr>
              <w:wordWrap w:val="0"/>
              <w:topLinePunct/>
              <w:adjustRightInd w:val="0"/>
              <w:snapToGrid w:val="0"/>
              <w:spacing w:line="360" w:lineRule="auto"/>
              <w:ind w:firstLine="420" w:firstLineChars="200"/>
              <w:rPr>
                <w:sz w:val="21"/>
                <w:szCs w:val="21"/>
              </w:rPr>
            </w:pPr>
            <w:r>
              <w:rPr>
                <w:sz w:val="21"/>
                <w:szCs w:val="21"/>
              </w:rPr>
              <w:t>施工期大气污染主要为扬尘。</w:t>
            </w:r>
            <w:r>
              <w:rPr>
                <w:rFonts w:hint="eastAsia"/>
                <w:sz w:val="21"/>
                <w:szCs w:val="21"/>
              </w:rPr>
              <w:t>要求施工单位应严格《四川省打赢蓝天保卫战实施方案》和《四川省&lt;中华人民共和国大气污染防治法&gt;实施办法》(2018年修订)中对施工场地采取扬尘治理措施降低施工粉尘对外环境影响。</w:t>
            </w:r>
            <w:r>
              <w:rPr>
                <w:sz w:val="21"/>
                <w:szCs w:val="21"/>
              </w:rPr>
              <w:t>通过文明作业、及时清理灰尘，洒水作业等，能有效减少扬尘逸散，对周围大气环境造成明显不利影响较小。</w:t>
            </w:r>
          </w:p>
          <w:p w14:paraId="5C11A83F">
            <w:pPr>
              <w:wordWrap w:val="0"/>
              <w:topLinePunct/>
              <w:adjustRightInd w:val="0"/>
              <w:snapToGrid w:val="0"/>
              <w:spacing w:line="360" w:lineRule="auto"/>
              <w:ind w:firstLine="422" w:firstLineChars="200"/>
              <w:rPr>
                <w:b/>
                <w:sz w:val="21"/>
                <w:szCs w:val="21"/>
              </w:rPr>
            </w:pPr>
            <w:r>
              <w:rPr>
                <w:b/>
                <w:sz w:val="21"/>
                <w:szCs w:val="21"/>
              </w:rPr>
              <w:t>2、废水</w:t>
            </w:r>
          </w:p>
          <w:p w14:paraId="4CDE7282">
            <w:pPr>
              <w:wordWrap w:val="0"/>
              <w:topLinePunct/>
              <w:adjustRightInd w:val="0"/>
              <w:snapToGrid w:val="0"/>
              <w:spacing w:line="360" w:lineRule="auto"/>
              <w:ind w:firstLine="420" w:firstLineChars="200"/>
              <w:rPr>
                <w:sz w:val="21"/>
                <w:szCs w:val="21"/>
              </w:rPr>
            </w:pPr>
            <w:r>
              <w:rPr>
                <w:sz w:val="21"/>
                <w:szCs w:val="21"/>
              </w:rPr>
              <w:t>施工期废水主要为生活污水。</w:t>
            </w:r>
            <w:r>
              <w:rPr>
                <w:rFonts w:hint="eastAsia"/>
                <w:sz w:val="21"/>
                <w:szCs w:val="21"/>
              </w:rPr>
              <w:t>机械和车辆冲洗废水主要为含油废水，应尽量要求施工机械和车辆到附近专门清洗点或修理点进行清洗和修理</w:t>
            </w:r>
            <w:r>
              <w:rPr>
                <w:rFonts w:hint="eastAsia"/>
                <w:sz w:val="21"/>
                <w:szCs w:val="21"/>
                <w:lang w:eastAsia="zh-CN"/>
              </w:rPr>
              <w:t>。</w:t>
            </w:r>
            <w:r>
              <w:rPr>
                <w:sz w:val="21"/>
                <w:szCs w:val="21"/>
              </w:rPr>
              <w:t>施工期间，施工现场不设住宿和食堂，仅有少量生活污水产生。施工人员及工地管理人员为</w:t>
            </w:r>
            <w:r>
              <w:rPr>
                <w:rFonts w:hint="eastAsia"/>
                <w:sz w:val="21"/>
                <w:szCs w:val="21"/>
              </w:rPr>
              <w:t>10</w:t>
            </w:r>
            <w:r>
              <w:rPr>
                <w:sz w:val="21"/>
                <w:szCs w:val="21"/>
              </w:rPr>
              <w:t>人，生活污水产生量约</w:t>
            </w:r>
            <w:r>
              <w:rPr>
                <w:rFonts w:hint="eastAsia"/>
                <w:sz w:val="21"/>
                <w:szCs w:val="21"/>
              </w:rPr>
              <w:t>5</w:t>
            </w:r>
            <w:r>
              <w:rPr>
                <w:sz w:val="21"/>
                <w:szCs w:val="21"/>
              </w:rPr>
              <w:t>m</w:t>
            </w:r>
            <w:r>
              <w:rPr>
                <w:sz w:val="21"/>
                <w:szCs w:val="21"/>
                <w:vertAlign w:val="superscript"/>
              </w:rPr>
              <w:t>3</w:t>
            </w:r>
            <w:r>
              <w:rPr>
                <w:sz w:val="21"/>
                <w:szCs w:val="21"/>
              </w:rPr>
              <w:t>/d，生活污水进入</w:t>
            </w:r>
            <w:r>
              <w:rPr>
                <w:rFonts w:hint="eastAsia"/>
                <w:sz w:val="21"/>
                <w:szCs w:val="21"/>
              </w:rPr>
              <w:t>厂区</w:t>
            </w:r>
            <w:r>
              <w:rPr>
                <w:sz w:val="21"/>
                <w:szCs w:val="21"/>
              </w:rPr>
              <w:t>已建</w:t>
            </w:r>
            <w:r>
              <w:rPr>
                <w:rFonts w:hint="eastAsia"/>
                <w:sz w:val="21"/>
                <w:szCs w:val="21"/>
              </w:rPr>
              <w:t>预处理池</w:t>
            </w:r>
            <w:r>
              <w:rPr>
                <w:sz w:val="21"/>
                <w:szCs w:val="21"/>
              </w:rPr>
              <w:t>处理后接入市政管网，进入蓬溪县经开区污水处理厂处理达标排入芝溪河。</w:t>
            </w:r>
          </w:p>
          <w:p w14:paraId="3A30E6EB">
            <w:pPr>
              <w:wordWrap w:val="0"/>
              <w:topLinePunct/>
              <w:adjustRightInd w:val="0"/>
              <w:snapToGrid w:val="0"/>
              <w:spacing w:line="360" w:lineRule="auto"/>
              <w:ind w:firstLine="422" w:firstLineChars="200"/>
              <w:rPr>
                <w:b/>
                <w:sz w:val="21"/>
                <w:szCs w:val="21"/>
              </w:rPr>
            </w:pPr>
            <w:r>
              <w:rPr>
                <w:b/>
                <w:sz w:val="21"/>
                <w:szCs w:val="21"/>
              </w:rPr>
              <w:t>3、噪声与振动</w:t>
            </w:r>
          </w:p>
          <w:p w14:paraId="4B1A9F68">
            <w:pPr>
              <w:wordWrap w:val="0"/>
              <w:topLinePunct/>
              <w:adjustRightInd w:val="0"/>
              <w:snapToGrid w:val="0"/>
              <w:spacing w:line="360" w:lineRule="auto"/>
              <w:ind w:firstLine="420" w:firstLineChars="200"/>
              <w:rPr>
                <w:sz w:val="21"/>
                <w:szCs w:val="21"/>
              </w:rPr>
            </w:pPr>
            <w:r>
              <w:rPr>
                <w:rFonts w:hint="eastAsia"/>
                <w:sz w:val="21"/>
                <w:szCs w:val="21"/>
              </w:rPr>
              <w:t>本项目施工期不再涉及土建工程，</w:t>
            </w:r>
            <w:r>
              <w:rPr>
                <w:sz w:val="21"/>
                <w:szCs w:val="21"/>
              </w:rPr>
              <w:t>施工过程噪声主要来源于设备安装和运输车辆</w:t>
            </w:r>
            <w:r>
              <w:rPr>
                <w:rFonts w:hint="eastAsia"/>
                <w:sz w:val="21"/>
                <w:szCs w:val="21"/>
                <w:lang w:eastAsia="zh-CN"/>
              </w:rPr>
              <w:t>，其噪声值在70～90dB（A）之间</w:t>
            </w:r>
            <w:r>
              <w:rPr>
                <w:sz w:val="21"/>
                <w:szCs w:val="21"/>
              </w:rPr>
              <w:t>。为</w:t>
            </w:r>
            <w:r>
              <w:rPr>
                <w:rFonts w:hint="eastAsia"/>
                <w:sz w:val="21"/>
                <w:szCs w:val="21"/>
                <w:lang w:val="en-US" w:eastAsia="zh-CN"/>
              </w:rPr>
              <w:t>防止</w:t>
            </w:r>
            <w:r>
              <w:rPr>
                <w:sz w:val="21"/>
                <w:szCs w:val="21"/>
              </w:rPr>
              <w:t>设备安装时对当地声学环境产生影响，项目应注意以下几个方面：</w:t>
            </w:r>
          </w:p>
          <w:p w14:paraId="44145E0D">
            <w:pPr>
              <w:wordWrap w:val="0"/>
              <w:topLinePunct/>
              <w:adjustRightInd w:val="0"/>
              <w:snapToGrid w:val="0"/>
              <w:spacing w:line="360" w:lineRule="auto"/>
              <w:ind w:firstLine="420" w:firstLineChars="200"/>
              <w:rPr>
                <w:sz w:val="21"/>
                <w:szCs w:val="21"/>
              </w:rPr>
            </w:pPr>
            <w:r>
              <w:rPr>
                <w:sz w:val="21"/>
                <w:szCs w:val="21"/>
              </w:rPr>
              <w:t>（1）合理安排作业时间，尽量避免夜间施工；</w:t>
            </w:r>
          </w:p>
          <w:p w14:paraId="191D8D44">
            <w:pPr>
              <w:wordWrap w:val="0"/>
              <w:topLinePunct/>
              <w:adjustRightInd w:val="0"/>
              <w:snapToGrid w:val="0"/>
              <w:spacing w:line="360" w:lineRule="auto"/>
              <w:ind w:firstLine="420" w:firstLineChars="200"/>
              <w:rPr>
                <w:sz w:val="21"/>
                <w:szCs w:val="21"/>
              </w:rPr>
            </w:pPr>
            <w:r>
              <w:rPr>
                <w:sz w:val="21"/>
                <w:szCs w:val="21"/>
              </w:rPr>
              <w:t xml:space="preserve">（2）采用低噪声设备； </w:t>
            </w:r>
          </w:p>
          <w:p w14:paraId="64052766">
            <w:pPr>
              <w:wordWrap w:val="0"/>
              <w:topLinePunct/>
              <w:adjustRightInd w:val="0"/>
              <w:snapToGrid w:val="0"/>
              <w:spacing w:line="360" w:lineRule="auto"/>
              <w:ind w:firstLine="420" w:firstLineChars="200"/>
              <w:rPr>
                <w:sz w:val="21"/>
                <w:szCs w:val="21"/>
              </w:rPr>
            </w:pPr>
            <w:r>
              <w:rPr>
                <w:sz w:val="21"/>
                <w:szCs w:val="21"/>
              </w:rPr>
              <w:t>（3）材料应轻拿轻放，严禁抛掷，减少金属件的碰击声；</w:t>
            </w:r>
          </w:p>
          <w:p w14:paraId="3596D647">
            <w:pPr>
              <w:wordWrap w:val="0"/>
              <w:topLinePunct/>
              <w:adjustRightInd w:val="0"/>
              <w:snapToGrid w:val="0"/>
              <w:spacing w:line="360" w:lineRule="auto"/>
              <w:ind w:firstLine="420" w:firstLineChars="200"/>
              <w:rPr>
                <w:sz w:val="21"/>
                <w:szCs w:val="21"/>
              </w:rPr>
            </w:pPr>
            <w:r>
              <w:rPr>
                <w:sz w:val="21"/>
                <w:szCs w:val="21"/>
              </w:rPr>
              <w:t>（4）对现场运输车辆加强管理，车辆进入现场禁止鸣笛。</w:t>
            </w:r>
          </w:p>
          <w:p w14:paraId="5510C1E3">
            <w:pPr>
              <w:spacing w:line="360" w:lineRule="auto"/>
              <w:ind w:firstLine="422" w:firstLineChars="200"/>
              <w:rPr>
                <w:b/>
                <w:sz w:val="21"/>
                <w:szCs w:val="21"/>
              </w:rPr>
            </w:pPr>
            <w:r>
              <w:rPr>
                <w:b/>
                <w:sz w:val="21"/>
                <w:szCs w:val="21"/>
              </w:rPr>
              <w:t>4、固体废物</w:t>
            </w:r>
          </w:p>
          <w:p w14:paraId="2A276904">
            <w:pPr>
              <w:spacing w:line="360" w:lineRule="auto"/>
              <w:ind w:firstLine="420" w:firstLineChars="200"/>
              <w:rPr>
                <w:rFonts w:hint="eastAsia"/>
                <w:bCs/>
                <w:spacing w:val="-10"/>
                <w:szCs w:val="21"/>
              </w:rPr>
            </w:pPr>
            <w:r>
              <w:rPr>
                <w:rFonts w:ascii="Times New Roman" w:hAnsi="Times New Roman" w:eastAsia="宋体"/>
                <w:b w:val="0"/>
                <w:sz w:val="21"/>
                <w:szCs w:val="21"/>
              </w:rPr>
              <w:t>项目施工期固废主要为设备安装过程产生的废弃包装材料（50kg/d）；施工期间技术人员产生的生活垃圾（约</w:t>
            </w:r>
            <w:r>
              <w:rPr>
                <w:rFonts w:hint="eastAsia" w:ascii="Times New Roman" w:hAnsi="Times New Roman" w:eastAsia="宋体"/>
                <w:b w:val="0"/>
                <w:sz w:val="21"/>
                <w:szCs w:val="21"/>
              </w:rPr>
              <w:t>2</w:t>
            </w:r>
            <w:r>
              <w:rPr>
                <w:rFonts w:ascii="Times New Roman" w:hAnsi="Times New Roman" w:eastAsia="宋体"/>
                <w:b w:val="0"/>
                <w:sz w:val="21"/>
                <w:szCs w:val="21"/>
              </w:rPr>
              <w:t>kg</w:t>
            </w:r>
            <w:r>
              <w:rPr>
                <w:rFonts w:hint="eastAsia" w:ascii="Times New Roman" w:hAnsi="Times New Roman" w:eastAsia="宋体"/>
                <w:b w:val="0"/>
                <w:sz w:val="21"/>
                <w:szCs w:val="21"/>
              </w:rPr>
              <w:t>.</w:t>
            </w:r>
            <w:r>
              <w:rPr>
                <w:rFonts w:ascii="Times New Roman" w:hAnsi="Times New Roman" w:eastAsia="宋体"/>
                <w:b w:val="0"/>
                <w:sz w:val="21"/>
                <w:szCs w:val="21"/>
              </w:rPr>
              <w:t>人/d）项目施工期间人员约</w:t>
            </w:r>
            <w:r>
              <w:rPr>
                <w:rFonts w:hint="eastAsia" w:ascii="Times New Roman" w:hAnsi="Times New Roman" w:eastAsia="宋体"/>
                <w:b w:val="0"/>
                <w:sz w:val="21"/>
                <w:szCs w:val="21"/>
              </w:rPr>
              <w:t>10</w:t>
            </w:r>
            <w:r>
              <w:rPr>
                <w:rFonts w:ascii="Times New Roman" w:hAnsi="Times New Roman" w:eastAsia="宋体"/>
                <w:b w:val="0"/>
                <w:sz w:val="21"/>
                <w:szCs w:val="21"/>
              </w:rPr>
              <w:t>人，施工期需</w:t>
            </w:r>
            <w:r>
              <w:rPr>
                <w:rFonts w:hint="eastAsia" w:ascii="Times New Roman" w:hAnsi="Times New Roman" w:eastAsia="宋体"/>
                <w:b w:val="0"/>
                <w:sz w:val="21"/>
                <w:szCs w:val="21"/>
              </w:rPr>
              <w:t>30</w:t>
            </w:r>
            <w:r>
              <w:rPr>
                <w:rFonts w:ascii="Times New Roman" w:hAnsi="Times New Roman" w:eastAsia="宋体"/>
                <w:b w:val="0"/>
                <w:sz w:val="21"/>
                <w:szCs w:val="21"/>
              </w:rPr>
              <w:t>天，所以共产生生活垃圾约</w:t>
            </w:r>
            <w:r>
              <w:rPr>
                <w:rFonts w:hint="eastAsia" w:ascii="Times New Roman" w:hAnsi="Times New Roman" w:eastAsia="宋体"/>
                <w:b w:val="0"/>
                <w:sz w:val="21"/>
                <w:szCs w:val="21"/>
              </w:rPr>
              <w:t>600</w:t>
            </w:r>
            <w:r>
              <w:rPr>
                <w:rFonts w:hint="eastAsia" w:ascii="Times New Roman" w:hAnsi="Times New Roman" w:eastAsia="宋体"/>
                <w:b w:val="0"/>
                <w:sz w:val="21"/>
                <w:szCs w:val="21"/>
                <w:lang w:val="en-US" w:eastAsia="zh-CN"/>
              </w:rPr>
              <w:t>k</w:t>
            </w:r>
            <w:r>
              <w:rPr>
                <w:rFonts w:ascii="Times New Roman" w:hAnsi="Times New Roman" w:eastAsia="宋体"/>
                <w:b w:val="0"/>
                <w:sz w:val="21"/>
                <w:szCs w:val="21"/>
              </w:rPr>
              <w:t>g。其中生活垃圾暂存于</w:t>
            </w:r>
            <w:r>
              <w:rPr>
                <w:rFonts w:hint="eastAsia" w:ascii="Times New Roman" w:hAnsi="Times New Roman" w:eastAsia="宋体"/>
                <w:b w:val="0"/>
                <w:sz w:val="21"/>
                <w:szCs w:val="21"/>
              </w:rPr>
              <w:t>厂区</w:t>
            </w:r>
            <w:r>
              <w:rPr>
                <w:rFonts w:ascii="Times New Roman" w:hAnsi="Times New Roman" w:eastAsia="宋体"/>
                <w:b w:val="0"/>
                <w:sz w:val="21"/>
                <w:szCs w:val="21"/>
              </w:rPr>
              <w:t>垃圾桶内交由环卫清运处置，废弃包装材料暂存厂区，施工结束后外售废品收购站。</w:t>
            </w:r>
          </w:p>
        </w:tc>
      </w:tr>
      <w:tr w14:paraId="5632C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07" w:type="dxa"/>
            <w:noWrap w:val="0"/>
            <w:tcMar>
              <w:left w:w="28" w:type="dxa"/>
              <w:right w:w="28" w:type="dxa"/>
            </w:tcMar>
            <w:vAlign w:val="center"/>
          </w:tcPr>
          <w:p w14:paraId="58B384AB">
            <w:pPr>
              <w:adjustRightInd w:val="0"/>
              <w:snapToGrid w:val="0"/>
              <w:jc w:val="center"/>
              <w:rPr>
                <w:bCs/>
                <w:szCs w:val="21"/>
              </w:rPr>
            </w:pPr>
            <w:r>
              <w:rPr>
                <w:bCs/>
                <w:szCs w:val="21"/>
              </w:rPr>
              <w:t>运营</w:t>
            </w:r>
          </w:p>
          <w:p w14:paraId="7BE7AFC4">
            <w:pPr>
              <w:adjustRightInd w:val="0"/>
              <w:snapToGrid w:val="0"/>
              <w:jc w:val="center"/>
              <w:rPr>
                <w:bCs/>
                <w:szCs w:val="21"/>
              </w:rPr>
            </w:pPr>
            <w:r>
              <w:rPr>
                <w:bCs/>
                <w:szCs w:val="21"/>
              </w:rPr>
              <w:t>期环</w:t>
            </w:r>
          </w:p>
          <w:p w14:paraId="46E8D1A8">
            <w:pPr>
              <w:adjustRightInd w:val="0"/>
              <w:snapToGrid w:val="0"/>
              <w:jc w:val="center"/>
              <w:rPr>
                <w:bCs/>
                <w:szCs w:val="21"/>
              </w:rPr>
            </w:pPr>
            <w:r>
              <w:rPr>
                <w:bCs/>
                <w:szCs w:val="21"/>
              </w:rPr>
              <w:t>境影</w:t>
            </w:r>
          </w:p>
          <w:p w14:paraId="493BB19C">
            <w:pPr>
              <w:adjustRightInd w:val="0"/>
              <w:snapToGrid w:val="0"/>
              <w:jc w:val="center"/>
              <w:rPr>
                <w:bCs/>
                <w:szCs w:val="21"/>
              </w:rPr>
            </w:pPr>
            <w:r>
              <w:rPr>
                <w:bCs/>
                <w:szCs w:val="21"/>
              </w:rPr>
              <w:t>响和</w:t>
            </w:r>
          </w:p>
          <w:p w14:paraId="025D0ECD">
            <w:pPr>
              <w:adjustRightInd w:val="0"/>
              <w:snapToGrid w:val="0"/>
              <w:jc w:val="center"/>
              <w:rPr>
                <w:bCs/>
                <w:szCs w:val="21"/>
              </w:rPr>
            </w:pPr>
            <w:r>
              <w:rPr>
                <w:bCs/>
                <w:szCs w:val="21"/>
              </w:rPr>
              <w:t>保护</w:t>
            </w:r>
          </w:p>
          <w:p w14:paraId="5E9C324C">
            <w:pPr>
              <w:adjustRightInd w:val="0"/>
              <w:snapToGrid w:val="0"/>
              <w:jc w:val="center"/>
              <w:rPr>
                <w:bCs/>
                <w:szCs w:val="21"/>
              </w:rPr>
            </w:pPr>
            <w:r>
              <w:rPr>
                <w:bCs/>
                <w:szCs w:val="21"/>
              </w:rPr>
              <w:t>措施</w:t>
            </w:r>
          </w:p>
        </w:tc>
        <w:tc>
          <w:tcPr>
            <w:tcW w:w="8401" w:type="dxa"/>
            <w:noWrap w:val="0"/>
            <w:vAlign w:val="center"/>
          </w:tcPr>
          <w:p w14:paraId="1E3DAB4A">
            <w:pPr>
              <w:numPr>
                <w:ilvl w:val="0"/>
                <w:numId w:val="10"/>
              </w:numPr>
              <w:spacing w:line="360" w:lineRule="auto"/>
              <w:rPr>
                <w:b/>
                <w:bCs/>
                <w:sz w:val="21"/>
                <w:szCs w:val="21"/>
              </w:rPr>
            </w:pPr>
            <w:r>
              <w:rPr>
                <w:b/>
                <w:bCs/>
                <w:sz w:val="21"/>
                <w:szCs w:val="21"/>
              </w:rPr>
              <w:t>废气排放及治理措施</w:t>
            </w:r>
          </w:p>
          <w:p w14:paraId="5E8F8F77">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5192395" cy="4638675"/>
                  <wp:effectExtent l="0" t="0" r="4445" b="9525"/>
                  <wp:docPr id="13" name="图片 13" descr="172723193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7231930394"/>
                          <pic:cNvPicPr>
                            <a:picLocks noChangeAspect="1"/>
                          </pic:cNvPicPr>
                        </pic:nvPicPr>
                        <pic:blipFill>
                          <a:blip r:embed="rId18"/>
                          <a:stretch>
                            <a:fillRect/>
                          </a:stretch>
                        </pic:blipFill>
                        <pic:spPr>
                          <a:xfrm>
                            <a:off x="0" y="0"/>
                            <a:ext cx="5192395" cy="4638675"/>
                          </a:xfrm>
                          <a:prstGeom prst="rect">
                            <a:avLst/>
                          </a:prstGeom>
                        </pic:spPr>
                      </pic:pic>
                    </a:graphicData>
                  </a:graphic>
                </wp:inline>
              </w:drawing>
            </w:r>
          </w:p>
          <w:p w14:paraId="1429F1AC">
            <w:pPr>
              <w:pStyle w:val="5"/>
              <w:numPr>
                <w:ilvl w:val="0"/>
                <w:numId w:val="0"/>
              </w:num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图4-2项目废气排放示意图</w:t>
            </w:r>
          </w:p>
          <w:p w14:paraId="4815B277">
            <w:pPr>
              <w:autoSpaceDE w:val="0"/>
              <w:autoSpaceDN w:val="0"/>
              <w:adjustRightInd w:val="0"/>
              <w:snapToGrid w:val="0"/>
              <w:spacing w:line="360" w:lineRule="auto"/>
              <w:ind w:firstLine="422" w:firstLineChars="200"/>
              <w:rPr>
                <w:b/>
                <w:bCs/>
                <w:sz w:val="21"/>
                <w:szCs w:val="21"/>
              </w:rPr>
            </w:pPr>
            <w:r>
              <w:rPr>
                <w:rFonts w:hint="eastAsia"/>
                <w:b/>
                <w:bCs/>
                <w:snapToGrid w:val="0"/>
                <w:kern w:val="0"/>
                <w:sz w:val="21"/>
                <w:szCs w:val="21"/>
                <w:lang w:val="en-US" w:eastAsia="zh-CN"/>
              </w:rPr>
              <w:t>1、</w:t>
            </w:r>
            <w:r>
              <w:rPr>
                <w:b/>
                <w:bCs/>
                <w:sz w:val="21"/>
                <w:szCs w:val="21"/>
              </w:rPr>
              <w:t>废气产排情况</w:t>
            </w:r>
            <w:r>
              <w:rPr>
                <w:rFonts w:hint="eastAsia"/>
                <w:b/>
                <w:bCs/>
                <w:sz w:val="21"/>
                <w:szCs w:val="21"/>
              </w:rPr>
              <w:t>及治理措施</w:t>
            </w:r>
          </w:p>
          <w:p w14:paraId="2E77C5B7">
            <w:pPr>
              <w:spacing w:line="360" w:lineRule="auto"/>
              <w:ind w:firstLine="445" w:firstLineChars="212"/>
              <w:rPr>
                <w:rFonts w:hint="eastAsia"/>
                <w:b w:val="0"/>
                <w:bCs w:val="0"/>
                <w:snapToGrid w:val="0"/>
                <w:kern w:val="0"/>
                <w:sz w:val="21"/>
                <w:szCs w:val="21"/>
                <w:lang w:val="en-US" w:eastAsia="zh-CN"/>
              </w:rPr>
            </w:pPr>
            <w:r>
              <w:rPr>
                <w:sz w:val="21"/>
                <w:szCs w:val="21"/>
              </w:rPr>
              <w:t>本项目运营期主要废气为</w:t>
            </w:r>
            <w:r>
              <w:rPr>
                <w:rFonts w:hint="eastAsia"/>
                <w:sz w:val="21"/>
                <w:szCs w:val="21"/>
                <w:lang w:val="en-US" w:eastAsia="zh-CN"/>
              </w:rPr>
              <w:t>注塑</w:t>
            </w:r>
            <w:r>
              <w:rPr>
                <w:rFonts w:hint="eastAsia"/>
                <w:b w:val="0"/>
                <w:bCs w:val="0"/>
                <w:snapToGrid w:val="0"/>
                <w:kern w:val="0"/>
                <w:sz w:val="21"/>
                <w:szCs w:val="21"/>
                <w:lang w:val="en-US" w:eastAsia="zh-CN"/>
              </w:rPr>
              <w:t>有机废气、喷涂有机废气、破碎粉尘。</w:t>
            </w:r>
          </w:p>
          <w:p w14:paraId="3FD5D395">
            <w:pPr>
              <w:pStyle w:val="5"/>
              <w:numPr>
                <w:ilvl w:val="0"/>
                <w:numId w:val="0"/>
              </w:numPr>
              <w:spacing w:line="360" w:lineRule="auto"/>
              <w:ind w:leftChars="0" w:firstLine="422" w:firstLineChars="200"/>
              <w:rPr>
                <w:rFonts w:hint="eastAsia"/>
                <w:b/>
                <w:bCs/>
                <w:snapToGrid w:val="0"/>
                <w:kern w:val="0"/>
                <w:sz w:val="21"/>
                <w:szCs w:val="21"/>
                <w:lang w:val="en-US" w:eastAsia="zh-CN"/>
              </w:rPr>
            </w:pPr>
            <w:r>
              <w:rPr>
                <w:rFonts w:hint="eastAsia"/>
                <w:b/>
                <w:bCs/>
                <w:snapToGrid w:val="0"/>
                <w:kern w:val="0"/>
                <w:sz w:val="21"/>
                <w:szCs w:val="21"/>
                <w:lang w:val="en-US" w:eastAsia="zh-CN"/>
              </w:rPr>
              <w:t>（1）注塑有机废气</w:t>
            </w:r>
          </w:p>
          <w:p w14:paraId="212E22F8">
            <w:pPr>
              <w:numPr>
                <w:ilvl w:val="0"/>
                <w:numId w:val="0"/>
              </w:numPr>
              <w:spacing w:line="360" w:lineRule="auto"/>
              <w:ind w:firstLine="422" w:firstLineChars="200"/>
              <w:rPr>
                <w:rFonts w:hint="eastAsia"/>
                <w:b/>
                <w:bCs/>
                <w:sz w:val="21"/>
                <w:szCs w:val="21"/>
                <w:lang w:val="en-US" w:eastAsia="zh-CN"/>
              </w:rPr>
            </w:pPr>
            <w:r>
              <w:rPr>
                <w:rFonts w:hint="eastAsia"/>
                <w:b/>
                <w:bCs/>
                <w:sz w:val="21"/>
                <w:szCs w:val="21"/>
                <w:lang w:val="en-US" w:eastAsia="zh-CN"/>
              </w:rPr>
              <w:t>①注塑有机废气产生情况</w:t>
            </w:r>
          </w:p>
          <w:p w14:paraId="727F650C">
            <w:pPr>
              <w:keepNext w:val="0"/>
              <w:keepLines w:val="0"/>
              <w:widowControl/>
              <w:suppressLineNumbers w:val="0"/>
              <w:spacing w:line="360" w:lineRule="auto"/>
              <w:ind w:firstLine="422" w:firstLineChars="200"/>
              <w:jc w:val="left"/>
              <w:rPr>
                <w:rFonts w:hint="default" w:ascii="宋体" w:hAnsi="宋体" w:eastAsia="宋体" w:cs="宋体"/>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A、</w:t>
            </w:r>
            <w:r>
              <w:rPr>
                <w:rFonts w:hint="eastAsia" w:ascii="宋体" w:hAnsi="宋体" w:cs="宋体"/>
                <w:b/>
                <w:bCs/>
                <w:color w:val="000000"/>
                <w:kern w:val="0"/>
                <w:sz w:val="21"/>
                <w:szCs w:val="21"/>
                <w:lang w:val="en-US" w:eastAsia="zh-CN" w:bidi="ar"/>
              </w:rPr>
              <w:t>注塑过程有机废气</w:t>
            </w:r>
          </w:p>
          <w:p w14:paraId="62810E72">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本项主要使用</w:t>
            </w:r>
            <w:r>
              <w:rPr>
                <w:rFonts w:hint="default" w:ascii="Times New Roman" w:hAnsi="Times New Roman" w:eastAsia="宋体" w:cs="Times New Roman"/>
                <w:color w:val="000000"/>
                <w:kern w:val="0"/>
                <w:sz w:val="21"/>
                <w:szCs w:val="21"/>
                <w:lang w:val="en-US" w:eastAsia="zh-CN" w:bidi="ar"/>
              </w:rPr>
              <w:t>ABS</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PC</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PP</w:t>
            </w:r>
            <w:r>
              <w:rPr>
                <w:rFonts w:hint="eastAsia" w:ascii="宋体" w:hAnsi="宋体" w:eastAsia="宋体" w:cs="宋体"/>
                <w:color w:val="000000"/>
                <w:kern w:val="0"/>
                <w:sz w:val="21"/>
                <w:szCs w:val="21"/>
                <w:lang w:val="en-US" w:eastAsia="zh-CN" w:bidi="ar"/>
              </w:rPr>
              <w:t>进行加热熔融注塑。项目各塑料颗粒分解温度及分解温度情况见表</w:t>
            </w:r>
            <w:r>
              <w:rPr>
                <w:rFonts w:hint="default" w:ascii="Times New Roman" w:hAnsi="Times New Roman" w:eastAsia="宋体" w:cs="Times New Roman"/>
                <w:color w:val="000000"/>
                <w:kern w:val="0"/>
                <w:sz w:val="21"/>
                <w:szCs w:val="21"/>
                <w:lang w:val="en-US" w:eastAsia="zh-CN" w:bidi="ar"/>
              </w:rPr>
              <w:t>4-</w:t>
            </w:r>
            <w:r>
              <w:rPr>
                <w:rFonts w:hint="eastAsia"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w:t>
            </w:r>
          </w:p>
          <w:p w14:paraId="7BB275F2">
            <w:pPr>
              <w:keepNext w:val="0"/>
              <w:keepLines w:val="0"/>
              <w:widowControl/>
              <w:suppressLineNumbers w:val="0"/>
              <w:spacing w:line="240" w:lineRule="auto"/>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表4-1项目各塑料分解温度一览表</w:t>
            </w:r>
          </w:p>
          <w:tbl>
            <w:tblPr>
              <w:tblStyle w:val="28"/>
              <w:tblW w:w="81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4506"/>
              <w:gridCol w:w="2729"/>
            </w:tblGrid>
            <w:tr w14:paraId="0D5C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544E1F94">
                  <w:pPr>
                    <w:bidi w:val="0"/>
                    <w:jc w:val="center"/>
                    <w:rPr>
                      <w:rFonts w:hint="eastAsia" w:eastAsia="宋体"/>
                      <w:sz w:val="21"/>
                      <w:szCs w:val="21"/>
                      <w:lang w:val="en-US" w:eastAsia="zh-CN"/>
                    </w:rPr>
                  </w:pPr>
                  <w:r>
                    <w:rPr>
                      <w:rFonts w:hint="eastAsia"/>
                      <w:sz w:val="21"/>
                      <w:szCs w:val="21"/>
                      <w:lang w:val="en-US" w:eastAsia="zh-CN"/>
                    </w:rPr>
                    <w:t>序号</w:t>
                  </w:r>
                </w:p>
              </w:tc>
              <w:tc>
                <w:tcPr>
                  <w:tcW w:w="4506" w:type="dxa"/>
                  <w:vAlign w:val="center"/>
                </w:tcPr>
                <w:p w14:paraId="0EBDF3DA">
                  <w:pPr>
                    <w:bidi w:val="0"/>
                    <w:jc w:val="center"/>
                    <w:rPr>
                      <w:rFonts w:hint="default" w:eastAsia="宋体"/>
                      <w:sz w:val="21"/>
                      <w:szCs w:val="21"/>
                      <w:lang w:val="en-US" w:eastAsia="zh-CN"/>
                    </w:rPr>
                  </w:pPr>
                  <w:r>
                    <w:rPr>
                      <w:rFonts w:hint="eastAsia"/>
                      <w:sz w:val="21"/>
                      <w:szCs w:val="21"/>
                      <w:lang w:val="en-US" w:eastAsia="zh-CN"/>
                    </w:rPr>
                    <w:t>塑料颗粒种类</w:t>
                  </w:r>
                </w:p>
              </w:tc>
              <w:tc>
                <w:tcPr>
                  <w:tcW w:w="2729" w:type="dxa"/>
                  <w:vAlign w:val="center"/>
                </w:tcPr>
                <w:p w14:paraId="32375035">
                  <w:pPr>
                    <w:bidi w:val="0"/>
                    <w:jc w:val="center"/>
                    <w:rPr>
                      <w:rFonts w:hint="default" w:eastAsia="宋体"/>
                      <w:sz w:val="21"/>
                      <w:szCs w:val="21"/>
                      <w:lang w:val="en-US" w:eastAsia="zh-CN"/>
                    </w:rPr>
                  </w:pPr>
                  <w:r>
                    <w:rPr>
                      <w:rFonts w:hint="eastAsia"/>
                      <w:sz w:val="21"/>
                      <w:szCs w:val="21"/>
                      <w:lang w:val="en-US" w:eastAsia="zh-CN"/>
                    </w:rPr>
                    <w:t>分解温度</w:t>
                  </w:r>
                </w:p>
              </w:tc>
            </w:tr>
            <w:tr w14:paraId="70A9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1D140F47">
                  <w:pPr>
                    <w:bidi w:val="0"/>
                    <w:jc w:val="center"/>
                    <w:rPr>
                      <w:rFonts w:hint="eastAsia" w:eastAsia="宋体"/>
                      <w:sz w:val="21"/>
                      <w:szCs w:val="21"/>
                      <w:lang w:val="en-US" w:eastAsia="zh-CN"/>
                    </w:rPr>
                  </w:pPr>
                  <w:r>
                    <w:rPr>
                      <w:rFonts w:hint="eastAsia"/>
                      <w:sz w:val="21"/>
                      <w:szCs w:val="21"/>
                      <w:lang w:val="en-US" w:eastAsia="zh-CN"/>
                    </w:rPr>
                    <w:t>1</w:t>
                  </w:r>
                </w:p>
              </w:tc>
              <w:tc>
                <w:tcPr>
                  <w:tcW w:w="4506" w:type="dxa"/>
                  <w:vAlign w:val="center"/>
                </w:tcPr>
                <w:p w14:paraId="35B5AC06">
                  <w:pPr>
                    <w:bidi w:val="0"/>
                    <w:jc w:val="center"/>
                    <w:rPr>
                      <w:sz w:val="21"/>
                      <w:szCs w:val="21"/>
                    </w:rPr>
                  </w:pPr>
                  <w:r>
                    <w:rPr>
                      <w:rFonts w:hint="default" w:ascii="Times New Roman" w:hAnsi="Times New Roman" w:eastAsia="宋体" w:cs="Times New Roman"/>
                      <w:color w:val="000000"/>
                      <w:kern w:val="0"/>
                      <w:sz w:val="24"/>
                      <w:szCs w:val="24"/>
                      <w:lang w:val="en-US" w:eastAsia="zh-CN" w:bidi="ar"/>
                    </w:rPr>
                    <w:t>ABS</w:t>
                  </w:r>
                </w:p>
              </w:tc>
              <w:tc>
                <w:tcPr>
                  <w:tcW w:w="2729" w:type="dxa"/>
                  <w:vAlign w:val="center"/>
                </w:tcPr>
                <w:p w14:paraId="4A21DB7D">
                  <w:pPr>
                    <w:bidi w:val="0"/>
                    <w:jc w:val="center"/>
                    <w:rPr>
                      <w:rFonts w:hint="default" w:eastAsia="宋体"/>
                      <w:sz w:val="21"/>
                      <w:szCs w:val="21"/>
                      <w:lang w:val="en-US" w:eastAsia="zh-CN"/>
                    </w:rPr>
                  </w:pPr>
                  <w:r>
                    <w:rPr>
                      <w:rFonts w:hint="eastAsia"/>
                      <w:sz w:val="21"/>
                      <w:szCs w:val="21"/>
                      <w:lang w:val="en-US" w:eastAsia="zh-CN"/>
                    </w:rPr>
                    <w:t>260℃</w:t>
                  </w:r>
                </w:p>
              </w:tc>
            </w:tr>
            <w:tr w14:paraId="604E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5D5645DE">
                  <w:pPr>
                    <w:bidi w:val="0"/>
                    <w:jc w:val="center"/>
                    <w:rPr>
                      <w:rFonts w:hint="eastAsia" w:eastAsia="宋体"/>
                      <w:sz w:val="21"/>
                      <w:szCs w:val="21"/>
                      <w:lang w:val="en-US" w:eastAsia="zh-CN"/>
                    </w:rPr>
                  </w:pPr>
                  <w:r>
                    <w:rPr>
                      <w:rFonts w:hint="eastAsia"/>
                      <w:sz w:val="21"/>
                      <w:szCs w:val="21"/>
                      <w:lang w:val="en-US" w:eastAsia="zh-CN"/>
                    </w:rPr>
                    <w:t>2</w:t>
                  </w:r>
                </w:p>
              </w:tc>
              <w:tc>
                <w:tcPr>
                  <w:tcW w:w="4506" w:type="dxa"/>
                  <w:vAlign w:val="center"/>
                </w:tcPr>
                <w:p w14:paraId="6B52C970">
                  <w:pPr>
                    <w:bidi w:val="0"/>
                    <w:jc w:val="center"/>
                    <w:rPr>
                      <w:sz w:val="21"/>
                      <w:szCs w:val="21"/>
                    </w:rPr>
                  </w:pPr>
                  <w:r>
                    <w:rPr>
                      <w:rFonts w:hint="default" w:ascii="Times New Roman" w:hAnsi="Times New Roman" w:eastAsia="宋体" w:cs="Times New Roman"/>
                      <w:color w:val="000000"/>
                      <w:kern w:val="0"/>
                      <w:sz w:val="24"/>
                      <w:szCs w:val="24"/>
                      <w:lang w:val="en-US" w:eastAsia="zh-CN" w:bidi="ar"/>
                    </w:rPr>
                    <w:t>PC</w:t>
                  </w:r>
                </w:p>
              </w:tc>
              <w:tc>
                <w:tcPr>
                  <w:tcW w:w="2729" w:type="dxa"/>
                  <w:vAlign w:val="center"/>
                </w:tcPr>
                <w:p w14:paraId="642F083C">
                  <w:pPr>
                    <w:bidi w:val="0"/>
                    <w:jc w:val="center"/>
                    <w:rPr>
                      <w:rFonts w:hint="default" w:eastAsia="宋体"/>
                      <w:sz w:val="21"/>
                      <w:szCs w:val="21"/>
                      <w:lang w:val="en-US" w:eastAsia="zh-CN"/>
                    </w:rPr>
                  </w:pPr>
                  <w:r>
                    <w:rPr>
                      <w:rFonts w:hint="eastAsia"/>
                      <w:sz w:val="21"/>
                      <w:szCs w:val="21"/>
                      <w:lang w:val="en-US" w:eastAsia="zh-CN"/>
                    </w:rPr>
                    <w:t>450℃</w:t>
                  </w:r>
                </w:p>
              </w:tc>
            </w:tr>
            <w:tr w14:paraId="08B6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0DD89E68">
                  <w:pPr>
                    <w:bidi w:val="0"/>
                    <w:jc w:val="center"/>
                    <w:rPr>
                      <w:rFonts w:hint="eastAsia" w:eastAsia="宋体"/>
                      <w:sz w:val="21"/>
                      <w:szCs w:val="21"/>
                      <w:lang w:val="en-US" w:eastAsia="zh-CN"/>
                    </w:rPr>
                  </w:pPr>
                  <w:r>
                    <w:rPr>
                      <w:rFonts w:hint="eastAsia"/>
                      <w:sz w:val="21"/>
                      <w:szCs w:val="21"/>
                      <w:lang w:val="en-US" w:eastAsia="zh-CN"/>
                    </w:rPr>
                    <w:t>3</w:t>
                  </w:r>
                </w:p>
              </w:tc>
              <w:tc>
                <w:tcPr>
                  <w:tcW w:w="4506" w:type="dxa"/>
                  <w:vAlign w:val="center"/>
                </w:tcPr>
                <w:p w14:paraId="1EEAEFA8">
                  <w:pPr>
                    <w:bidi w:val="0"/>
                    <w:jc w:val="center"/>
                    <w:rPr>
                      <w:sz w:val="21"/>
                      <w:szCs w:val="21"/>
                    </w:rPr>
                  </w:pPr>
                  <w:r>
                    <w:rPr>
                      <w:rFonts w:hint="default" w:ascii="Times New Roman" w:hAnsi="Times New Roman" w:eastAsia="宋体" w:cs="Times New Roman"/>
                      <w:color w:val="000000"/>
                      <w:kern w:val="0"/>
                      <w:sz w:val="24"/>
                      <w:szCs w:val="24"/>
                      <w:lang w:val="en-US" w:eastAsia="zh-CN" w:bidi="ar"/>
                    </w:rPr>
                    <w:t>PP</w:t>
                  </w:r>
                </w:p>
              </w:tc>
              <w:tc>
                <w:tcPr>
                  <w:tcW w:w="2729" w:type="dxa"/>
                  <w:vAlign w:val="center"/>
                </w:tcPr>
                <w:p w14:paraId="0AF2C2A4">
                  <w:pPr>
                    <w:bidi w:val="0"/>
                    <w:jc w:val="center"/>
                    <w:rPr>
                      <w:rFonts w:hint="default" w:eastAsia="宋体"/>
                      <w:sz w:val="21"/>
                      <w:szCs w:val="21"/>
                      <w:lang w:val="en-US" w:eastAsia="zh-CN"/>
                    </w:rPr>
                  </w:pPr>
                  <w:r>
                    <w:rPr>
                      <w:rFonts w:hint="eastAsia"/>
                      <w:sz w:val="21"/>
                      <w:szCs w:val="21"/>
                      <w:lang w:val="en-US" w:eastAsia="zh-CN"/>
                    </w:rPr>
                    <w:t>350~380℃</w:t>
                  </w:r>
                </w:p>
              </w:tc>
            </w:tr>
          </w:tbl>
          <w:p w14:paraId="337B77CD">
            <w:pPr>
              <w:keepNext w:val="0"/>
              <w:keepLines w:val="0"/>
              <w:pageBreakBefore w:val="0"/>
              <w:widowControl/>
              <w:suppressLineNumbers w:val="0"/>
              <w:kinsoku/>
              <w:wordWrap w:val="0"/>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注塑机螺杆后端烘烤温度均为</w:t>
            </w:r>
            <w:r>
              <w:rPr>
                <w:rFonts w:hint="default" w:ascii="Times New Roman" w:hAnsi="Times New Roman" w:eastAsia="宋体" w:cs="Times New Roman"/>
                <w:color w:val="000000"/>
                <w:kern w:val="0"/>
                <w:sz w:val="21"/>
                <w:szCs w:val="21"/>
                <w:lang w:val="en-US" w:eastAsia="zh-CN" w:bidi="ar"/>
              </w:rPr>
              <w:t>90℃</w:t>
            </w:r>
            <w:r>
              <w:rPr>
                <w:rFonts w:hint="eastAsia" w:ascii="宋体" w:hAnsi="宋体" w:eastAsia="宋体" w:cs="宋体"/>
                <w:color w:val="000000"/>
                <w:kern w:val="0"/>
                <w:sz w:val="21"/>
                <w:szCs w:val="21"/>
                <w:lang w:val="en-US" w:eastAsia="zh-CN" w:bidi="ar"/>
              </w:rPr>
              <w:t>，各树脂中前端加热熔融最高温度分别为</w:t>
            </w:r>
            <w:r>
              <w:rPr>
                <w:rFonts w:hint="default" w:ascii="Times New Roman" w:hAnsi="Times New Roman" w:eastAsia="宋体" w:cs="Times New Roman"/>
                <w:color w:val="000000"/>
                <w:kern w:val="0"/>
                <w:sz w:val="21"/>
                <w:szCs w:val="21"/>
                <w:lang w:val="en-US" w:eastAsia="zh-CN" w:bidi="ar"/>
              </w:rPr>
              <w:t>180~2</w:t>
            </w:r>
            <w:r>
              <w:rPr>
                <w:rFonts w:hint="eastAsia"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0℃</w:t>
            </w:r>
            <w:r>
              <w:rPr>
                <w:rFonts w:hint="eastAsia" w:ascii="宋体" w:hAnsi="宋体" w:eastAsia="宋体" w:cs="宋体"/>
                <w:color w:val="000000"/>
                <w:kern w:val="0"/>
                <w:sz w:val="21"/>
                <w:szCs w:val="21"/>
                <w:lang w:val="en-US" w:eastAsia="zh-CN" w:bidi="ar"/>
              </w:rPr>
              <w:t>，因此本项目注塑机仅使各类树脂由固态变为熔融状态，不产生分解，但在加热过程中可能会导致树脂中其他侧链断裂以及少量游离单体溢出，会有少量的有机废气产生，因此在这种情况下注塑产生的</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无需考虑塑料颗粒分解，不会产生碳链焦化气体和热分解废气。参照《排放源统计调查产排污核算方法和系数手册》：</w:t>
            </w:r>
            <w:r>
              <w:rPr>
                <w:rFonts w:hint="default" w:ascii="Times New Roman" w:hAnsi="Times New Roman" w:eastAsia="宋体" w:cs="Times New Roman"/>
                <w:color w:val="000000"/>
                <w:kern w:val="0"/>
                <w:sz w:val="21"/>
                <w:szCs w:val="21"/>
                <w:lang w:val="en-US" w:eastAsia="zh-CN" w:bidi="ar"/>
              </w:rPr>
              <w:t>292</w:t>
            </w:r>
            <w:r>
              <w:rPr>
                <w:rFonts w:hint="eastAsia" w:ascii="宋体" w:hAnsi="宋体" w:eastAsia="宋体" w:cs="宋体"/>
                <w:color w:val="000000"/>
                <w:kern w:val="0"/>
                <w:sz w:val="21"/>
                <w:szCs w:val="21"/>
                <w:lang w:val="en-US" w:eastAsia="zh-CN" w:bidi="ar"/>
              </w:rPr>
              <w:t>塑料制品行业系数手册中</w:t>
            </w:r>
            <w:r>
              <w:rPr>
                <w:rFonts w:hint="default" w:ascii="Times New Roman" w:hAnsi="Times New Roman" w:eastAsia="宋体" w:cs="Times New Roman"/>
                <w:color w:val="000000"/>
                <w:kern w:val="0"/>
                <w:sz w:val="21"/>
                <w:szCs w:val="21"/>
                <w:lang w:val="en-US" w:eastAsia="zh-CN" w:bidi="ar"/>
              </w:rPr>
              <w:t>2929</w:t>
            </w:r>
            <w:r>
              <w:rPr>
                <w:rFonts w:hint="eastAsia" w:ascii="宋体" w:hAnsi="宋体" w:eastAsia="宋体" w:cs="宋体"/>
                <w:color w:val="000000"/>
                <w:kern w:val="0"/>
                <w:sz w:val="21"/>
                <w:szCs w:val="21"/>
                <w:lang w:val="en-US" w:eastAsia="zh-CN" w:bidi="ar"/>
              </w:rPr>
              <w:t>塑料零件及其他塑料制品制造行业系数表，</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排放系数为</w:t>
            </w:r>
            <w:r>
              <w:rPr>
                <w:rFonts w:hint="default" w:ascii="Times New Roman" w:hAnsi="Times New Roman" w:eastAsia="宋体" w:cs="Times New Roman"/>
                <w:color w:val="000000"/>
                <w:kern w:val="0"/>
                <w:sz w:val="21"/>
                <w:szCs w:val="21"/>
                <w:lang w:val="en-US" w:eastAsia="zh-CN" w:bidi="ar"/>
              </w:rPr>
              <w:t>2.7kg/t-</w:t>
            </w:r>
            <w:r>
              <w:rPr>
                <w:rFonts w:hint="eastAsia" w:ascii="宋体" w:hAnsi="宋体" w:eastAsia="宋体" w:cs="宋体"/>
                <w:color w:val="000000"/>
                <w:kern w:val="0"/>
                <w:sz w:val="21"/>
                <w:szCs w:val="21"/>
                <w:lang w:val="en-US" w:eastAsia="zh-CN" w:bidi="ar"/>
              </w:rPr>
              <w:t>产品，根据建设单位提供，本项目塑料颗粒总用量为</w:t>
            </w:r>
            <w:r>
              <w:rPr>
                <w:rFonts w:hint="eastAsia" w:ascii="Times New Roman" w:hAnsi="Times New Roman" w:eastAsia="宋体" w:cs="Times New Roman"/>
                <w:color w:val="000000"/>
                <w:kern w:val="0"/>
                <w:sz w:val="21"/>
                <w:szCs w:val="21"/>
                <w:lang w:val="en-US" w:eastAsia="zh-CN" w:bidi="ar"/>
              </w:rPr>
              <w:t>25</w:t>
            </w:r>
            <w:r>
              <w:rPr>
                <w:rFonts w:hint="default" w:ascii="Times New Roman" w:hAnsi="Times New Roman" w:eastAsia="宋体" w:cs="Times New Roman"/>
                <w:color w:val="000000"/>
                <w:kern w:val="0"/>
                <w:sz w:val="21"/>
                <w:szCs w:val="21"/>
                <w:lang w:val="en-US" w:eastAsia="zh-CN" w:bidi="ar"/>
              </w:rPr>
              <w:t>t/a</w:t>
            </w:r>
            <w:r>
              <w:rPr>
                <w:rFonts w:hint="eastAsia" w:ascii="宋体" w:hAnsi="宋体" w:eastAsia="宋体" w:cs="宋体"/>
                <w:color w:val="000000"/>
                <w:kern w:val="0"/>
                <w:sz w:val="21"/>
                <w:szCs w:val="21"/>
                <w:lang w:val="en-US" w:eastAsia="zh-CN" w:bidi="ar"/>
              </w:rPr>
              <w:t>，则注塑产生的</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量为</w:t>
            </w:r>
            <w:r>
              <w:rPr>
                <w:rFonts w:hint="eastAsia" w:ascii="Times New Roman" w:hAnsi="Times New Roman" w:eastAsia="宋体" w:cs="Times New Roman"/>
                <w:color w:val="000000"/>
                <w:kern w:val="0"/>
                <w:sz w:val="21"/>
                <w:szCs w:val="21"/>
                <w:lang w:val="en-US" w:eastAsia="zh-CN" w:bidi="ar"/>
              </w:rPr>
              <w:t>0.0675</w:t>
            </w:r>
            <w:r>
              <w:rPr>
                <w:rFonts w:hint="default" w:ascii="Times New Roman" w:hAnsi="Times New Roman" w:eastAsia="宋体" w:cs="Times New Roman"/>
                <w:color w:val="000000"/>
                <w:kern w:val="0"/>
                <w:sz w:val="21"/>
                <w:szCs w:val="21"/>
                <w:lang w:val="en-US" w:eastAsia="zh-CN" w:bidi="ar"/>
              </w:rPr>
              <w:t>t/a</w:t>
            </w:r>
            <w:r>
              <w:rPr>
                <w:rFonts w:hint="eastAsia" w:ascii="宋体" w:hAnsi="宋体" w:eastAsia="宋体" w:cs="宋体"/>
                <w:color w:val="000000"/>
                <w:kern w:val="0"/>
                <w:sz w:val="21"/>
                <w:szCs w:val="21"/>
                <w:lang w:val="en-US" w:eastAsia="zh-CN" w:bidi="ar"/>
              </w:rPr>
              <w:t>。</w:t>
            </w:r>
          </w:p>
          <w:p w14:paraId="5AD1F0A9">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000000"/>
                <w:kern w:val="0"/>
                <w:sz w:val="21"/>
                <w:szCs w:val="21"/>
                <w:lang w:val="en-US" w:eastAsia="zh-CN" w:bidi="ar"/>
              </w:rPr>
              <w:t>同时根据《分析测试学报》（第</w:t>
            </w:r>
            <w:r>
              <w:rPr>
                <w:rFonts w:hint="default" w:ascii="Times New Roman" w:hAnsi="Times New Roman" w:eastAsia="宋体" w:cs="Times New Roman"/>
                <w:color w:val="000000"/>
                <w:kern w:val="0"/>
                <w:sz w:val="21"/>
                <w:szCs w:val="21"/>
                <w:lang w:val="en-US" w:eastAsia="zh-CN" w:bidi="ar"/>
              </w:rPr>
              <w:t>27</w:t>
            </w:r>
            <w:r>
              <w:rPr>
                <w:rFonts w:hint="eastAsia" w:ascii="宋体" w:hAnsi="宋体" w:eastAsia="宋体" w:cs="宋体"/>
                <w:color w:val="000000"/>
                <w:kern w:val="0"/>
                <w:sz w:val="21"/>
                <w:szCs w:val="21"/>
                <w:lang w:val="en-US" w:eastAsia="zh-CN" w:bidi="ar"/>
              </w:rPr>
              <w:t>卷第</w:t>
            </w:r>
            <w:r>
              <w:rPr>
                <w:rFonts w:hint="default" w:ascii="Times New Roman" w:hAnsi="Times New Roman" w:eastAsia="宋体" w:cs="Times New Roman"/>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期）中《丙烯腈</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丁二烯</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苯乙烯</w:t>
            </w:r>
            <w:r>
              <w:rPr>
                <w:rFonts w:hint="default" w:ascii="Times New Roman" w:hAnsi="Times New Roman" w:eastAsia="宋体" w:cs="Times New Roman"/>
                <w:color w:val="000000"/>
                <w:kern w:val="0"/>
                <w:sz w:val="21"/>
                <w:szCs w:val="21"/>
                <w:lang w:val="en-US" w:eastAsia="zh-CN" w:bidi="ar"/>
              </w:rPr>
              <w:t>(ABS)</w:t>
            </w:r>
            <w:r>
              <w:rPr>
                <w:rFonts w:hint="eastAsia" w:ascii="宋体" w:hAnsi="宋体" w:eastAsia="宋体" w:cs="宋体"/>
                <w:color w:val="000000"/>
                <w:kern w:val="0"/>
                <w:sz w:val="21"/>
                <w:szCs w:val="21"/>
                <w:lang w:val="en-US" w:eastAsia="zh-CN" w:bidi="ar"/>
              </w:rPr>
              <w:t>塑料中残留单体的溶解沉淀</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气相色谱法测定》测试的最高统计数据，</w:t>
            </w:r>
            <w:r>
              <w:rPr>
                <w:rFonts w:hint="default" w:ascii="Times New Roman" w:hAnsi="Times New Roman" w:eastAsia="宋体" w:cs="Times New Roman"/>
                <w:color w:val="000000"/>
                <w:kern w:val="0"/>
                <w:sz w:val="21"/>
                <w:szCs w:val="21"/>
                <w:lang w:val="en-US" w:eastAsia="zh-CN" w:bidi="ar"/>
              </w:rPr>
              <w:t>ABS</w:t>
            </w:r>
            <w:r>
              <w:rPr>
                <w:rFonts w:hint="eastAsia" w:ascii="宋体" w:hAnsi="宋体" w:eastAsia="宋体" w:cs="宋体"/>
                <w:color w:val="000000"/>
                <w:kern w:val="0"/>
                <w:sz w:val="21"/>
                <w:szCs w:val="21"/>
                <w:lang w:val="en-US" w:eastAsia="zh-CN" w:bidi="ar"/>
              </w:rPr>
              <w:t>中丙烯腈的游离单体含量为</w:t>
            </w:r>
            <w:r>
              <w:rPr>
                <w:rFonts w:hint="default" w:ascii="Times New Roman" w:hAnsi="Times New Roman" w:eastAsia="宋体" w:cs="Times New Roman"/>
                <w:color w:val="000000"/>
                <w:kern w:val="0"/>
                <w:sz w:val="21"/>
                <w:szCs w:val="21"/>
                <w:lang w:val="en-US" w:eastAsia="zh-CN" w:bidi="ar"/>
              </w:rPr>
              <w:t>51.3mg/kg</w:t>
            </w:r>
            <w:r>
              <w:rPr>
                <w:rFonts w:hint="eastAsia" w:ascii="宋体" w:hAnsi="宋体" w:eastAsia="宋体" w:cs="宋体"/>
                <w:color w:val="000000"/>
                <w:kern w:val="0"/>
                <w:sz w:val="21"/>
                <w:szCs w:val="21"/>
                <w:lang w:val="en-US" w:eastAsia="zh-CN" w:bidi="ar"/>
              </w:rPr>
              <w:t>，苯乙烯的游离单体含量为</w:t>
            </w:r>
            <w:r>
              <w:rPr>
                <w:rFonts w:hint="default" w:ascii="Times New Roman" w:hAnsi="Times New Roman" w:eastAsia="宋体" w:cs="Times New Roman"/>
                <w:color w:val="000000"/>
                <w:kern w:val="0"/>
                <w:sz w:val="21"/>
                <w:szCs w:val="21"/>
                <w:lang w:val="en-US" w:eastAsia="zh-CN" w:bidi="ar"/>
              </w:rPr>
              <w:t>1142mg/kg</w:t>
            </w:r>
            <w:r>
              <w:rPr>
                <w:rFonts w:hint="eastAsia" w:ascii="宋体" w:hAnsi="宋体" w:eastAsia="宋体" w:cs="宋体"/>
                <w:color w:val="000000"/>
                <w:kern w:val="0"/>
                <w:sz w:val="21"/>
                <w:szCs w:val="21"/>
                <w:lang w:val="en-US" w:eastAsia="zh-CN" w:bidi="ar"/>
              </w:rPr>
              <w:t>，本次以游离单体在注塑过程全部挥发统计污染物排放。本项目</w:t>
            </w:r>
            <w:r>
              <w:rPr>
                <w:rFonts w:hint="default" w:ascii="Times New Roman" w:hAnsi="Times New Roman" w:eastAsia="宋体" w:cs="Times New Roman"/>
                <w:color w:val="000000"/>
                <w:kern w:val="0"/>
                <w:sz w:val="21"/>
                <w:szCs w:val="21"/>
                <w:lang w:val="en-US" w:eastAsia="zh-CN" w:bidi="ar"/>
              </w:rPr>
              <w:t>ABS</w:t>
            </w:r>
            <w:r>
              <w:rPr>
                <w:rFonts w:hint="eastAsia" w:ascii="宋体" w:hAnsi="宋体" w:eastAsia="宋体" w:cs="宋体"/>
                <w:color w:val="000000"/>
                <w:kern w:val="0"/>
                <w:sz w:val="21"/>
                <w:szCs w:val="21"/>
                <w:lang w:val="en-US" w:eastAsia="zh-CN" w:bidi="ar"/>
              </w:rPr>
              <w:t>用量为</w:t>
            </w:r>
            <w:r>
              <w:rPr>
                <w:rFonts w:hint="eastAsia"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lang w:val="en-US" w:eastAsia="zh-CN" w:bidi="ar"/>
              </w:rPr>
              <w:t>t</w:t>
            </w:r>
            <w:r>
              <w:rPr>
                <w:rFonts w:hint="default" w:ascii="Times New Roman" w:hAnsi="Times New Roman" w:eastAsia="宋体" w:cs="Times New Roman"/>
                <w:color w:val="000000"/>
                <w:kern w:val="0"/>
                <w:sz w:val="21"/>
                <w:szCs w:val="21"/>
                <w:lang w:val="en-US" w:eastAsia="zh-CN" w:bidi="ar"/>
              </w:rPr>
              <w:t>/a</w:t>
            </w:r>
            <w:r>
              <w:rPr>
                <w:rFonts w:hint="eastAsia" w:ascii="宋体" w:hAnsi="宋体" w:eastAsia="宋体" w:cs="宋体"/>
                <w:color w:val="000000"/>
                <w:kern w:val="0"/>
                <w:sz w:val="21"/>
                <w:szCs w:val="21"/>
                <w:lang w:val="en-US" w:eastAsia="zh-CN" w:bidi="ar"/>
              </w:rPr>
              <w:t>，则苯乙烯产</w:t>
            </w:r>
            <w:r>
              <w:rPr>
                <w:rFonts w:hint="eastAsia" w:ascii="宋体" w:hAnsi="宋体" w:eastAsia="宋体" w:cs="宋体"/>
                <w:color w:val="auto"/>
                <w:kern w:val="0"/>
                <w:sz w:val="21"/>
                <w:szCs w:val="21"/>
                <w:lang w:val="en-US" w:eastAsia="zh-CN" w:bidi="ar"/>
              </w:rPr>
              <w:t>生量为</w:t>
            </w:r>
            <w:r>
              <w:rPr>
                <w:rFonts w:hint="eastAsia" w:cs="Times New Roman"/>
                <w:color w:val="auto"/>
                <w:kern w:val="0"/>
                <w:sz w:val="21"/>
                <w:szCs w:val="21"/>
                <w:lang w:val="en-US" w:eastAsia="zh-CN" w:bidi="ar"/>
              </w:rPr>
              <w:t>0.0114</w:t>
            </w:r>
            <w:r>
              <w:rPr>
                <w:rFonts w:hint="eastAsia" w:ascii="Times New Roman" w:hAnsi="Times New Roman" w:eastAsia="宋体" w:cs="Times New Roman"/>
                <w:color w:val="auto"/>
                <w:kern w:val="0"/>
                <w:sz w:val="21"/>
                <w:szCs w:val="21"/>
                <w:lang w:val="en-US" w:eastAsia="zh-CN" w:bidi="ar"/>
              </w:rPr>
              <w:t>t</w:t>
            </w:r>
            <w:r>
              <w:rPr>
                <w:rFonts w:hint="default" w:ascii="Times New Roman" w:hAnsi="Times New Roman" w:eastAsia="宋体" w:cs="Times New Roman"/>
                <w:color w:val="auto"/>
                <w:kern w:val="0"/>
                <w:sz w:val="21"/>
                <w:szCs w:val="21"/>
                <w:lang w:val="en-US" w:eastAsia="zh-CN" w:bidi="ar"/>
              </w:rPr>
              <w:t>/a</w:t>
            </w:r>
            <w:r>
              <w:rPr>
                <w:rFonts w:hint="eastAsia" w:ascii="宋体" w:hAnsi="宋体" w:eastAsia="宋体" w:cs="宋体"/>
                <w:color w:val="auto"/>
                <w:kern w:val="0"/>
                <w:sz w:val="21"/>
                <w:szCs w:val="21"/>
                <w:lang w:val="en-US" w:eastAsia="zh-CN" w:bidi="ar"/>
              </w:rPr>
              <w:t>，丙烯腈产生量为</w:t>
            </w:r>
            <w:r>
              <w:rPr>
                <w:rFonts w:hint="eastAsia" w:ascii="Times New Roman" w:hAnsi="Times New Roman" w:eastAsia="宋体" w:cs="Times New Roman"/>
                <w:color w:val="auto"/>
                <w:kern w:val="0"/>
                <w:sz w:val="21"/>
                <w:szCs w:val="21"/>
                <w:lang w:val="en-US" w:eastAsia="zh-CN" w:bidi="ar"/>
              </w:rPr>
              <w:t>5</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13</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4</w:t>
            </w:r>
            <w:r>
              <w:rPr>
                <w:rFonts w:hint="default" w:ascii="Times New Roman" w:hAnsi="Times New Roman" w:eastAsia="宋体" w:cs="Times New Roman"/>
                <w:color w:val="auto"/>
                <w:kern w:val="0"/>
                <w:sz w:val="21"/>
                <w:szCs w:val="21"/>
                <w:lang w:val="en-US" w:eastAsia="zh-CN" w:bidi="ar"/>
              </w:rPr>
              <w:t>t/a</w:t>
            </w:r>
            <w:r>
              <w:rPr>
                <w:rFonts w:hint="eastAsia" w:ascii="宋体" w:hAnsi="宋体" w:eastAsia="宋体" w:cs="宋体"/>
                <w:color w:val="auto"/>
                <w:kern w:val="0"/>
                <w:sz w:val="21"/>
                <w:szCs w:val="21"/>
                <w:lang w:val="en-US" w:eastAsia="zh-CN" w:bidi="ar"/>
              </w:rPr>
              <w:t>。</w:t>
            </w:r>
          </w:p>
          <w:p w14:paraId="39043B2B">
            <w:pPr>
              <w:keepNext w:val="0"/>
              <w:keepLines w:val="0"/>
              <w:widowControl/>
              <w:suppressLineNumbers w:val="0"/>
              <w:spacing w:line="360" w:lineRule="auto"/>
              <w:ind w:firstLine="422" w:firstLineChars="200"/>
              <w:jc w:val="left"/>
              <w:rPr>
                <w:sz w:val="21"/>
                <w:szCs w:val="21"/>
              </w:rPr>
            </w:pPr>
            <w:r>
              <w:rPr>
                <w:rFonts w:hint="default" w:ascii="Times New Roman" w:hAnsi="Times New Roman" w:eastAsia="宋体" w:cs="Times New Roman"/>
                <w:b/>
                <w:bCs/>
                <w:color w:val="000000"/>
                <w:kern w:val="0"/>
                <w:sz w:val="21"/>
                <w:szCs w:val="21"/>
                <w:lang w:val="en-US" w:eastAsia="zh-CN" w:bidi="ar"/>
              </w:rPr>
              <w:t>B</w:t>
            </w:r>
            <w:r>
              <w:rPr>
                <w:rFonts w:hint="eastAsia" w:ascii="宋体" w:hAnsi="宋体" w:eastAsia="宋体" w:cs="宋体"/>
                <w:b/>
                <w:bCs/>
                <w:color w:val="000000"/>
                <w:kern w:val="0"/>
                <w:sz w:val="21"/>
                <w:szCs w:val="21"/>
                <w:lang w:val="en-US" w:eastAsia="zh-CN" w:bidi="ar"/>
              </w:rPr>
              <w:t>、注塑产品</w:t>
            </w:r>
            <w:r>
              <w:rPr>
                <w:rFonts w:hint="eastAsia" w:ascii="宋体" w:hAnsi="宋体" w:cs="宋体"/>
                <w:b/>
                <w:bCs/>
                <w:color w:val="000000"/>
                <w:kern w:val="0"/>
                <w:sz w:val="21"/>
                <w:szCs w:val="21"/>
                <w:lang w:val="en-US" w:eastAsia="zh-CN" w:bidi="ar"/>
              </w:rPr>
              <w:t>焊接</w:t>
            </w:r>
            <w:r>
              <w:rPr>
                <w:rFonts w:hint="eastAsia" w:ascii="宋体" w:hAnsi="宋体" w:eastAsia="宋体" w:cs="宋体"/>
                <w:b/>
                <w:bCs/>
                <w:color w:val="000000"/>
                <w:kern w:val="0"/>
                <w:sz w:val="21"/>
                <w:szCs w:val="21"/>
                <w:lang w:val="en-US" w:eastAsia="zh-CN" w:bidi="ar"/>
              </w:rPr>
              <w:t xml:space="preserve">组装有机废气 </w:t>
            </w:r>
          </w:p>
          <w:p w14:paraId="7AFEAB62">
            <w:pPr>
              <w:keepNext w:val="0"/>
              <w:keepLines w:val="0"/>
              <w:widowControl/>
              <w:suppressLineNumbers w:val="0"/>
              <w:spacing w:line="360" w:lineRule="auto"/>
              <w:ind w:firstLine="420" w:firstLineChars="200"/>
              <w:jc w:val="left"/>
              <w:rPr>
                <w:rFonts w:hint="default"/>
                <w:sz w:val="21"/>
                <w:szCs w:val="21"/>
                <w:lang w:val="en-US"/>
              </w:rPr>
            </w:pPr>
            <w:r>
              <w:rPr>
                <w:rFonts w:hint="eastAsia" w:ascii="宋体" w:hAnsi="宋体" w:eastAsia="宋体" w:cs="宋体"/>
                <w:color w:val="000000"/>
                <w:kern w:val="0"/>
                <w:sz w:val="21"/>
                <w:szCs w:val="21"/>
                <w:lang w:val="en-US" w:eastAsia="zh-CN" w:bidi="ar"/>
              </w:rPr>
              <w:t>本项目产品组装主要有</w:t>
            </w:r>
            <w:r>
              <w:rPr>
                <w:rFonts w:hint="eastAsia" w:ascii="宋体" w:hAnsi="宋体" w:eastAsia="宋体" w:cs="宋体"/>
                <w:color w:val="auto"/>
                <w:kern w:val="0"/>
                <w:sz w:val="21"/>
                <w:szCs w:val="21"/>
                <w:lang w:val="en-US" w:eastAsia="zh-CN" w:bidi="ar"/>
              </w:rPr>
              <w:t>热板焊接</w:t>
            </w:r>
            <w:r>
              <w:rPr>
                <w:rFonts w:hint="eastAsia" w:ascii="宋体" w:hAnsi="宋体" w:eastAsia="宋体" w:cs="宋体"/>
                <w:color w:val="000000"/>
                <w:kern w:val="0"/>
                <w:sz w:val="21"/>
                <w:szCs w:val="21"/>
                <w:lang w:val="en-US" w:eastAsia="zh-CN" w:bidi="ar"/>
              </w:rPr>
              <w:t>，仅焊接工件上特定焊接点位，根据业主提供的资料，每年需焊接的产品约</w:t>
            </w:r>
            <w:r>
              <w:rPr>
                <w:rFonts w:hint="eastAsia" w:ascii="Times New Roman" w:hAnsi="Times New Roman" w:eastAsia="宋体" w:cs="Times New Roman"/>
                <w:color w:val="000000"/>
                <w:kern w:val="0"/>
                <w:sz w:val="21"/>
                <w:szCs w:val="21"/>
                <w:lang w:val="en-US" w:eastAsia="zh-CN" w:bidi="ar"/>
              </w:rPr>
              <w:t>6</w:t>
            </w:r>
            <w:r>
              <w:rPr>
                <w:rFonts w:hint="default" w:ascii="Times New Roman" w:hAnsi="Times New Roman" w:eastAsia="宋体" w:cs="Times New Roman"/>
                <w:color w:val="000000"/>
                <w:kern w:val="0"/>
                <w:sz w:val="21"/>
                <w:szCs w:val="21"/>
                <w:lang w:val="en-US" w:eastAsia="zh-CN" w:bidi="ar"/>
              </w:rPr>
              <w:t>0万件（以PP</w:t>
            </w:r>
            <w:r>
              <w:rPr>
                <w:rFonts w:hint="eastAsia" w:ascii="宋体" w:hAnsi="宋体" w:eastAsia="宋体" w:cs="宋体"/>
                <w:color w:val="000000"/>
                <w:kern w:val="0"/>
                <w:sz w:val="21"/>
                <w:szCs w:val="21"/>
                <w:lang w:val="en-US" w:eastAsia="zh-CN" w:bidi="ar"/>
              </w:rPr>
              <w:t>计</w:t>
            </w:r>
            <w:r>
              <w:rPr>
                <w:rFonts w:hint="default" w:ascii="Times New Roman" w:hAnsi="Times New Roman" w:eastAsia="宋体" w:cs="Times New Roman"/>
                <w:color w:val="000000"/>
                <w:kern w:val="0"/>
                <w:sz w:val="21"/>
                <w:szCs w:val="21"/>
                <w:lang w:val="en-US" w:eastAsia="zh-CN" w:bidi="ar"/>
              </w:rPr>
              <w:t>，PP</w:t>
            </w:r>
            <w:r>
              <w:rPr>
                <w:rFonts w:hint="eastAsia" w:ascii="宋体" w:hAnsi="宋体" w:eastAsia="宋体" w:cs="宋体"/>
                <w:color w:val="000000"/>
                <w:kern w:val="0"/>
                <w:sz w:val="21"/>
                <w:szCs w:val="21"/>
                <w:lang w:val="en-US" w:eastAsia="zh-CN" w:bidi="ar"/>
              </w:rPr>
              <w:t>密度值为中等），每个焊接产品平均焊接面积</w:t>
            </w:r>
            <w:r>
              <w:rPr>
                <w:rFonts w:hint="default" w:ascii="Times New Roman" w:hAnsi="Times New Roman" w:eastAsia="宋体" w:cs="Times New Roman"/>
                <w:color w:val="000000"/>
                <w:kern w:val="0"/>
                <w:sz w:val="21"/>
                <w:szCs w:val="21"/>
                <w:lang w:val="en-US" w:eastAsia="zh-CN" w:bidi="ar"/>
              </w:rPr>
              <w:t>1cm</w:t>
            </w:r>
            <w:r>
              <w:rPr>
                <w:rFonts w:hint="default" w:ascii="Times New Roman" w:hAnsi="Times New Roman" w:eastAsia="宋体" w:cs="Times New Roman"/>
                <w:color w:val="000000"/>
                <w:kern w:val="0"/>
                <w:sz w:val="21"/>
                <w:szCs w:val="21"/>
                <w:vertAlign w:val="superscript"/>
                <w:lang w:val="en-US" w:eastAsia="zh-CN" w:bidi="ar"/>
              </w:rPr>
              <w:t>2</w:t>
            </w:r>
            <w:r>
              <w:rPr>
                <w:rFonts w:hint="eastAsia"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焊接深度</w:t>
            </w:r>
            <w:r>
              <w:rPr>
                <w:rFonts w:hint="default" w:ascii="Times New Roman" w:hAnsi="Times New Roman" w:eastAsia="宋体" w:cs="Times New Roman"/>
                <w:color w:val="000000"/>
                <w:kern w:val="0"/>
                <w:sz w:val="21"/>
                <w:szCs w:val="21"/>
                <w:lang w:val="en-US" w:eastAsia="zh-CN" w:bidi="ar"/>
              </w:rPr>
              <w:t>0.1cm</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PP</w:t>
            </w:r>
            <w:r>
              <w:rPr>
                <w:rFonts w:hint="eastAsia" w:ascii="宋体" w:hAnsi="宋体" w:eastAsia="宋体" w:cs="宋体"/>
                <w:color w:val="000000"/>
                <w:kern w:val="0"/>
                <w:sz w:val="21"/>
                <w:szCs w:val="21"/>
                <w:lang w:val="en-US" w:eastAsia="zh-CN" w:bidi="ar"/>
              </w:rPr>
              <w:t>密度为</w:t>
            </w:r>
            <w:r>
              <w:rPr>
                <w:rFonts w:hint="default" w:ascii="Times New Roman" w:hAnsi="Times New Roman" w:eastAsia="宋体" w:cs="Times New Roman"/>
                <w:color w:val="000000"/>
                <w:kern w:val="0"/>
                <w:sz w:val="21"/>
                <w:szCs w:val="21"/>
                <w:lang w:val="en-US" w:eastAsia="zh-CN" w:bidi="ar"/>
              </w:rPr>
              <w:t>0.9g/cm</w:t>
            </w:r>
            <w:r>
              <w:rPr>
                <w:rFonts w:hint="default" w:ascii="Times New Roman" w:hAnsi="Times New Roman" w:eastAsia="宋体" w:cs="Times New Roman"/>
                <w:color w:val="000000"/>
                <w:kern w:val="0"/>
                <w:sz w:val="21"/>
                <w:szCs w:val="21"/>
                <w:vertAlign w:val="superscript"/>
                <w:lang w:val="en-US" w:eastAsia="zh-CN" w:bidi="ar"/>
              </w:rPr>
              <w:t>3</w:t>
            </w:r>
            <w:r>
              <w:rPr>
                <w:rFonts w:hint="eastAsia" w:ascii="Times New Roman" w:hAnsi="Times New Roman" w:eastAsia="宋体" w:cs="Times New Roman"/>
                <w:color w:val="000000"/>
                <w:kern w:val="0"/>
                <w:sz w:val="21"/>
                <w:szCs w:val="21"/>
                <w:lang w:val="en-US" w:eastAsia="zh-CN" w:bidi="ar"/>
              </w:rPr>
              <w:t>，焊接熔融量0.09g/件，则焊接产品年熔融量为0.054t/a。</w:t>
            </w:r>
          </w:p>
          <w:p w14:paraId="3B1D61AC">
            <w:pPr>
              <w:keepNext w:val="0"/>
              <w:keepLines w:val="0"/>
              <w:widowControl/>
              <w:suppressLineNumbers w:val="0"/>
              <w:spacing w:line="360" w:lineRule="auto"/>
              <w:ind w:firstLine="420" w:firstLineChars="2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项目焊接过程中塑料产生</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源强参考《排放源统计调查产排污核算方法和系数手册》：</w:t>
            </w:r>
            <w:r>
              <w:rPr>
                <w:rFonts w:hint="default" w:ascii="Times New Roman" w:hAnsi="Times New Roman" w:eastAsia="宋体" w:cs="Times New Roman"/>
                <w:color w:val="000000"/>
                <w:kern w:val="0"/>
                <w:sz w:val="21"/>
                <w:szCs w:val="21"/>
                <w:lang w:val="en-US" w:eastAsia="zh-CN" w:bidi="ar"/>
              </w:rPr>
              <w:t>292</w:t>
            </w:r>
            <w:r>
              <w:rPr>
                <w:rFonts w:hint="eastAsia" w:ascii="宋体" w:hAnsi="宋体" w:eastAsia="宋体" w:cs="宋体"/>
                <w:color w:val="000000"/>
                <w:kern w:val="0"/>
                <w:sz w:val="21"/>
                <w:szCs w:val="21"/>
                <w:lang w:val="en-US" w:eastAsia="zh-CN" w:bidi="ar"/>
              </w:rPr>
              <w:t>塑料制品行业系数手册中</w:t>
            </w:r>
            <w:r>
              <w:rPr>
                <w:rFonts w:hint="default" w:ascii="Times New Roman" w:hAnsi="Times New Roman" w:eastAsia="宋体" w:cs="Times New Roman"/>
                <w:color w:val="000000"/>
                <w:kern w:val="0"/>
                <w:sz w:val="21"/>
                <w:szCs w:val="21"/>
                <w:lang w:val="en-US" w:eastAsia="zh-CN" w:bidi="ar"/>
              </w:rPr>
              <w:t>2929</w:t>
            </w:r>
            <w:r>
              <w:rPr>
                <w:rFonts w:hint="eastAsia" w:ascii="宋体" w:hAnsi="宋体" w:eastAsia="宋体" w:cs="宋体"/>
                <w:color w:val="000000"/>
                <w:kern w:val="0"/>
                <w:sz w:val="21"/>
                <w:szCs w:val="21"/>
                <w:lang w:val="en-US" w:eastAsia="zh-CN" w:bidi="ar"/>
              </w:rPr>
              <w:t>塑料零件及其他塑料制品制造行业系数表，</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排放系数为</w:t>
            </w:r>
            <w:r>
              <w:rPr>
                <w:rFonts w:hint="default" w:ascii="Times New Roman" w:hAnsi="Times New Roman" w:eastAsia="宋体" w:cs="Times New Roman"/>
                <w:color w:val="000000"/>
                <w:kern w:val="0"/>
                <w:sz w:val="21"/>
                <w:szCs w:val="21"/>
                <w:lang w:val="en-US" w:eastAsia="zh-CN" w:bidi="ar"/>
              </w:rPr>
              <w:t>2.7kg/t-</w:t>
            </w:r>
            <w:r>
              <w:rPr>
                <w:rFonts w:hint="eastAsia" w:ascii="宋体" w:hAnsi="宋体" w:eastAsia="宋体" w:cs="宋体"/>
                <w:color w:val="000000"/>
                <w:kern w:val="0"/>
                <w:sz w:val="21"/>
                <w:szCs w:val="21"/>
                <w:lang w:val="en-US" w:eastAsia="zh-CN" w:bidi="ar"/>
              </w:rPr>
              <w:t>产品，本项目熔融塑料原料约</w:t>
            </w:r>
            <w:r>
              <w:rPr>
                <w:rFonts w:hint="default" w:ascii="Times New Roman" w:hAnsi="Times New Roman" w:eastAsia="宋体" w:cs="Times New Roman"/>
                <w:color w:val="000000"/>
                <w:kern w:val="0"/>
                <w:sz w:val="21"/>
                <w:szCs w:val="21"/>
                <w:lang w:val="en-US" w:eastAsia="zh-CN" w:bidi="ar"/>
              </w:rPr>
              <w:t>0.0</w:t>
            </w:r>
            <w:r>
              <w:rPr>
                <w:rFonts w:hint="eastAsia" w:ascii="Times New Roman" w:hAnsi="Times New Roman" w:eastAsia="宋体" w:cs="Times New Roman"/>
                <w:color w:val="000000"/>
                <w:kern w:val="0"/>
                <w:sz w:val="21"/>
                <w:szCs w:val="21"/>
                <w:lang w:val="en-US" w:eastAsia="zh-CN" w:bidi="ar"/>
              </w:rPr>
              <w:t>54</w:t>
            </w:r>
            <w:r>
              <w:rPr>
                <w:rFonts w:hint="default" w:ascii="Times New Roman" w:hAnsi="Times New Roman" w:eastAsia="宋体" w:cs="Times New Roman"/>
                <w:color w:val="000000"/>
                <w:kern w:val="0"/>
                <w:sz w:val="21"/>
                <w:szCs w:val="21"/>
                <w:lang w:val="en-US" w:eastAsia="zh-CN" w:bidi="ar"/>
              </w:rPr>
              <w:t>t/a</w:t>
            </w:r>
            <w:r>
              <w:rPr>
                <w:rFonts w:hint="eastAsia" w:ascii="宋体" w:hAnsi="宋体" w:eastAsia="宋体" w:cs="宋体"/>
                <w:color w:val="000000"/>
                <w:kern w:val="0"/>
                <w:sz w:val="21"/>
                <w:szCs w:val="21"/>
                <w:lang w:val="en-US" w:eastAsia="zh-CN" w:bidi="ar"/>
              </w:rPr>
              <w:t>，故</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产生量为</w:t>
            </w:r>
            <w:r>
              <w:rPr>
                <w:rFonts w:hint="default" w:ascii="Times New Roman" w:hAnsi="Times New Roman" w:eastAsia="宋体" w:cs="Times New Roman"/>
                <w:color w:val="000000"/>
                <w:kern w:val="0"/>
                <w:sz w:val="21"/>
                <w:szCs w:val="21"/>
                <w:lang w:val="en-US" w:eastAsia="zh-CN" w:bidi="ar"/>
              </w:rPr>
              <w:t>0.1</w:t>
            </w:r>
            <w:r>
              <w:rPr>
                <w:rFonts w:hint="eastAsia" w:ascii="Times New Roman" w:hAnsi="Times New Roman" w:eastAsia="宋体" w:cs="Times New Roman"/>
                <w:color w:val="000000"/>
                <w:kern w:val="0"/>
                <w:sz w:val="21"/>
                <w:szCs w:val="21"/>
                <w:lang w:val="en-US" w:eastAsia="zh-CN" w:bidi="ar"/>
              </w:rPr>
              <w:t>46</w:t>
            </w:r>
            <w:r>
              <w:rPr>
                <w:rFonts w:hint="default" w:ascii="Times New Roman" w:hAnsi="Times New Roman" w:eastAsia="宋体" w:cs="Times New Roman"/>
                <w:color w:val="000000"/>
                <w:kern w:val="0"/>
                <w:sz w:val="21"/>
                <w:szCs w:val="21"/>
                <w:lang w:val="en-US" w:eastAsia="zh-CN" w:bidi="ar"/>
              </w:rPr>
              <w:t>kg/a</w:t>
            </w:r>
            <w:r>
              <w:rPr>
                <w:rFonts w:hint="eastAsia" w:ascii="宋体" w:hAnsi="宋体" w:eastAsia="宋体" w:cs="宋体"/>
                <w:color w:val="000000"/>
                <w:kern w:val="0"/>
                <w:sz w:val="21"/>
                <w:szCs w:val="21"/>
                <w:lang w:val="en-US" w:eastAsia="zh-CN" w:bidi="ar"/>
              </w:rPr>
              <w:t>。</w:t>
            </w:r>
          </w:p>
          <w:p w14:paraId="5EEC32C9">
            <w:pPr>
              <w:bidi w:val="0"/>
              <w:spacing w:line="360" w:lineRule="auto"/>
              <w:ind w:firstLine="422" w:firstLineChars="200"/>
              <w:rPr>
                <w:rFonts w:hint="eastAsia"/>
                <w:b/>
                <w:bCs/>
                <w:sz w:val="21"/>
                <w:szCs w:val="21"/>
                <w:lang w:val="en-US" w:eastAsia="zh-CN"/>
              </w:rPr>
            </w:pPr>
            <w:r>
              <w:rPr>
                <w:rFonts w:hint="eastAsia"/>
                <w:b/>
                <w:bCs/>
                <w:lang w:val="en-US" w:eastAsia="zh-CN"/>
              </w:rPr>
              <w:t>②</w:t>
            </w:r>
            <w:r>
              <w:rPr>
                <w:rFonts w:hint="eastAsia"/>
                <w:b/>
                <w:bCs/>
                <w:sz w:val="21"/>
                <w:szCs w:val="21"/>
                <w:lang w:val="en-US" w:eastAsia="zh-CN"/>
              </w:rPr>
              <w:t>注塑有机废气治理措施</w:t>
            </w:r>
          </w:p>
          <w:p w14:paraId="27E9588B">
            <w:pPr>
              <w:keepNext w:val="0"/>
              <w:keepLines w:val="0"/>
              <w:pageBreakBefore w:val="0"/>
              <w:widowControl/>
              <w:suppressLineNumbers w:val="0"/>
              <w:kinsoku/>
              <w:wordWrap w:val="0"/>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根据《挥发性有机物无组织排放控制标准》（</w:t>
            </w:r>
            <w:r>
              <w:rPr>
                <w:rFonts w:hint="default" w:ascii="Times New Roman" w:hAnsi="Times New Roman" w:eastAsia="宋体" w:cs="Times New Roman"/>
                <w:color w:val="000000"/>
                <w:kern w:val="0"/>
                <w:sz w:val="21"/>
                <w:szCs w:val="21"/>
                <w:lang w:val="en-US" w:eastAsia="zh-CN" w:bidi="ar"/>
              </w:rPr>
              <w:t>GB</w:t>
            </w:r>
            <w:r>
              <w:rPr>
                <w:rFonts w:hint="eastAsia"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37822—2019</w:t>
            </w:r>
            <w:r>
              <w:rPr>
                <w:rFonts w:hint="eastAsia" w:ascii="宋体" w:hAnsi="宋体" w:eastAsia="宋体" w:cs="宋体"/>
                <w:color w:val="000000"/>
                <w:kern w:val="0"/>
                <w:sz w:val="21"/>
                <w:szCs w:val="21"/>
                <w:lang w:val="en-US" w:eastAsia="zh-CN" w:bidi="ar"/>
              </w:rPr>
              <w:t>）中</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对于液态</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物料应采用密闭管道输送方式或采用高位槽、泵桶等给料方式密闭投加，无法密闭的，应在密闭空间内操作，进行局部气体收集，废气应排入</w:t>
            </w:r>
            <w:r>
              <w:rPr>
                <w:rFonts w:hint="default"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废气处理系统</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废气收集系统排气罩的设置应符合</w:t>
            </w:r>
            <w:r>
              <w:rPr>
                <w:rFonts w:hint="default" w:ascii="Times New Roman" w:hAnsi="Times New Roman" w:eastAsia="宋体" w:cs="Times New Roman"/>
                <w:color w:val="000000"/>
                <w:kern w:val="0"/>
                <w:sz w:val="21"/>
                <w:szCs w:val="21"/>
                <w:lang w:val="en-US" w:eastAsia="zh-CN" w:bidi="ar"/>
              </w:rPr>
              <w:t>GB/T16758</w:t>
            </w:r>
            <w:r>
              <w:rPr>
                <w:rFonts w:hint="eastAsia" w:ascii="宋体" w:hAnsi="宋体" w:eastAsia="宋体" w:cs="宋体"/>
                <w:color w:val="000000"/>
                <w:kern w:val="0"/>
                <w:sz w:val="21"/>
                <w:szCs w:val="21"/>
                <w:lang w:val="en-US" w:eastAsia="zh-CN" w:bidi="ar"/>
              </w:rPr>
              <w:t>的规定，采用外部排风罩的，应按照</w:t>
            </w:r>
            <w:r>
              <w:rPr>
                <w:rFonts w:hint="default" w:ascii="Times New Roman" w:hAnsi="Times New Roman" w:eastAsia="宋体" w:cs="Times New Roman"/>
                <w:color w:val="000000"/>
                <w:kern w:val="0"/>
                <w:sz w:val="21"/>
                <w:szCs w:val="21"/>
                <w:lang w:val="en-US" w:eastAsia="zh-CN" w:bidi="ar"/>
              </w:rPr>
              <w:t>GB/T16758</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AQ/T4274-2016</w:t>
            </w:r>
            <w:r>
              <w:rPr>
                <w:rFonts w:hint="eastAsia" w:ascii="宋体" w:hAnsi="宋体" w:eastAsia="宋体" w:cs="宋体"/>
                <w:color w:val="000000"/>
                <w:kern w:val="0"/>
                <w:sz w:val="21"/>
                <w:szCs w:val="21"/>
                <w:lang w:val="en-US" w:eastAsia="zh-CN" w:bidi="ar"/>
              </w:rPr>
              <w:t>规定的方法测量控制风速，风速不应低于</w:t>
            </w:r>
            <w:r>
              <w:rPr>
                <w:rFonts w:hint="default" w:ascii="Times New Roman" w:hAnsi="Times New Roman" w:eastAsia="宋体" w:cs="Times New Roman"/>
                <w:color w:val="000000"/>
                <w:kern w:val="0"/>
                <w:sz w:val="21"/>
                <w:szCs w:val="21"/>
                <w:lang w:val="en-US" w:eastAsia="zh-CN" w:bidi="ar"/>
              </w:rPr>
              <w:t>0.3m/s”</w:t>
            </w:r>
            <w:r>
              <w:rPr>
                <w:rFonts w:hint="eastAsia" w:ascii="宋体" w:hAnsi="宋体" w:eastAsia="宋体" w:cs="宋体"/>
                <w:color w:val="000000"/>
                <w:kern w:val="0"/>
                <w:sz w:val="21"/>
                <w:szCs w:val="21"/>
                <w:lang w:val="en-US" w:eastAsia="zh-CN" w:bidi="ar"/>
              </w:rPr>
              <w:t>。</w:t>
            </w:r>
          </w:p>
          <w:p w14:paraId="40EDBEDA">
            <w:pPr>
              <w:keepNext w:val="0"/>
              <w:keepLines w:val="0"/>
              <w:widowControl/>
              <w:suppressLineNumbers w:val="0"/>
              <w:spacing w:line="360" w:lineRule="auto"/>
              <w:ind w:firstLine="422" w:firstLineChars="200"/>
              <w:jc w:val="left"/>
              <w:rPr>
                <w:b/>
                <w:bCs/>
                <w:sz w:val="21"/>
                <w:szCs w:val="21"/>
              </w:rPr>
            </w:pPr>
            <w:r>
              <w:rPr>
                <w:rFonts w:hint="eastAsia" w:ascii="Times New Roman" w:hAnsi="Times New Roman" w:eastAsia="宋体" w:cs="Times New Roman"/>
                <w:b/>
                <w:bCs/>
                <w:color w:val="000000"/>
                <w:kern w:val="0"/>
                <w:sz w:val="21"/>
                <w:szCs w:val="21"/>
                <w:lang w:val="en-US" w:eastAsia="zh-CN" w:bidi="ar"/>
              </w:rPr>
              <w:t>A</w:t>
            </w:r>
            <w:r>
              <w:rPr>
                <w:rFonts w:hint="eastAsia" w:ascii="宋体" w:hAnsi="宋体" w:eastAsia="宋体" w:cs="宋体"/>
                <w:b/>
                <w:bCs/>
                <w:color w:val="000000"/>
                <w:kern w:val="0"/>
                <w:sz w:val="21"/>
                <w:szCs w:val="21"/>
                <w:lang w:val="en-US" w:eastAsia="zh-CN" w:bidi="ar"/>
              </w:rPr>
              <w:t>、注塑机有机废气收集措施</w:t>
            </w:r>
          </w:p>
          <w:p w14:paraId="289BFBC6">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由于项目注塑机加热、烘干过程均为封闭区域，其有机废气全部从塑料熔料喷嘴至模具产生，项目使用的注塑机喷射与合模处区域尺寸约为</w:t>
            </w:r>
            <w:r>
              <w:rPr>
                <w:rFonts w:hint="default" w:ascii="Times New Roman" w:hAnsi="Times New Roman" w:eastAsia="宋体" w:cs="Times New Roman"/>
                <w:color w:val="000000"/>
                <w:kern w:val="0"/>
                <w:sz w:val="21"/>
                <w:szCs w:val="21"/>
                <w:lang w:val="en-US" w:eastAsia="zh-CN" w:bidi="ar"/>
              </w:rPr>
              <w:t>20cm×30cm</w:t>
            </w:r>
            <w:r>
              <w:rPr>
                <w:rFonts w:hint="eastAsia" w:ascii="宋体" w:hAnsi="宋体" w:eastAsia="宋体" w:cs="宋体"/>
                <w:color w:val="000000"/>
                <w:kern w:val="0"/>
                <w:sz w:val="21"/>
                <w:szCs w:val="21"/>
                <w:lang w:val="en-US" w:eastAsia="zh-CN" w:bidi="ar"/>
              </w:rPr>
              <w:t>，因此项目集气罩尺寸设置为</w:t>
            </w:r>
            <w:r>
              <w:rPr>
                <w:rFonts w:hint="default" w:ascii="Times New Roman" w:hAnsi="Times New Roman" w:eastAsia="宋体" w:cs="Times New Roman"/>
                <w:color w:val="000000"/>
                <w:kern w:val="0"/>
                <w:sz w:val="21"/>
                <w:szCs w:val="21"/>
                <w:lang w:val="en-US" w:eastAsia="zh-CN" w:bidi="ar"/>
              </w:rPr>
              <w:t>25cm×30m</w:t>
            </w:r>
            <w:r>
              <w:rPr>
                <w:rFonts w:hint="eastAsia" w:ascii="宋体" w:hAnsi="宋体" w:eastAsia="宋体" w:cs="宋体"/>
                <w:color w:val="000000"/>
                <w:kern w:val="0"/>
                <w:sz w:val="21"/>
                <w:szCs w:val="21"/>
                <w:lang w:val="en-US" w:eastAsia="zh-CN" w:bidi="ar"/>
              </w:rPr>
              <w:t>。为保证废气收集效率达到</w:t>
            </w:r>
            <w:r>
              <w:rPr>
                <w:rFonts w:hint="default" w:ascii="Times New Roman" w:hAnsi="Times New Roman" w:eastAsia="宋体" w:cs="Times New Roman"/>
                <w:color w:val="000000"/>
                <w:kern w:val="0"/>
                <w:sz w:val="21"/>
                <w:szCs w:val="21"/>
                <w:lang w:val="en-US" w:eastAsia="zh-CN" w:bidi="ar"/>
              </w:rPr>
              <w:t>90%</w:t>
            </w:r>
            <w:r>
              <w:rPr>
                <w:rFonts w:hint="eastAsia" w:ascii="宋体" w:hAnsi="宋体" w:eastAsia="宋体" w:cs="宋体"/>
                <w:color w:val="000000"/>
                <w:kern w:val="0"/>
                <w:sz w:val="21"/>
                <w:szCs w:val="21"/>
                <w:lang w:val="en-US" w:eastAsia="zh-CN" w:bidi="ar"/>
              </w:rPr>
              <w:t>，本次评价根据《简明通风设计手册》，集气罩风量计算公式为：</w:t>
            </w:r>
          </w:p>
          <w:p w14:paraId="32E77F5B">
            <w:pPr>
              <w:keepNext w:val="0"/>
              <w:keepLines w:val="0"/>
              <w:widowControl/>
              <w:suppressLineNumbers w:val="0"/>
              <w:jc w:val="center"/>
              <w:rPr>
                <w:rFonts w:hint="eastAsia" w:eastAsia="宋体"/>
                <w:lang w:eastAsia="zh-CN"/>
              </w:rPr>
            </w:pPr>
            <w:r>
              <w:rPr>
                <w:rFonts w:hint="eastAsia" w:eastAsia="宋体"/>
                <w:lang w:eastAsia="zh-CN"/>
              </w:rPr>
              <w:drawing>
                <wp:inline distT="0" distB="0" distL="114300" distR="114300">
                  <wp:extent cx="1676400" cy="312420"/>
                  <wp:effectExtent l="0" t="0" r="0" b="7620"/>
                  <wp:docPr id="10" name="图片 10" descr="172672733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6727339818"/>
                          <pic:cNvPicPr>
                            <a:picLocks noChangeAspect="1"/>
                          </pic:cNvPicPr>
                        </pic:nvPicPr>
                        <pic:blipFill>
                          <a:blip r:embed="rId19"/>
                          <a:stretch>
                            <a:fillRect/>
                          </a:stretch>
                        </pic:blipFill>
                        <pic:spPr>
                          <a:xfrm>
                            <a:off x="0" y="0"/>
                            <a:ext cx="1676400" cy="312420"/>
                          </a:xfrm>
                          <a:prstGeom prst="rect">
                            <a:avLst/>
                          </a:prstGeom>
                        </pic:spPr>
                      </pic:pic>
                    </a:graphicData>
                  </a:graphic>
                </wp:inline>
              </w:drawing>
            </w:r>
          </w:p>
          <w:p w14:paraId="2A419773">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式中： </w:t>
            </w:r>
          </w:p>
          <w:p w14:paraId="0B0E6444">
            <w:pPr>
              <w:keepNext w:val="0"/>
              <w:keepLines w:val="0"/>
              <w:widowControl/>
              <w:suppressLineNumbers w:val="0"/>
              <w:spacing w:line="360" w:lineRule="auto"/>
              <w:ind w:firstLine="840" w:firstLineChars="400"/>
              <w:jc w:val="left"/>
              <w:rPr>
                <w:sz w:val="21"/>
                <w:szCs w:val="21"/>
              </w:rPr>
            </w:pPr>
            <w:r>
              <w:rPr>
                <w:rFonts w:hint="default" w:ascii="Times New Roman" w:hAnsi="Times New Roman" w:eastAsia="宋体" w:cs="Times New Roman"/>
                <w:color w:val="000000"/>
                <w:kern w:val="0"/>
                <w:sz w:val="21"/>
                <w:szCs w:val="21"/>
                <w:lang w:val="en-US" w:eastAsia="zh-CN" w:bidi="ar"/>
              </w:rPr>
              <w:t>Q—</w:t>
            </w:r>
            <w:r>
              <w:rPr>
                <w:rFonts w:hint="eastAsia" w:ascii="宋体" w:hAnsi="宋体" w:eastAsia="宋体" w:cs="宋体"/>
                <w:color w:val="000000"/>
                <w:kern w:val="0"/>
                <w:sz w:val="21"/>
                <w:szCs w:val="21"/>
                <w:lang w:val="en-US" w:eastAsia="zh-CN" w:bidi="ar"/>
              </w:rPr>
              <w:t>设计风量，</w:t>
            </w: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 xml:space="preserve">/h </w:t>
            </w:r>
          </w:p>
          <w:p w14:paraId="602D37A8">
            <w:pPr>
              <w:keepNext w:val="0"/>
              <w:keepLines w:val="0"/>
              <w:widowControl/>
              <w:suppressLineNumbers w:val="0"/>
              <w:spacing w:line="360" w:lineRule="auto"/>
              <w:ind w:firstLine="840" w:firstLineChars="400"/>
              <w:jc w:val="left"/>
              <w:rPr>
                <w:sz w:val="21"/>
                <w:szCs w:val="21"/>
              </w:rPr>
            </w:pPr>
            <w:r>
              <w:rPr>
                <w:rFonts w:hint="default" w:ascii="Times New Roman" w:hAnsi="Times New Roman" w:eastAsia="宋体" w:cs="Times New Roman"/>
                <w:color w:val="000000"/>
                <w:kern w:val="0"/>
                <w:sz w:val="21"/>
                <w:szCs w:val="21"/>
                <w:lang w:val="en-US" w:eastAsia="zh-CN" w:bidi="ar"/>
              </w:rPr>
              <w:t>K—</w:t>
            </w:r>
            <w:r>
              <w:rPr>
                <w:rFonts w:hint="eastAsia" w:ascii="宋体" w:hAnsi="宋体" w:eastAsia="宋体" w:cs="宋体"/>
                <w:color w:val="000000"/>
                <w:kern w:val="0"/>
                <w:sz w:val="21"/>
                <w:szCs w:val="21"/>
                <w:lang w:val="en-US" w:eastAsia="zh-CN" w:bidi="ar"/>
              </w:rPr>
              <w:t>考虑沿高度分布不均匀的安全系数，取</w:t>
            </w:r>
            <w:r>
              <w:rPr>
                <w:rFonts w:hint="default" w:ascii="Times New Roman" w:hAnsi="Times New Roman" w:eastAsia="宋体" w:cs="Times New Roman"/>
                <w:color w:val="000000"/>
                <w:kern w:val="0"/>
                <w:sz w:val="21"/>
                <w:szCs w:val="21"/>
                <w:lang w:val="en-US" w:eastAsia="zh-CN" w:bidi="ar"/>
              </w:rPr>
              <w:t>1.4</w:t>
            </w:r>
            <w:r>
              <w:rPr>
                <w:rFonts w:hint="eastAsia" w:ascii="宋体" w:hAnsi="宋体" w:eastAsia="宋体" w:cs="宋体"/>
                <w:color w:val="000000"/>
                <w:kern w:val="0"/>
                <w:sz w:val="21"/>
                <w:szCs w:val="21"/>
                <w:lang w:val="en-US" w:eastAsia="zh-CN" w:bidi="ar"/>
              </w:rPr>
              <w:t>；</w:t>
            </w:r>
          </w:p>
          <w:p w14:paraId="1A8F06E7">
            <w:pPr>
              <w:keepNext w:val="0"/>
              <w:keepLines w:val="0"/>
              <w:widowControl/>
              <w:suppressLineNumbers w:val="0"/>
              <w:tabs>
                <w:tab w:val="left" w:pos="1098"/>
              </w:tabs>
              <w:spacing w:line="360" w:lineRule="auto"/>
              <w:ind w:firstLine="840" w:firstLineChars="400"/>
              <w:jc w:val="left"/>
              <w:rPr>
                <w:sz w:val="21"/>
                <w:szCs w:val="21"/>
              </w:rPr>
            </w:pPr>
            <w:r>
              <w:rPr>
                <w:rFonts w:hint="default" w:ascii="Times New Roman" w:hAnsi="Times New Roman" w:eastAsia="宋体" w:cs="Times New Roman"/>
                <w:color w:val="000000"/>
                <w:kern w:val="0"/>
                <w:sz w:val="21"/>
                <w:szCs w:val="21"/>
                <w:lang w:val="en-US" w:eastAsia="zh-CN" w:bidi="ar"/>
              </w:rPr>
              <w:t>P—</w:t>
            </w:r>
            <w:r>
              <w:rPr>
                <w:rFonts w:hint="eastAsia" w:ascii="宋体" w:hAnsi="宋体" w:eastAsia="宋体" w:cs="宋体"/>
                <w:color w:val="000000"/>
                <w:kern w:val="0"/>
                <w:sz w:val="21"/>
                <w:szCs w:val="21"/>
                <w:lang w:val="en-US" w:eastAsia="zh-CN" w:bidi="ar"/>
              </w:rPr>
              <w:t>排风罩敞开面周长，</w:t>
            </w:r>
            <w:r>
              <w:rPr>
                <w:rFonts w:hint="default" w:ascii="Times New Roman" w:hAnsi="Times New Roman" w:eastAsia="宋体" w:cs="Times New Roman"/>
                <w:color w:val="000000"/>
                <w:kern w:val="0"/>
                <w:sz w:val="21"/>
                <w:szCs w:val="21"/>
                <w:lang w:val="en-US" w:eastAsia="zh-CN" w:bidi="ar"/>
              </w:rPr>
              <w:t>m</w:t>
            </w:r>
          </w:p>
          <w:p w14:paraId="142DA068">
            <w:pPr>
              <w:keepNext w:val="0"/>
              <w:keepLines w:val="0"/>
              <w:widowControl/>
              <w:suppressLineNumbers w:val="0"/>
              <w:spacing w:line="360" w:lineRule="auto"/>
              <w:ind w:firstLine="840" w:firstLineChars="400"/>
              <w:jc w:val="left"/>
              <w:rPr>
                <w:sz w:val="21"/>
                <w:szCs w:val="21"/>
              </w:rPr>
            </w:pPr>
            <w:r>
              <w:rPr>
                <w:rFonts w:hint="default" w:ascii="Times New Roman" w:hAnsi="Times New Roman" w:eastAsia="宋体" w:cs="Times New Roman"/>
                <w:color w:val="000000"/>
                <w:kern w:val="0"/>
                <w:sz w:val="21"/>
                <w:szCs w:val="21"/>
                <w:lang w:val="en-US" w:eastAsia="zh-CN" w:bidi="ar"/>
              </w:rPr>
              <w:t>H—</w:t>
            </w:r>
            <w:r>
              <w:rPr>
                <w:rFonts w:hint="eastAsia" w:ascii="宋体" w:hAnsi="宋体" w:eastAsia="宋体" w:cs="宋体"/>
                <w:color w:val="000000"/>
                <w:kern w:val="0"/>
                <w:sz w:val="21"/>
                <w:szCs w:val="21"/>
                <w:lang w:val="en-US" w:eastAsia="zh-CN" w:bidi="ar"/>
              </w:rPr>
              <w:t>罩口至废气源距离，</w:t>
            </w:r>
            <w:r>
              <w:rPr>
                <w:rFonts w:hint="default" w:ascii="Times New Roman" w:hAnsi="Times New Roman" w:eastAsia="宋体" w:cs="Times New Roman"/>
                <w:color w:val="000000"/>
                <w:kern w:val="0"/>
                <w:sz w:val="21"/>
                <w:szCs w:val="21"/>
                <w:lang w:val="en-US" w:eastAsia="zh-CN" w:bidi="ar"/>
              </w:rPr>
              <w:t>m</w:t>
            </w:r>
            <w:r>
              <w:rPr>
                <w:rFonts w:hint="eastAsia" w:ascii="宋体" w:hAnsi="宋体" w:eastAsia="宋体" w:cs="宋体"/>
                <w:color w:val="000000"/>
                <w:kern w:val="0"/>
                <w:sz w:val="21"/>
                <w:szCs w:val="21"/>
                <w:lang w:val="en-US" w:eastAsia="zh-CN" w:bidi="ar"/>
              </w:rPr>
              <w:t>，取</w:t>
            </w:r>
            <w:r>
              <w:rPr>
                <w:rFonts w:hint="default" w:ascii="Times New Roman" w:hAnsi="Times New Roman" w:eastAsia="宋体" w:cs="Times New Roman"/>
                <w:color w:val="000000"/>
                <w:kern w:val="0"/>
                <w:sz w:val="21"/>
                <w:szCs w:val="21"/>
                <w:lang w:val="en-US" w:eastAsia="zh-CN" w:bidi="ar"/>
              </w:rPr>
              <w:t>0.2m</w:t>
            </w:r>
            <w:r>
              <w:rPr>
                <w:rFonts w:hint="eastAsia" w:ascii="宋体" w:hAnsi="宋体" w:eastAsia="宋体" w:cs="宋体"/>
                <w:color w:val="000000"/>
                <w:kern w:val="0"/>
                <w:sz w:val="21"/>
                <w:szCs w:val="21"/>
                <w:lang w:val="en-US" w:eastAsia="zh-CN" w:bidi="ar"/>
              </w:rPr>
              <w:t xml:space="preserve">； </w:t>
            </w:r>
          </w:p>
          <w:p w14:paraId="242E3A9C">
            <w:pPr>
              <w:keepNext w:val="0"/>
              <w:keepLines w:val="0"/>
              <w:widowControl/>
              <w:suppressLineNumbers w:val="0"/>
              <w:spacing w:line="360" w:lineRule="auto"/>
              <w:ind w:firstLine="840" w:firstLineChars="400"/>
              <w:jc w:val="left"/>
              <w:rPr>
                <w:sz w:val="21"/>
                <w:szCs w:val="21"/>
              </w:rPr>
            </w:pPr>
            <w:r>
              <w:rPr>
                <w:rFonts w:hint="default" w:ascii="Times New Roman" w:hAnsi="Times New Roman" w:eastAsia="宋体" w:cs="Times New Roman"/>
                <w:color w:val="000000"/>
                <w:kern w:val="0"/>
                <w:sz w:val="21"/>
                <w:szCs w:val="21"/>
                <w:lang w:val="en-US" w:eastAsia="zh-CN" w:bidi="ar"/>
              </w:rPr>
              <w:t>V</w:t>
            </w:r>
            <w:r>
              <w:rPr>
                <w:rFonts w:hint="default" w:ascii="Times New Roman" w:hAnsi="Times New Roman" w:eastAsia="宋体" w:cs="Times New Roman"/>
                <w:color w:val="000000"/>
                <w:kern w:val="0"/>
                <w:sz w:val="21"/>
                <w:szCs w:val="21"/>
                <w:vertAlign w:val="subscript"/>
                <w:lang w:val="en-US" w:eastAsia="zh-CN" w:bidi="ar"/>
              </w:rPr>
              <w:t>0</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边缘控制点控制风速，</w:t>
            </w:r>
            <w:r>
              <w:rPr>
                <w:rFonts w:hint="default" w:ascii="Times New Roman" w:hAnsi="Times New Roman" w:eastAsia="宋体" w:cs="Times New Roman"/>
                <w:color w:val="000000"/>
                <w:kern w:val="0"/>
                <w:sz w:val="21"/>
                <w:szCs w:val="21"/>
                <w:lang w:val="en-US" w:eastAsia="zh-CN" w:bidi="ar"/>
              </w:rPr>
              <w:t>m/s</w:t>
            </w:r>
            <w:r>
              <w:rPr>
                <w:rFonts w:hint="eastAsia" w:ascii="宋体" w:hAnsi="宋体" w:eastAsia="宋体" w:cs="宋体"/>
                <w:color w:val="000000"/>
                <w:kern w:val="0"/>
                <w:sz w:val="21"/>
                <w:szCs w:val="21"/>
                <w:lang w:val="en-US" w:eastAsia="zh-CN" w:bidi="ar"/>
              </w:rPr>
              <w:t>，取</w:t>
            </w:r>
            <w:r>
              <w:rPr>
                <w:rFonts w:hint="default" w:ascii="Times New Roman" w:hAnsi="Times New Roman" w:eastAsia="宋体" w:cs="Times New Roman"/>
                <w:color w:val="000000"/>
                <w:kern w:val="0"/>
                <w:sz w:val="21"/>
                <w:szCs w:val="21"/>
                <w:lang w:val="en-US" w:eastAsia="zh-CN" w:bidi="ar"/>
              </w:rPr>
              <w:t>0.5m/s</w:t>
            </w:r>
            <w:r>
              <w:rPr>
                <w:rFonts w:hint="eastAsia" w:ascii="宋体" w:hAnsi="宋体" w:eastAsia="宋体" w:cs="宋体"/>
                <w:color w:val="000000"/>
                <w:kern w:val="0"/>
                <w:sz w:val="21"/>
                <w:szCs w:val="21"/>
                <w:lang w:val="en-US" w:eastAsia="zh-CN" w:bidi="ar"/>
              </w:rPr>
              <w:t>。</w:t>
            </w:r>
          </w:p>
          <w:p w14:paraId="1E47121B">
            <w:pPr>
              <w:keepNext w:val="0"/>
              <w:keepLines w:val="0"/>
              <w:pageBreakBefore w:val="0"/>
              <w:widowControl/>
              <w:suppressLineNumbers w:val="0"/>
              <w:kinsoku/>
              <w:wordWrap w:val="0"/>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根据《环境工程设计技术手册》（</w:t>
            </w:r>
            <w:r>
              <w:rPr>
                <w:rFonts w:hint="default" w:ascii="Times New Roman" w:hAnsi="Times New Roman" w:eastAsia="宋体" w:cs="Times New Roman"/>
                <w:color w:val="000000"/>
                <w:kern w:val="0"/>
                <w:sz w:val="21"/>
                <w:szCs w:val="21"/>
                <w:lang w:val="en-US" w:eastAsia="zh-CN" w:bidi="ar"/>
              </w:rPr>
              <w:t>2002</w:t>
            </w:r>
            <w:r>
              <w:rPr>
                <w:rFonts w:hint="eastAsia" w:ascii="宋体" w:hAnsi="宋体" w:eastAsia="宋体" w:cs="宋体"/>
                <w:color w:val="000000"/>
                <w:kern w:val="0"/>
                <w:sz w:val="21"/>
                <w:szCs w:val="21"/>
                <w:lang w:val="en-US" w:eastAsia="zh-CN" w:bidi="ar"/>
              </w:rPr>
              <w:t>年版），在废气扩散速度较低、稳定的状态下，集气罩罩面风速宜</w:t>
            </w:r>
            <w:r>
              <w:rPr>
                <w:rFonts w:hint="default" w:ascii="Times New Roman" w:hAnsi="Times New Roman" w:eastAsia="宋体" w:cs="Times New Roman"/>
                <w:color w:val="000000"/>
                <w:kern w:val="0"/>
                <w:sz w:val="21"/>
                <w:szCs w:val="21"/>
                <w:lang w:val="en-US" w:eastAsia="zh-CN" w:bidi="ar"/>
              </w:rPr>
              <w:t>≥0.5m/s</w:t>
            </w:r>
            <w:r>
              <w:rPr>
                <w:rFonts w:hint="eastAsia" w:ascii="宋体" w:hAnsi="宋体" w:eastAsia="宋体" w:cs="宋体"/>
                <w:color w:val="000000"/>
                <w:kern w:val="0"/>
                <w:sz w:val="21"/>
                <w:szCs w:val="21"/>
                <w:lang w:val="en-US" w:eastAsia="zh-CN" w:bidi="ar"/>
              </w:rPr>
              <w:t>，本次取值</w:t>
            </w:r>
            <w:r>
              <w:rPr>
                <w:rFonts w:hint="default" w:ascii="Times New Roman" w:hAnsi="Times New Roman" w:eastAsia="宋体" w:cs="Times New Roman"/>
                <w:color w:val="000000"/>
                <w:kern w:val="0"/>
                <w:sz w:val="21"/>
                <w:szCs w:val="21"/>
                <w:lang w:val="en-US" w:eastAsia="zh-CN" w:bidi="ar"/>
              </w:rPr>
              <w:t>0.5m/s</w:t>
            </w:r>
            <w:r>
              <w:rPr>
                <w:rFonts w:hint="eastAsia" w:ascii="宋体" w:hAnsi="宋体" w:eastAsia="宋体" w:cs="宋体"/>
                <w:color w:val="000000"/>
                <w:kern w:val="0"/>
                <w:sz w:val="21"/>
                <w:szCs w:val="21"/>
                <w:lang w:val="en-US" w:eastAsia="zh-CN" w:bidi="ar"/>
              </w:rPr>
              <w:t>。经计算，每台注塑机集气罩所需风量为</w:t>
            </w:r>
            <w:r>
              <w:rPr>
                <w:rFonts w:hint="default" w:ascii="Times New Roman" w:hAnsi="Times New Roman" w:eastAsia="宋体" w:cs="Times New Roman"/>
                <w:color w:val="000000"/>
                <w:kern w:val="0"/>
                <w:sz w:val="21"/>
                <w:szCs w:val="21"/>
                <w:lang w:val="en-US" w:eastAsia="zh-CN" w:bidi="ar"/>
              </w:rPr>
              <w:t>554.4m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/h</w:t>
            </w:r>
            <w:r>
              <w:rPr>
                <w:rFonts w:hint="eastAsia" w:ascii="宋体" w:hAnsi="宋体" w:eastAsia="宋体" w:cs="宋体"/>
                <w:color w:val="000000"/>
                <w:kern w:val="0"/>
                <w:sz w:val="21"/>
                <w:szCs w:val="21"/>
                <w:lang w:val="en-US" w:eastAsia="zh-CN" w:bidi="ar"/>
              </w:rPr>
              <w:t>，则总风量为</w:t>
            </w:r>
            <w:r>
              <w:rPr>
                <w:rFonts w:hint="eastAsia" w:cs="Times New Roman"/>
                <w:color w:val="auto"/>
                <w:kern w:val="0"/>
                <w:sz w:val="21"/>
                <w:szCs w:val="21"/>
                <w:lang w:val="en-US" w:eastAsia="zh-CN" w:bidi="ar"/>
              </w:rPr>
              <w:t>5544</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w:t>
            </w:r>
            <w:r>
              <w:rPr>
                <w:rFonts w:hint="eastAsia" w:cs="Times New Roman"/>
                <w:color w:val="auto"/>
                <w:kern w:val="0"/>
                <w:sz w:val="21"/>
                <w:szCs w:val="21"/>
                <w:lang w:val="en-US" w:eastAsia="zh-CN" w:bidi="ar"/>
              </w:rPr>
              <w:t>，</w:t>
            </w:r>
            <w:r>
              <w:rPr>
                <w:rFonts w:hint="eastAsia"/>
                <w:sz w:val="21"/>
                <w:szCs w:val="21"/>
              </w:rPr>
              <w:t>考虑风量损失，</w:t>
            </w:r>
            <w:r>
              <w:rPr>
                <w:rFonts w:hint="eastAsia" w:ascii="宋体" w:hAnsi="宋体" w:eastAsia="宋体" w:cs="宋体"/>
                <w:color w:val="000000"/>
                <w:kern w:val="0"/>
                <w:sz w:val="21"/>
                <w:szCs w:val="21"/>
                <w:lang w:val="en-US" w:eastAsia="zh-CN" w:bidi="ar"/>
              </w:rPr>
              <w:t>总风量为</w:t>
            </w:r>
            <w:r>
              <w:rPr>
                <w:rFonts w:hint="eastAsia" w:cs="Times New Roman"/>
                <w:color w:val="auto"/>
                <w:kern w:val="0"/>
                <w:sz w:val="21"/>
                <w:szCs w:val="21"/>
                <w:lang w:val="en-US" w:eastAsia="zh-CN" w:bidi="ar"/>
              </w:rPr>
              <w:t>5600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w:t>
            </w:r>
            <w:r>
              <w:rPr>
                <w:rFonts w:hint="eastAsia" w:ascii="宋体" w:hAnsi="宋体" w:eastAsia="宋体" w:cs="宋体"/>
                <w:color w:val="000000"/>
                <w:kern w:val="0"/>
                <w:sz w:val="21"/>
                <w:szCs w:val="21"/>
                <w:lang w:val="en-US" w:eastAsia="zh-CN" w:bidi="ar"/>
              </w:rPr>
              <w:t>。</w:t>
            </w:r>
          </w:p>
          <w:p w14:paraId="62E7E4DA">
            <w:pPr>
              <w:keepNext w:val="0"/>
              <w:keepLines w:val="0"/>
              <w:widowControl/>
              <w:suppressLineNumbers w:val="0"/>
              <w:spacing w:line="360" w:lineRule="auto"/>
              <w:ind w:firstLine="422" w:firstLineChars="200"/>
              <w:jc w:val="left"/>
              <w:rPr>
                <w:b/>
                <w:bCs/>
                <w:sz w:val="21"/>
                <w:szCs w:val="21"/>
              </w:rPr>
            </w:pPr>
            <w:r>
              <w:rPr>
                <w:rFonts w:hint="eastAsia" w:ascii="Times New Roman" w:hAnsi="Times New Roman" w:eastAsia="宋体" w:cs="Times New Roman"/>
                <w:b/>
                <w:bCs/>
                <w:color w:val="000000"/>
                <w:kern w:val="0"/>
                <w:sz w:val="21"/>
                <w:szCs w:val="21"/>
                <w:lang w:val="en-US" w:eastAsia="zh-CN" w:bidi="ar"/>
              </w:rPr>
              <w:t>B</w:t>
            </w:r>
            <w:r>
              <w:rPr>
                <w:rFonts w:hint="eastAsia" w:ascii="宋体" w:hAnsi="宋体" w:eastAsia="宋体" w:cs="宋体"/>
                <w:b/>
                <w:bCs/>
                <w:color w:val="000000"/>
                <w:kern w:val="0"/>
                <w:sz w:val="21"/>
                <w:szCs w:val="21"/>
                <w:lang w:val="en-US" w:eastAsia="zh-CN" w:bidi="ar"/>
              </w:rPr>
              <w:t>、焊接废气收集措施</w:t>
            </w:r>
          </w:p>
          <w:p w14:paraId="58CD2DE6">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项目焊接设备均为封闭结构，仅留有</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面人工操作取件口，焊接设备上方均自带有集气口，产生的废气由设备上方集气口管道负压收集。焊接设备作业区域较小，均为设备配套抽风设施，单套设备配套风量</w:t>
            </w:r>
            <w:r>
              <w:rPr>
                <w:rFonts w:hint="default" w:ascii="Times New Roman" w:hAnsi="Times New Roman" w:eastAsia="宋体" w:cs="Times New Roman"/>
                <w:color w:val="000000"/>
                <w:kern w:val="0"/>
                <w:sz w:val="21"/>
                <w:szCs w:val="21"/>
                <w:lang w:val="en-US" w:eastAsia="zh-CN" w:bidi="ar"/>
              </w:rPr>
              <w:t>400m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/h</w:t>
            </w:r>
            <w:r>
              <w:rPr>
                <w:rFonts w:hint="eastAsia" w:cs="Times New Roman"/>
                <w:color w:val="000000"/>
                <w:kern w:val="0"/>
                <w:sz w:val="21"/>
                <w:szCs w:val="21"/>
                <w:lang w:val="en-US" w:eastAsia="zh-CN" w:bidi="ar"/>
              </w:rPr>
              <w:t>，共2套</w:t>
            </w:r>
            <w:r>
              <w:rPr>
                <w:rFonts w:hint="eastAsia" w:ascii="宋体" w:hAnsi="宋体" w:eastAsia="宋体" w:cs="宋体"/>
                <w:color w:val="000000"/>
                <w:kern w:val="0"/>
                <w:sz w:val="21"/>
                <w:szCs w:val="21"/>
                <w:lang w:val="en-US" w:eastAsia="zh-CN" w:bidi="ar"/>
              </w:rPr>
              <w:t>。</w:t>
            </w:r>
          </w:p>
          <w:p w14:paraId="25C19BC7">
            <w:pPr>
              <w:keepNext w:val="0"/>
              <w:keepLines w:val="0"/>
              <w:widowControl/>
              <w:suppressLineNumbers w:val="0"/>
              <w:spacing w:line="360" w:lineRule="auto"/>
              <w:ind w:firstLine="422" w:firstLineChars="200"/>
              <w:jc w:val="left"/>
              <w:rPr>
                <w:rFonts w:hint="default"/>
                <w:b/>
                <w:bCs/>
                <w:sz w:val="21"/>
                <w:szCs w:val="21"/>
                <w:lang w:val="en-US"/>
              </w:rPr>
            </w:pPr>
            <w:r>
              <w:rPr>
                <w:rFonts w:hint="eastAsia" w:ascii="宋体" w:hAnsi="宋体" w:eastAsia="宋体" w:cs="宋体"/>
                <w:b/>
                <w:bCs/>
                <w:color w:val="000000"/>
                <w:kern w:val="0"/>
                <w:sz w:val="21"/>
                <w:szCs w:val="21"/>
                <w:lang w:val="en-US" w:eastAsia="zh-CN" w:bidi="ar"/>
              </w:rPr>
              <w:t>C注塑有机废气治理措施</w:t>
            </w:r>
          </w:p>
          <w:p w14:paraId="65E0C34C">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按上述收集措施，注塑机设置集气罩收集废气；焊接设备由设备内部上方集气口管道收集废气，各个设备收集的有机废气</w:t>
            </w:r>
            <w:r>
              <w:rPr>
                <w:rFonts w:hint="eastAsia" w:ascii="宋体" w:hAnsi="宋体" w:cs="宋体"/>
                <w:color w:val="000000"/>
                <w:kern w:val="0"/>
                <w:sz w:val="21"/>
                <w:szCs w:val="21"/>
                <w:lang w:val="en-US" w:eastAsia="zh-CN" w:bidi="ar"/>
              </w:rPr>
              <w:t>（收集效率</w:t>
            </w:r>
            <w:r>
              <w:rPr>
                <w:rFonts w:hint="default" w:ascii="Times New Roman" w:hAnsi="Times New Roman" w:cs="Times New Roman"/>
                <w:color w:val="000000"/>
                <w:kern w:val="0"/>
                <w:sz w:val="21"/>
                <w:szCs w:val="21"/>
                <w:lang w:val="en-US" w:eastAsia="zh-CN" w:bidi="ar"/>
              </w:rPr>
              <w:t>90%</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分别经管道汇至</w:t>
            </w:r>
            <w:r>
              <w:rPr>
                <w:rFonts w:hint="eastAsia"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套</w:t>
            </w:r>
            <w:r>
              <w:rPr>
                <w:rFonts w:hint="eastAsia" w:ascii="宋体" w:hAnsi="宋体" w:cs="宋体"/>
                <w:color w:val="000000"/>
                <w:kern w:val="0"/>
                <w:sz w:val="21"/>
                <w:szCs w:val="21"/>
                <w:lang w:val="en-US" w:eastAsia="zh-CN" w:bidi="ar"/>
              </w:rPr>
              <w:t>二</w:t>
            </w:r>
            <w:r>
              <w:rPr>
                <w:rFonts w:hint="eastAsia" w:ascii="宋体" w:hAnsi="宋体" w:eastAsia="宋体" w:cs="宋体"/>
                <w:color w:val="000000"/>
                <w:kern w:val="0"/>
                <w:sz w:val="21"/>
                <w:szCs w:val="21"/>
                <w:lang w:val="en-US" w:eastAsia="zh-CN" w:bidi="ar"/>
              </w:rPr>
              <w:t>级活性炭吸附处理系统（风机风量</w:t>
            </w:r>
            <w:r>
              <w:rPr>
                <w:rFonts w:hint="eastAsia" w:ascii="宋体" w:hAnsi="宋体" w:cs="宋体"/>
                <w:color w:val="000000"/>
                <w:kern w:val="0"/>
                <w:sz w:val="21"/>
                <w:szCs w:val="21"/>
                <w:lang w:val="en-US" w:eastAsia="zh-CN" w:bidi="ar"/>
              </w:rPr>
              <w:t>分别</w:t>
            </w:r>
            <w:r>
              <w:rPr>
                <w:rFonts w:hint="eastAsia" w:cs="Times New Roman"/>
                <w:color w:val="auto"/>
                <w:kern w:val="0"/>
                <w:sz w:val="21"/>
                <w:szCs w:val="21"/>
                <w:lang w:val="en-US" w:eastAsia="zh-CN" w:bidi="ar"/>
              </w:rPr>
              <w:t>5544</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w:t>
            </w:r>
            <w:r>
              <w:rPr>
                <w:rFonts w:hint="eastAsia" w:cs="Times New Roman"/>
                <w:color w:val="auto"/>
                <w:kern w:val="0"/>
                <w:sz w:val="21"/>
                <w:szCs w:val="21"/>
                <w:lang w:val="en-US" w:eastAsia="zh-CN" w:bidi="ar"/>
              </w:rPr>
              <w:t>和8</w:t>
            </w:r>
            <w:r>
              <w:rPr>
                <w:rFonts w:hint="default" w:ascii="Times New Roman" w:hAnsi="Times New Roman" w:eastAsia="宋体" w:cs="Times New Roman"/>
                <w:color w:val="auto"/>
                <w:kern w:val="0"/>
                <w:sz w:val="21"/>
                <w:szCs w:val="21"/>
                <w:lang w:val="en-US" w:eastAsia="zh-CN" w:bidi="ar"/>
              </w:rPr>
              <w:t>00m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w:t>
            </w:r>
            <w:r>
              <w:rPr>
                <w:rFonts w:hint="eastAsia" w:ascii="宋体" w:hAnsi="宋体" w:eastAsia="宋体" w:cs="宋体"/>
                <w:color w:val="000000"/>
                <w:kern w:val="0"/>
                <w:sz w:val="21"/>
                <w:szCs w:val="21"/>
                <w:lang w:val="en-US" w:eastAsia="zh-CN" w:bidi="ar"/>
              </w:rPr>
              <w:t>）进行净化处理（有机废气处理效率</w:t>
            </w:r>
            <w:r>
              <w:rPr>
                <w:rFonts w:hint="default" w:ascii="Times New Roman" w:hAnsi="Times New Roman" w:eastAsia="宋体" w:cs="Times New Roman"/>
                <w:color w:val="000000"/>
                <w:kern w:val="0"/>
                <w:sz w:val="21"/>
                <w:szCs w:val="21"/>
                <w:lang w:val="en-US" w:eastAsia="zh-CN" w:bidi="ar"/>
              </w:rPr>
              <w:t>90%</w:t>
            </w:r>
            <w:r>
              <w:rPr>
                <w:rFonts w:hint="eastAsia" w:ascii="宋体" w:hAnsi="宋体" w:eastAsia="宋体" w:cs="宋体"/>
                <w:color w:val="000000"/>
                <w:kern w:val="0"/>
                <w:sz w:val="21"/>
                <w:szCs w:val="21"/>
                <w:lang w:val="en-US" w:eastAsia="zh-CN" w:bidi="ar"/>
              </w:rPr>
              <w:t>），最后通过</w:t>
            </w:r>
            <w:r>
              <w:rPr>
                <w:rFonts w:hint="eastAsia"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根</w:t>
            </w:r>
            <w:r>
              <w:rPr>
                <w:rFonts w:hint="default" w:ascii="Times New Roman" w:hAnsi="Times New Roman" w:eastAsia="宋体" w:cs="Times New Roman"/>
                <w:color w:val="000000"/>
                <w:kern w:val="0"/>
                <w:sz w:val="21"/>
                <w:szCs w:val="21"/>
                <w:lang w:val="en-US" w:eastAsia="zh-CN" w:bidi="ar"/>
              </w:rPr>
              <w:t>15m</w:t>
            </w:r>
            <w:r>
              <w:rPr>
                <w:rFonts w:hint="eastAsia" w:ascii="宋体" w:hAnsi="宋体" w:eastAsia="宋体" w:cs="宋体"/>
                <w:color w:val="000000"/>
                <w:kern w:val="0"/>
                <w:sz w:val="21"/>
                <w:szCs w:val="21"/>
                <w:lang w:val="en-US" w:eastAsia="zh-CN" w:bidi="ar"/>
              </w:rPr>
              <w:t>高排气筒（</w:t>
            </w:r>
            <w:r>
              <w:rPr>
                <w:rFonts w:hint="default" w:ascii="Times New Roman" w:hAnsi="Times New Roman" w:eastAsia="宋体" w:cs="Times New Roman"/>
                <w:color w:val="000000"/>
                <w:kern w:val="0"/>
                <w:sz w:val="21"/>
                <w:szCs w:val="21"/>
                <w:lang w:val="en-US" w:eastAsia="zh-CN" w:bidi="ar"/>
              </w:rPr>
              <w:t>DA001、</w:t>
            </w:r>
            <w:r>
              <w:rPr>
                <w:rFonts w:hint="default" w:ascii="Times New Roman" w:hAnsi="Times New Roman" w:eastAsia="宋体" w:cs="Times New Roman"/>
                <w:color w:val="auto"/>
                <w:kern w:val="0"/>
                <w:sz w:val="21"/>
                <w:szCs w:val="21"/>
                <w:lang w:val="en-US" w:eastAsia="zh-CN" w:bidi="ar"/>
              </w:rPr>
              <w:t>DA004</w:t>
            </w:r>
            <w:r>
              <w:rPr>
                <w:rFonts w:hint="eastAsia" w:ascii="宋体" w:hAnsi="宋体" w:eastAsia="宋体" w:cs="宋体"/>
                <w:color w:val="000000"/>
                <w:kern w:val="0"/>
                <w:sz w:val="21"/>
                <w:szCs w:val="21"/>
                <w:lang w:val="en-US" w:eastAsia="zh-CN" w:bidi="ar"/>
              </w:rPr>
              <w:t>）排放。</w:t>
            </w:r>
          </w:p>
          <w:p w14:paraId="5A209A2D">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根据《吸附法工业有机废气治理工程技术规范》（</w:t>
            </w:r>
            <w:r>
              <w:rPr>
                <w:rFonts w:hint="default" w:ascii="Times New Roman" w:hAnsi="Times New Roman" w:eastAsia="宋体" w:cs="Times New Roman"/>
                <w:color w:val="000000"/>
                <w:kern w:val="0"/>
                <w:sz w:val="21"/>
                <w:szCs w:val="21"/>
                <w:lang w:val="en-US" w:eastAsia="zh-CN" w:bidi="ar"/>
              </w:rPr>
              <w:t>HJ2023-2013</w:t>
            </w:r>
            <w:r>
              <w:rPr>
                <w:rFonts w:hint="eastAsia" w:ascii="宋体" w:hAnsi="宋体" w:eastAsia="宋体" w:cs="宋体"/>
                <w:color w:val="000000"/>
                <w:kern w:val="0"/>
                <w:sz w:val="21"/>
                <w:szCs w:val="21"/>
                <w:lang w:val="en-US" w:eastAsia="zh-CN" w:bidi="ar"/>
              </w:rPr>
              <w:t>）相关要求，有机废气通过活性炭箱体风速不得高于</w:t>
            </w:r>
            <w:r>
              <w:rPr>
                <w:rFonts w:hint="default" w:ascii="Times New Roman" w:hAnsi="Times New Roman" w:eastAsia="宋体" w:cs="Times New Roman"/>
                <w:color w:val="000000"/>
                <w:kern w:val="0"/>
                <w:sz w:val="21"/>
                <w:szCs w:val="21"/>
                <w:lang w:val="en-US" w:eastAsia="zh-CN" w:bidi="ar"/>
              </w:rPr>
              <w:t>1.2m/s</w:t>
            </w:r>
            <w:r>
              <w:rPr>
                <w:rFonts w:hint="eastAsia" w:ascii="宋体" w:hAnsi="宋体" w:eastAsia="宋体" w:cs="宋体"/>
                <w:color w:val="000000"/>
                <w:kern w:val="0"/>
                <w:sz w:val="21"/>
                <w:szCs w:val="21"/>
                <w:lang w:val="en-US" w:eastAsia="zh-CN" w:bidi="ar"/>
              </w:rPr>
              <w:t>，经核算，项目废气量为</w:t>
            </w:r>
            <w:r>
              <w:rPr>
                <w:rFonts w:hint="eastAsia" w:cs="Times New Roman"/>
                <w:color w:val="auto"/>
                <w:kern w:val="0"/>
                <w:sz w:val="21"/>
                <w:szCs w:val="21"/>
                <w:lang w:val="en-US" w:eastAsia="zh-CN" w:bidi="ar"/>
              </w:rPr>
              <w:t>1.54</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/s</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000000"/>
                <w:kern w:val="0"/>
                <w:sz w:val="21"/>
                <w:szCs w:val="21"/>
                <w:lang w:val="en-US" w:eastAsia="zh-CN" w:bidi="ar"/>
              </w:rPr>
              <w:t>经核算，活性炭箱体截面积应不低于</w:t>
            </w:r>
            <w:r>
              <w:rPr>
                <w:rFonts w:hint="eastAsia" w:cs="Times New Roman"/>
                <w:color w:val="auto"/>
                <w:kern w:val="0"/>
                <w:sz w:val="21"/>
                <w:szCs w:val="21"/>
                <w:lang w:val="en-US" w:eastAsia="zh-CN" w:bidi="ar"/>
              </w:rPr>
              <w:t>1.28</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w:t>
            </w:r>
          </w:p>
          <w:p w14:paraId="4DD9026F">
            <w:pPr>
              <w:autoSpaceDE w:val="0"/>
              <w:autoSpaceDN w:val="0"/>
              <w:spacing w:line="360" w:lineRule="auto"/>
              <w:rPr>
                <w:b/>
                <w:sz w:val="21"/>
                <w:szCs w:val="21"/>
              </w:rPr>
            </w:pPr>
            <w:r>
              <w:rPr>
                <w:b/>
                <w:sz w:val="21"/>
                <w:szCs w:val="21"/>
              </w:rPr>
              <w:t>活性炭吸附废气处理原理：</w:t>
            </w:r>
          </w:p>
          <w:p w14:paraId="4DC9E9C8">
            <w:pPr>
              <w:keepNext w:val="0"/>
              <w:keepLines w:val="0"/>
              <w:widowControl/>
              <w:suppressLineNumbers w:val="0"/>
              <w:spacing w:line="360" w:lineRule="auto"/>
              <w:ind w:firstLine="420" w:firstLineChars="200"/>
              <w:jc w:val="left"/>
              <w:rPr>
                <w:sz w:val="21"/>
                <w:szCs w:val="21"/>
              </w:rPr>
            </w:pPr>
            <w:r>
              <w:rPr>
                <w:sz w:val="21"/>
                <w:szCs w:val="21"/>
              </w:rPr>
              <w:t>活性炭是一种多孔性的</w:t>
            </w:r>
            <w:r>
              <w:rPr>
                <w:rFonts w:hint="eastAsia"/>
                <w:sz w:val="21"/>
                <w:szCs w:val="21"/>
              </w:rPr>
              <w:t>含碳物质</w:t>
            </w:r>
            <w:r>
              <w:rPr>
                <w:sz w:val="21"/>
                <w:szCs w:val="21"/>
              </w:rPr>
              <w:t>，它具有高度发达的孔隙构造，活性炭的多孔结构为其提供了大量的表面积，能与气体（杂质）充分接触，从而赋予了活性炭所特有的吸附性能。活性炭是一种广谱吸附剂，对绝大多数有机废气（包括苯类、酮类、脂类、醇类、醛类、醚类、烷类和其混合类）都具有良好的吸附作用，项目采用蜂窝状活性炭是一种新型环保活性炭废气净化产品，对有机废气净化效率可达90%以上。</w:t>
            </w:r>
            <w:r>
              <w:rPr>
                <w:rFonts w:hint="default" w:ascii="Times New Roman" w:hAnsi="Times New Roman" w:eastAsia="宋体" w:cs="Times New Roman"/>
                <w:b/>
                <w:bCs/>
                <w:i w:val="0"/>
                <w:iCs w:val="0"/>
                <w:color w:val="000000"/>
                <w:kern w:val="0"/>
                <w:sz w:val="21"/>
                <w:szCs w:val="21"/>
                <w:lang w:val="en-US" w:eastAsia="zh-CN" w:bidi="ar"/>
              </w:rPr>
              <w:t>本项目选用的活性炭应满足碘值不低于800mg/g的要求，废气停留时间不少于2S。</w:t>
            </w:r>
            <w:r>
              <w:rPr>
                <w:rFonts w:hint="default" w:ascii="Times New Roman" w:hAnsi="Times New Roman" w:cs="Times New Roman"/>
                <w:sz w:val="21"/>
                <w:szCs w:val="21"/>
              </w:rPr>
              <w:t>活性炭在</w:t>
            </w:r>
            <w:r>
              <w:rPr>
                <w:sz w:val="21"/>
                <w:szCs w:val="21"/>
              </w:rPr>
              <w:t>满负荷吸附废气后，将对其废弃活性炭进行更换，废活性炭作为危险废物交由有资质单位处置。</w:t>
            </w:r>
          </w:p>
          <w:p w14:paraId="10949670">
            <w:pPr>
              <w:keepNext w:val="0"/>
              <w:keepLines w:val="0"/>
              <w:widowControl/>
              <w:suppressLineNumbers w:val="0"/>
              <w:spacing w:line="360" w:lineRule="auto"/>
              <w:ind w:firstLine="422" w:firstLineChars="200"/>
              <w:jc w:val="left"/>
              <w:rPr>
                <w:b/>
                <w:bCs/>
                <w:sz w:val="21"/>
                <w:szCs w:val="21"/>
              </w:rPr>
            </w:pPr>
            <w:r>
              <w:rPr>
                <w:rFonts w:hint="eastAsia"/>
                <w:b/>
                <w:bCs/>
                <w:sz w:val="21"/>
                <w:szCs w:val="21"/>
                <w:lang w:val="en-US" w:eastAsia="zh-CN"/>
              </w:rPr>
              <w:t>③</w:t>
            </w:r>
            <w:r>
              <w:rPr>
                <w:rFonts w:hint="eastAsia" w:ascii="宋体" w:hAnsi="宋体" w:eastAsia="宋体" w:cs="宋体"/>
                <w:b/>
                <w:bCs/>
                <w:color w:val="000000"/>
                <w:kern w:val="0"/>
                <w:sz w:val="21"/>
                <w:szCs w:val="21"/>
                <w:lang w:val="en-US" w:eastAsia="zh-CN" w:bidi="ar"/>
              </w:rPr>
              <w:t>产排情况</w:t>
            </w:r>
          </w:p>
          <w:p w14:paraId="56BAAE99">
            <w:pPr>
              <w:bidi w:val="0"/>
              <w:spacing w:line="360" w:lineRule="auto"/>
              <w:ind w:firstLine="420" w:firstLineChars="200"/>
              <w:rPr>
                <w:rFonts w:hint="eastAsia"/>
                <w:lang w:val="en-US" w:eastAsia="zh-CN"/>
              </w:rPr>
            </w:pPr>
            <w:r>
              <w:rPr>
                <w:rFonts w:hint="eastAsia"/>
                <w:lang w:val="en-US" w:eastAsia="zh-CN"/>
              </w:rPr>
              <w:t>注塑废气产生总量见下表</w:t>
            </w:r>
          </w:p>
          <w:p w14:paraId="06BFD001">
            <w:pPr>
              <w:bidi w:val="0"/>
              <w:spacing w:line="240" w:lineRule="auto"/>
              <w:jc w:val="center"/>
              <w:rPr>
                <w:rFonts w:hint="eastAsia"/>
                <w:b/>
                <w:bCs/>
                <w:lang w:val="en-US" w:eastAsia="zh-CN"/>
              </w:rPr>
            </w:pPr>
            <w:r>
              <w:rPr>
                <w:rFonts w:hint="eastAsia"/>
                <w:b/>
                <w:bCs/>
                <w:lang w:val="en-US" w:eastAsia="zh-CN"/>
              </w:rPr>
              <w:t>表4-2注塑废气产生总量情况一览表</w:t>
            </w:r>
          </w:p>
          <w:tbl>
            <w:tblPr>
              <w:tblStyle w:val="28"/>
              <w:tblW w:w="81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048"/>
              <w:gridCol w:w="684"/>
              <w:gridCol w:w="588"/>
              <w:gridCol w:w="396"/>
              <w:gridCol w:w="360"/>
              <w:gridCol w:w="372"/>
              <w:gridCol w:w="540"/>
              <w:gridCol w:w="802"/>
              <w:gridCol w:w="1070"/>
              <w:gridCol w:w="738"/>
              <w:gridCol w:w="715"/>
            </w:tblGrid>
            <w:tr w14:paraId="4D138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restart"/>
                  <w:vAlign w:val="center"/>
                </w:tcPr>
                <w:p w14:paraId="7150EF6C">
                  <w:pPr>
                    <w:autoSpaceDE w:val="0"/>
                    <w:autoSpaceDN w:val="0"/>
                    <w:adjustRightInd w:val="0"/>
                    <w:snapToGrid w:val="0"/>
                    <w:jc w:val="center"/>
                    <w:rPr>
                      <w:b/>
                      <w:szCs w:val="21"/>
                    </w:rPr>
                  </w:pPr>
                  <w:r>
                    <w:rPr>
                      <w:rFonts w:hint="eastAsia"/>
                      <w:b/>
                      <w:szCs w:val="21"/>
                    </w:rPr>
                    <w:t>污染物</w:t>
                  </w:r>
                </w:p>
              </w:tc>
              <w:tc>
                <w:tcPr>
                  <w:tcW w:w="640" w:type="pct"/>
                  <w:vMerge w:val="restart"/>
                  <w:vAlign w:val="center"/>
                </w:tcPr>
                <w:p w14:paraId="7A9838D3">
                  <w:pPr>
                    <w:autoSpaceDE w:val="0"/>
                    <w:autoSpaceDN w:val="0"/>
                    <w:adjustRightInd w:val="0"/>
                    <w:snapToGrid w:val="0"/>
                    <w:jc w:val="center"/>
                    <w:rPr>
                      <w:b/>
                      <w:szCs w:val="21"/>
                    </w:rPr>
                  </w:pPr>
                  <w:r>
                    <w:rPr>
                      <w:rFonts w:hint="eastAsia"/>
                      <w:b/>
                      <w:szCs w:val="21"/>
                    </w:rPr>
                    <w:t>产生量t/a</w:t>
                  </w:r>
                </w:p>
              </w:tc>
              <w:tc>
                <w:tcPr>
                  <w:tcW w:w="417" w:type="pct"/>
                  <w:vMerge w:val="restart"/>
                  <w:vAlign w:val="center"/>
                </w:tcPr>
                <w:p w14:paraId="0ED0738A">
                  <w:pPr>
                    <w:autoSpaceDE w:val="0"/>
                    <w:autoSpaceDN w:val="0"/>
                    <w:adjustRightInd w:val="0"/>
                    <w:snapToGrid w:val="0"/>
                    <w:jc w:val="center"/>
                    <w:rPr>
                      <w:b/>
                      <w:szCs w:val="21"/>
                    </w:rPr>
                  </w:pPr>
                  <w:r>
                    <w:rPr>
                      <w:rFonts w:hint="eastAsia"/>
                      <w:b/>
                      <w:szCs w:val="21"/>
                    </w:rPr>
                    <w:t>设计风量m</w:t>
                  </w:r>
                  <w:r>
                    <w:rPr>
                      <w:rFonts w:hint="eastAsia"/>
                      <w:b/>
                      <w:szCs w:val="21"/>
                      <w:vertAlign w:val="superscript"/>
                    </w:rPr>
                    <w:t>3</w:t>
                  </w:r>
                  <w:r>
                    <w:rPr>
                      <w:rFonts w:hint="eastAsia"/>
                      <w:b/>
                      <w:szCs w:val="21"/>
                    </w:rPr>
                    <w:t>/h</w:t>
                  </w:r>
                </w:p>
              </w:tc>
              <w:tc>
                <w:tcPr>
                  <w:tcW w:w="359" w:type="pct"/>
                  <w:vMerge w:val="restart"/>
                  <w:vAlign w:val="center"/>
                </w:tcPr>
                <w:p w14:paraId="0FC11DA9">
                  <w:pPr>
                    <w:autoSpaceDE w:val="0"/>
                    <w:autoSpaceDN w:val="0"/>
                    <w:adjustRightInd w:val="0"/>
                    <w:snapToGrid w:val="0"/>
                    <w:jc w:val="center"/>
                    <w:rPr>
                      <w:b/>
                      <w:szCs w:val="21"/>
                    </w:rPr>
                  </w:pPr>
                  <w:r>
                    <w:rPr>
                      <w:rFonts w:hint="eastAsia"/>
                      <w:b/>
                      <w:szCs w:val="21"/>
                    </w:rPr>
                    <w:t>治理措施</w:t>
                  </w:r>
                </w:p>
              </w:tc>
              <w:tc>
                <w:tcPr>
                  <w:tcW w:w="1018" w:type="pct"/>
                  <w:gridSpan w:val="4"/>
                  <w:vAlign w:val="center"/>
                </w:tcPr>
                <w:p w14:paraId="17536731">
                  <w:pPr>
                    <w:autoSpaceDE w:val="0"/>
                    <w:autoSpaceDN w:val="0"/>
                    <w:adjustRightInd w:val="0"/>
                    <w:snapToGrid w:val="0"/>
                    <w:jc w:val="center"/>
                    <w:rPr>
                      <w:b/>
                      <w:szCs w:val="21"/>
                    </w:rPr>
                  </w:pPr>
                  <w:r>
                    <w:rPr>
                      <w:rFonts w:hint="eastAsia"/>
                      <w:b/>
                      <w:szCs w:val="21"/>
                    </w:rPr>
                    <w:t>排气筒</w:t>
                  </w:r>
                </w:p>
              </w:tc>
              <w:tc>
                <w:tcPr>
                  <w:tcW w:w="1594" w:type="pct"/>
                  <w:gridSpan w:val="3"/>
                  <w:vAlign w:val="center"/>
                </w:tcPr>
                <w:p w14:paraId="73EF025F">
                  <w:pPr>
                    <w:autoSpaceDE w:val="0"/>
                    <w:autoSpaceDN w:val="0"/>
                    <w:adjustRightInd w:val="0"/>
                    <w:snapToGrid w:val="0"/>
                    <w:jc w:val="center"/>
                    <w:rPr>
                      <w:b/>
                      <w:szCs w:val="21"/>
                    </w:rPr>
                  </w:pPr>
                  <w:r>
                    <w:rPr>
                      <w:rFonts w:hint="eastAsia"/>
                      <w:b/>
                      <w:szCs w:val="21"/>
                    </w:rPr>
                    <w:t>有组织排放情况</w:t>
                  </w:r>
                </w:p>
              </w:tc>
              <w:tc>
                <w:tcPr>
                  <w:tcW w:w="436" w:type="pct"/>
                  <w:vMerge w:val="restart"/>
                  <w:vAlign w:val="center"/>
                </w:tcPr>
                <w:p w14:paraId="635E22B1">
                  <w:pPr>
                    <w:autoSpaceDE w:val="0"/>
                    <w:autoSpaceDN w:val="0"/>
                    <w:adjustRightInd w:val="0"/>
                    <w:snapToGrid w:val="0"/>
                    <w:jc w:val="center"/>
                    <w:rPr>
                      <w:b/>
                      <w:szCs w:val="21"/>
                    </w:rPr>
                  </w:pPr>
                  <w:r>
                    <w:rPr>
                      <w:rFonts w:hint="eastAsia"/>
                      <w:b/>
                      <w:szCs w:val="21"/>
                    </w:rPr>
                    <w:t>无组织排放量kg/a</w:t>
                  </w:r>
                </w:p>
              </w:tc>
            </w:tr>
            <w:tr w14:paraId="1A742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continue"/>
                  <w:vAlign w:val="center"/>
                </w:tcPr>
                <w:p w14:paraId="1C7407BD">
                  <w:pPr>
                    <w:autoSpaceDE w:val="0"/>
                    <w:autoSpaceDN w:val="0"/>
                    <w:adjustRightInd w:val="0"/>
                    <w:snapToGrid w:val="0"/>
                    <w:jc w:val="center"/>
                    <w:rPr>
                      <w:szCs w:val="21"/>
                    </w:rPr>
                  </w:pPr>
                </w:p>
              </w:tc>
              <w:tc>
                <w:tcPr>
                  <w:tcW w:w="640" w:type="pct"/>
                  <w:vMerge w:val="continue"/>
                  <w:vAlign w:val="center"/>
                </w:tcPr>
                <w:p w14:paraId="3C6E312D">
                  <w:pPr>
                    <w:autoSpaceDE w:val="0"/>
                    <w:autoSpaceDN w:val="0"/>
                    <w:adjustRightInd w:val="0"/>
                    <w:snapToGrid w:val="0"/>
                    <w:jc w:val="center"/>
                    <w:rPr>
                      <w:szCs w:val="21"/>
                    </w:rPr>
                  </w:pPr>
                </w:p>
              </w:tc>
              <w:tc>
                <w:tcPr>
                  <w:tcW w:w="417" w:type="pct"/>
                  <w:vMerge w:val="continue"/>
                  <w:vAlign w:val="center"/>
                </w:tcPr>
                <w:p w14:paraId="2DD9079E">
                  <w:pPr>
                    <w:autoSpaceDE w:val="0"/>
                    <w:autoSpaceDN w:val="0"/>
                    <w:adjustRightInd w:val="0"/>
                    <w:snapToGrid w:val="0"/>
                    <w:jc w:val="center"/>
                    <w:rPr>
                      <w:szCs w:val="21"/>
                    </w:rPr>
                  </w:pPr>
                </w:p>
              </w:tc>
              <w:tc>
                <w:tcPr>
                  <w:tcW w:w="359" w:type="pct"/>
                  <w:vMerge w:val="continue"/>
                  <w:vAlign w:val="center"/>
                </w:tcPr>
                <w:p w14:paraId="0195359F">
                  <w:pPr>
                    <w:autoSpaceDE w:val="0"/>
                    <w:autoSpaceDN w:val="0"/>
                    <w:adjustRightInd w:val="0"/>
                    <w:snapToGrid w:val="0"/>
                    <w:jc w:val="center"/>
                    <w:rPr>
                      <w:szCs w:val="21"/>
                    </w:rPr>
                  </w:pPr>
                </w:p>
              </w:tc>
              <w:tc>
                <w:tcPr>
                  <w:tcW w:w="241" w:type="pct"/>
                  <w:vAlign w:val="center"/>
                </w:tcPr>
                <w:p w14:paraId="64F570DA">
                  <w:pPr>
                    <w:autoSpaceDE w:val="0"/>
                    <w:autoSpaceDN w:val="0"/>
                    <w:adjustRightInd w:val="0"/>
                    <w:snapToGrid w:val="0"/>
                    <w:jc w:val="center"/>
                    <w:rPr>
                      <w:b/>
                      <w:szCs w:val="21"/>
                    </w:rPr>
                  </w:pPr>
                  <w:r>
                    <w:rPr>
                      <w:rFonts w:hint="eastAsia"/>
                      <w:b/>
                      <w:szCs w:val="21"/>
                    </w:rPr>
                    <w:t>数量</w:t>
                  </w:r>
                </w:p>
              </w:tc>
              <w:tc>
                <w:tcPr>
                  <w:tcW w:w="219" w:type="pct"/>
                  <w:vAlign w:val="center"/>
                </w:tcPr>
                <w:p w14:paraId="07108524">
                  <w:pPr>
                    <w:autoSpaceDE w:val="0"/>
                    <w:autoSpaceDN w:val="0"/>
                    <w:adjustRightInd w:val="0"/>
                    <w:snapToGrid w:val="0"/>
                    <w:jc w:val="center"/>
                    <w:rPr>
                      <w:b/>
                      <w:szCs w:val="21"/>
                    </w:rPr>
                  </w:pPr>
                  <w:r>
                    <w:rPr>
                      <w:rFonts w:hint="eastAsia"/>
                      <w:b/>
                      <w:szCs w:val="21"/>
                    </w:rPr>
                    <w:t>高度</w:t>
                  </w:r>
                </w:p>
              </w:tc>
              <w:tc>
                <w:tcPr>
                  <w:tcW w:w="227" w:type="pct"/>
                  <w:vAlign w:val="center"/>
                </w:tcPr>
                <w:p w14:paraId="6051E78B">
                  <w:pPr>
                    <w:autoSpaceDE w:val="0"/>
                    <w:autoSpaceDN w:val="0"/>
                    <w:adjustRightInd w:val="0"/>
                    <w:snapToGrid w:val="0"/>
                    <w:jc w:val="center"/>
                    <w:rPr>
                      <w:b/>
                      <w:szCs w:val="21"/>
                    </w:rPr>
                  </w:pPr>
                  <w:r>
                    <w:rPr>
                      <w:rFonts w:hint="eastAsia"/>
                      <w:b/>
                      <w:szCs w:val="21"/>
                    </w:rPr>
                    <w:t>内径</w:t>
                  </w:r>
                </w:p>
              </w:tc>
              <w:tc>
                <w:tcPr>
                  <w:tcW w:w="329" w:type="pct"/>
                  <w:vAlign w:val="center"/>
                </w:tcPr>
                <w:p w14:paraId="7CD81D57">
                  <w:pPr>
                    <w:autoSpaceDE w:val="0"/>
                    <w:autoSpaceDN w:val="0"/>
                    <w:adjustRightInd w:val="0"/>
                    <w:snapToGrid w:val="0"/>
                    <w:jc w:val="center"/>
                    <w:rPr>
                      <w:b/>
                      <w:szCs w:val="21"/>
                    </w:rPr>
                  </w:pPr>
                  <w:r>
                    <w:rPr>
                      <w:rFonts w:hint="eastAsia"/>
                      <w:b/>
                      <w:szCs w:val="21"/>
                    </w:rPr>
                    <w:t>编号</w:t>
                  </w:r>
                </w:p>
              </w:tc>
              <w:tc>
                <w:tcPr>
                  <w:tcW w:w="489" w:type="pct"/>
                  <w:vAlign w:val="center"/>
                </w:tcPr>
                <w:p w14:paraId="700B32A9">
                  <w:pPr>
                    <w:autoSpaceDE w:val="0"/>
                    <w:autoSpaceDN w:val="0"/>
                    <w:adjustRightInd w:val="0"/>
                    <w:snapToGrid w:val="0"/>
                    <w:jc w:val="center"/>
                    <w:rPr>
                      <w:b/>
                      <w:szCs w:val="21"/>
                      <w:vertAlign w:val="superscript"/>
                    </w:rPr>
                  </w:pPr>
                  <w:r>
                    <w:rPr>
                      <w:rFonts w:hint="eastAsia"/>
                      <w:b/>
                      <w:szCs w:val="21"/>
                    </w:rPr>
                    <w:t>浓度mg/m</w:t>
                  </w:r>
                  <w:r>
                    <w:rPr>
                      <w:rFonts w:hint="eastAsia"/>
                      <w:b/>
                      <w:szCs w:val="21"/>
                      <w:vertAlign w:val="superscript"/>
                    </w:rPr>
                    <w:t>3</w:t>
                  </w:r>
                </w:p>
              </w:tc>
              <w:tc>
                <w:tcPr>
                  <w:tcW w:w="653" w:type="pct"/>
                  <w:vAlign w:val="center"/>
                </w:tcPr>
                <w:p w14:paraId="66919B9B">
                  <w:pPr>
                    <w:autoSpaceDE w:val="0"/>
                    <w:autoSpaceDN w:val="0"/>
                    <w:adjustRightInd w:val="0"/>
                    <w:snapToGrid w:val="0"/>
                    <w:jc w:val="center"/>
                    <w:rPr>
                      <w:b/>
                      <w:szCs w:val="21"/>
                    </w:rPr>
                  </w:pPr>
                  <w:r>
                    <w:rPr>
                      <w:rFonts w:hint="eastAsia"/>
                      <w:b/>
                      <w:szCs w:val="21"/>
                    </w:rPr>
                    <w:t>排放速率kg/h</w:t>
                  </w:r>
                </w:p>
              </w:tc>
              <w:tc>
                <w:tcPr>
                  <w:tcW w:w="450" w:type="pct"/>
                  <w:vAlign w:val="center"/>
                </w:tcPr>
                <w:p w14:paraId="09D33FE5">
                  <w:pPr>
                    <w:autoSpaceDE w:val="0"/>
                    <w:autoSpaceDN w:val="0"/>
                    <w:adjustRightInd w:val="0"/>
                    <w:snapToGrid w:val="0"/>
                    <w:jc w:val="center"/>
                    <w:rPr>
                      <w:b/>
                      <w:szCs w:val="21"/>
                    </w:rPr>
                  </w:pPr>
                  <w:r>
                    <w:rPr>
                      <w:rFonts w:hint="eastAsia"/>
                      <w:b/>
                      <w:szCs w:val="21"/>
                    </w:rPr>
                    <w:t>排放量kg/a</w:t>
                  </w:r>
                </w:p>
              </w:tc>
              <w:tc>
                <w:tcPr>
                  <w:tcW w:w="436" w:type="pct"/>
                  <w:vMerge w:val="continue"/>
                  <w:vAlign w:val="center"/>
                </w:tcPr>
                <w:p w14:paraId="29A4E466">
                  <w:pPr>
                    <w:autoSpaceDE w:val="0"/>
                    <w:autoSpaceDN w:val="0"/>
                    <w:adjustRightInd w:val="0"/>
                    <w:snapToGrid w:val="0"/>
                    <w:jc w:val="center"/>
                    <w:rPr>
                      <w:szCs w:val="21"/>
                    </w:rPr>
                  </w:pPr>
                </w:p>
              </w:tc>
            </w:tr>
            <w:tr w14:paraId="2940A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Align w:val="center"/>
                </w:tcPr>
                <w:p w14:paraId="2EE8A83E">
                  <w:pPr>
                    <w:autoSpaceDE w:val="0"/>
                    <w:autoSpaceDN w:val="0"/>
                    <w:adjustRightInd w:val="0"/>
                    <w:snapToGrid w:val="0"/>
                    <w:jc w:val="center"/>
                    <w:rPr>
                      <w:szCs w:val="21"/>
                    </w:rPr>
                  </w:pPr>
                  <w:r>
                    <w:rPr>
                      <w:rFonts w:hint="eastAsia"/>
                      <w:szCs w:val="21"/>
                    </w:rPr>
                    <w:t>VOCs</w:t>
                  </w:r>
                </w:p>
              </w:tc>
              <w:tc>
                <w:tcPr>
                  <w:tcW w:w="640" w:type="pct"/>
                  <w:vAlign w:val="center"/>
                </w:tcPr>
                <w:p w14:paraId="40AE72A9">
                  <w:pPr>
                    <w:autoSpaceDE w:val="0"/>
                    <w:autoSpaceDN w:val="0"/>
                    <w:adjustRightInd w:val="0"/>
                    <w:snapToGrid w:val="0"/>
                    <w:jc w:val="center"/>
                    <w:rPr>
                      <w:color w:val="FF0000"/>
                      <w:szCs w:val="21"/>
                    </w:rPr>
                  </w:pPr>
                  <w:r>
                    <w:rPr>
                      <w:rFonts w:hint="eastAsia" w:ascii="Times New Roman" w:hAnsi="Times New Roman" w:eastAsia="宋体" w:cs="Times New Roman"/>
                      <w:color w:val="000000"/>
                      <w:kern w:val="0"/>
                      <w:sz w:val="21"/>
                      <w:szCs w:val="21"/>
                      <w:lang w:val="en-US" w:eastAsia="zh-CN" w:bidi="ar"/>
                    </w:rPr>
                    <w:t>0.0675</w:t>
                  </w:r>
                </w:p>
              </w:tc>
              <w:tc>
                <w:tcPr>
                  <w:tcW w:w="417" w:type="pct"/>
                  <w:vMerge w:val="restart"/>
                  <w:vAlign w:val="center"/>
                </w:tcPr>
                <w:p w14:paraId="2E54E79B">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5600</w:t>
                  </w:r>
                </w:p>
              </w:tc>
              <w:tc>
                <w:tcPr>
                  <w:tcW w:w="359" w:type="pct"/>
                  <w:vMerge w:val="restart"/>
                  <w:vAlign w:val="center"/>
                </w:tcPr>
                <w:p w14:paraId="6D4C2131">
                  <w:pPr>
                    <w:autoSpaceDE w:val="0"/>
                    <w:autoSpaceDN w:val="0"/>
                    <w:adjustRightInd w:val="0"/>
                    <w:snapToGrid w:val="0"/>
                    <w:jc w:val="center"/>
                    <w:rPr>
                      <w:rFonts w:hint="default" w:eastAsia="宋体"/>
                      <w:szCs w:val="21"/>
                      <w:lang w:val="en-US" w:eastAsia="zh-CN"/>
                    </w:rPr>
                  </w:pPr>
                  <w:r>
                    <w:rPr>
                      <w:rFonts w:hint="eastAsia"/>
                      <w:szCs w:val="21"/>
                      <w:lang w:val="en-US" w:eastAsia="zh-CN"/>
                    </w:rPr>
                    <w:t>二级活性炭吸附</w:t>
                  </w:r>
                </w:p>
              </w:tc>
              <w:tc>
                <w:tcPr>
                  <w:tcW w:w="241" w:type="pct"/>
                  <w:vMerge w:val="restart"/>
                  <w:vAlign w:val="center"/>
                </w:tcPr>
                <w:p w14:paraId="434034B5">
                  <w:pPr>
                    <w:autoSpaceDE w:val="0"/>
                    <w:autoSpaceDN w:val="0"/>
                    <w:adjustRightInd w:val="0"/>
                    <w:snapToGrid w:val="0"/>
                    <w:jc w:val="center"/>
                    <w:rPr>
                      <w:szCs w:val="21"/>
                    </w:rPr>
                  </w:pPr>
                  <w:r>
                    <w:rPr>
                      <w:rFonts w:hint="eastAsia"/>
                      <w:szCs w:val="21"/>
                    </w:rPr>
                    <w:t>1</w:t>
                  </w:r>
                </w:p>
              </w:tc>
              <w:tc>
                <w:tcPr>
                  <w:tcW w:w="219" w:type="pct"/>
                  <w:vMerge w:val="restart"/>
                  <w:vAlign w:val="center"/>
                </w:tcPr>
                <w:p w14:paraId="3A7ED930">
                  <w:pPr>
                    <w:autoSpaceDE w:val="0"/>
                    <w:autoSpaceDN w:val="0"/>
                    <w:adjustRightInd w:val="0"/>
                    <w:snapToGrid w:val="0"/>
                    <w:jc w:val="center"/>
                    <w:rPr>
                      <w:szCs w:val="21"/>
                    </w:rPr>
                  </w:pPr>
                  <w:r>
                    <w:rPr>
                      <w:rFonts w:hint="eastAsia"/>
                      <w:szCs w:val="21"/>
                      <w:lang w:val="en-US" w:eastAsia="zh-CN"/>
                    </w:rPr>
                    <w:t>15</w:t>
                  </w:r>
                  <w:r>
                    <w:rPr>
                      <w:rFonts w:hint="eastAsia"/>
                      <w:szCs w:val="21"/>
                    </w:rPr>
                    <w:t>m</w:t>
                  </w:r>
                </w:p>
              </w:tc>
              <w:tc>
                <w:tcPr>
                  <w:tcW w:w="227" w:type="pct"/>
                  <w:vMerge w:val="restart"/>
                  <w:vAlign w:val="center"/>
                </w:tcPr>
                <w:p w14:paraId="223E30CB">
                  <w:pPr>
                    <w:autoSpaceDE w:val="0"/>
                    <w:autoSpaceDN w:val="0"/>
                    <w:adjustRightInd w:val="0"/>
                    <w:snapToGrid w:val="0"/>
                    <w:jc w:val="center"/>
                    <w:rPr>
                      <w:szCs w:val="21"/>
                    </w:rPr>
                  </w:pPr>
                  <w:r>
                    <w:rPr>
                      <w:rFonts w:hint="eastAsia"/>
                      <w:szCs w:val="21"/>
                    </w:rPr>
                    <w:t>1m</w:t>
                  </w:r>
                </w:p>
              </w:tc>
              <w:tc>
                <w:tcPr>
                  <w:tcW w:w="329" w:type="pct"/>
                  <w:vMerge w:val="restart"/>
                  <w:vAlign w:val="center"/>
                </w:tcPr>
                <w:p w14:paraId="2792E95E">
                  <w:pPr>
                    <w:wordWrap w:val="0"/>
                    <w:autoSpaceDE w:val="0"/>
                    <w:autoSpaceDN w:val="0"/>
                    <w:adjustRightInd w:val="0"/>
                    <w:snapToGrid w:val="0"/>
                    <w:jc w:val="center"/>
                    <w:rPr>
                      <w:szCs w:val="21"/>
                    </w:rPr>
                  </w:pPr>
                  <w:r>
                    <w:rPr>
                      <w:rFonts w:hint="eastAsia"/>
                      <w:szCs w:val="21"/>
                    </w:rPr>
                    <w:t>DA001</w:t>
                  </w:r>
                </w:p>
              </w:tc>
              <w:tc>
                <w:tcPr>
                  <w:tcW w:w="489" w:type="pct"/>
                  <w:vAlign w:val="center"/>
                </w:tcPr>
                <w:p w14:paraId="3B9980D0">
                  <w:pPr>
                    <w:autoSpaceDE w:val="0"/>
                    <w:autoSpaceDN w:val="0"/>
                    <w:adjustRightInd w:val="0"/>
                    <w:snapToGrid w:val="0"/>
                    <w:jc w:val="center"/>
                    <w:rPr>
                      <w:rFonts w:hint="default" w:eastAsia="宋体"/>
                      <w:color w:val="FF0000"/>
                      <w:szCs w:val="21"/>
                      <w:lang w:val="en-US" w:eastAsia="zh-CN"/>
                    </w:rPr>
                  </w:pPr>
                  <w:r>
                    <w:rPr>
                      <w:rFonts w:hint="eastAsia"/>
                      <w:color w:val="auto"/>
                      <w:szCs w:val="21"/>
                    </w:rPr>
                    <w:t>0.</w:t>
                  </w:r>
                  <w:r>
                    <w:rPr>
                      <w:rFonts w:hint="eastAsia"/>
                      <w:color w:val="auto"/>
                      <w:szCs w:val="21"/>
                      <w:lang w:val="en-US" w:eastAsia="zh-CN"/>
                    </w:rPr>
                    <w:t>2321</w:t>
                  </w:r>
                </w:p>
              </w:tc>
              <w:tc>
                <w:tcPr>
                  <w:tcW w:w="653" w:type="pct"/>
                  <w:vAlign w:val="center"/>
                </w:tcPr>
                <w:p w14:paraId="38266130">
                  <w:pPr>
                    <w:autoSpaceDE w:val="0"/>
                    <w:autoSpaceDN w:val="0"/>
                    <w:adjustRightInd w:val="0"/>
                    <w:snapToGrid w:val="0"/>
                    <w:jc w:val="center"/>
                    <w:rPr>
                      <w:rFonts w:hint="default" w:eastAsia="宋体"/>
                      <w:color w:val="FF0000"/>
                      <w:szCs w:val="21"/>
                      <w:lang w:val="en-US" w:eastAsia="zh-CN"/>
                    </w:rPr>
                  </w:pPr>
                  <w:r>
                    <w:rPr>
                      <w:rFonts w:hint="eastAsia"/>
                      <w:color w:val="auto"/>
                      <w:szCs w:val="21"/>
                    </w:rPr>
                    <w:t>0.0</w:t>
                  </w:r>
                  <w:r>
                    <w:rPr>
                      <w:rFonts w:hint="eastAsia"/>
                      <w:color w:val="auto"/>
                      <w:szCs w:val="21"/>
                      <w:lang w:val="en-US" w:eastAsia="zh-CN"/>
                    </w:rPr>
                    <w:t>013</w:t>
                  </w:r>
                </w:p>
              </w:tc>
              <w:tc>
                <w:tcPr>
                  <w:tcW w:w="450" w:type="pct"/>
                  <w:vAlign w:val="center"/>
                </w:tcPr>
                <w:p w14:paraId="59A1EB22">
                  <w:pPr>
                    <w:autoSpaceDE w:val="0"/>
                    <w:autoSpaceDN w:val="0"/>
                    <w:adjustRightInd w:val="0"/>
                    <w:snapToGrid w:val="0"/>
                    <w:jc w:val="center"/>
                    <w:rPr>
                      <w:rFonts w:hint="default" w:eastAsia="宋体"/>
                      <w:color w:val="FF0000"/>
                      <w:szCs w:val="21"/>
                      <w:lang w:val="en-US" w:eastAsia="zh-CN"/>
                    </w:rPr>
                  </w:pPr>
                  <w:r>
                    <w:rPr>
                      <w:rFonts w:hint="eastAsia"/>
                      <w:color w:val="auto"/>
                      <w:szCs w:val="21"/>
                      <w:lang w:val="en-US" w:eastAsia="zh-CN"/>
                    </w:rPr>
                    <w:t>6.075</w:t>
                  </w:r>
                </w:p>
              </w:tc>
              <w:tc>
                <w:tcPr>
                  <w:tcW w:w="436" w:type="pct"/>
                  <w:vAlign w:val="center"/>
                </w:tcPr>
                <w:p w14:paraId="2436161E">
                  <w:pPr>
                    <w:autoSpaceDE w:val="0"/>
                    <w:autoSpaceDN w:val="0"/>
                    <w:adjustRightInd w:val="0"/>
                    <w:snapToGrid w:val="0"/>
                    <w:jc w:val="center"/>
                    <w:rPr>
                      <w:rFonts w:hint="default" w:eastAsia="宋体"/>
                      <w:color w:val="FF0000"/>
                      <w:szCs w:val="21"/>
                      <w:lang w:val="en-US" w:eastAsia="zh-CN"/>
                    </w:rPr>
                  </w:pPr>
                  <w:r>
                    <w:rPr>
                      <w:rFonts w:hint="eastAsia"/>
                      <w:color w:val="auto"/>
                      <w:szCs w:val="21"/>
                      <w:lang w:val="en-US" w:eastAsia="zh-CN"/>
                    </w:rPr>
                    <w:t>6.75</w:t>
                  </w:r>
                </w:p>
              </w:tc>
            </w:tr>
            <w:tr w14:paraId="03111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32" w:type="pct"/>
                  <w:vAlign w:val="center"/>
                </w:tcPr>
                <w:p w14:paraId="2FABC8F6">
                  <w:pPr>
                    <w:autoSpaceDE w:val="0"/>
                    <w:autoSpaceDN w:val="0"/>
                    <w:adjustRightInd w:val="0"/>
                    <w:snapToGrid w:val="0"/>
                    <w:jc w:val="center"/>
                    <w:rPr>
                      <w:szCs w:val="21"/>
                    </w:rPr>
                  </w:pPr>
                  <w:r>
                    <w:rPr>
                      <w:rFonts w:hint="eastAsia" w:ascii="宋体" w:hAnsi="宋体" w:eastAsia="宋体" w:cs="宋体"/>
                      <w:color w:val="000000"/>
                      <w:kern w:val="0"/>
                      <w:sz w:val="21"/>
                      <w:szCs w:val="21"/>
                      <w:lang w:val="en-US" w:eastAsia="zh-CN" w:bidi="ar"/>
                    </w:rPr>
                    <w:t>丙烯腈</w:t>
                  </w:r>
                </w:p>
              </w:tc>
              <w:tc>
                <w:tcPr>
                  <w:tcW w:w="640" w:type="pct"/>
                  <w:vAlign w:val="center"/>
                </w:tcPr>
                <w:p w14:paraId="64BFA442">
                  <w:pPr>
                    <w:autoSpaceDE w:val="0"/>
                    <w:autoSpaceDN w:val="0"/>
                    <w:adjustRightInd w:val="0"/>
                    <w:snapToGrid w:val="0"/>
                    <w:jc w:val="center"/>
                    <w:rPr>
                      <w:color w:val="auto"/>
                      <w:szCs w:val="21"/>
                    </w:rPr>
                  </w:pPr>
                  <w:r>
                    <w:rPr>
                      <w:rFonts w:hint="eastAsia" w:ascii="Times New Roman" w:hAnsi="Times New Roman" w:eastAsia="宋体" w:cs="Times New Roman"/>
                      <w:color w:val="auto"/>
                      <w:kern w:val="0"/>
                      <w:sz w:val="21"/>
                      <w:szCs w:val="21"/>
                      <w:lang w:val="en-US" w:eastAsia="zh-CN" w:bidi="ar"/>
                    </w:rPr>
                    <w:t>5</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13</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4</w:t>
                  </w:r>
                </w:p>
              </w:tc>
              <w:tc>
                <w:tcPr>
                  <w:tcW w:w="417" w:type="pct"/>
                  <w:vMerge w:val="continue"/>
                  <w:vAlign w:val="center"/>
                </w:tcPr>
                <w:p w14:paraId="0825C04F">
                  <w:pPr>
                    <w:autoSpaceDE w:val="0"/>
                    <w:autoSpaceDN w:val="0"/>
                    <w:adjustRightInd w:val="0"/>
                    <w:snapToGrid w:val="0"/>
                    <w:jc w:val="center"/>
                    <w:rPr>
                      <w:color w:val="auto"/>
                      <w:szCs w:val="21"/>
                    </w:rPr>
                  </w:pPr>
                </w:p>
              </w:tc>
              <w:tc>
                <w:tcPr>
                  <w:tcW w:w="359" w:type="pct"/>
                  <w:vMerge w:val="continue"/>
                  <w:vAlign w:val="center"/>
                </w:tcPr>
                <w:p w14:paraId="5B28A136">
                  <w:pPr>
                    <w:autoSpaceDE w:val="0"/>
                    <w:autoSpaceDN w:val="0"/>
                    <w:adjustRightInd w:val="0"/>
                    <w:snapToGrid w:val="0"/>
                    <w:jc w:val="center"/>
                    <w:rPr>
                      <w:szCs w:val="21"/>
                    </w:rPr>
                  </w:pPr>
                </w:p>
              </w:tc>
              <w:tc>
                <w:tcPr>
                  <w:tcW w:w="241" w:type="pct"/>
                  <w:vMerge w:val="continue"/>
                  <w:vAlign w:val="center"/>
                </w:tcPr>
                <w:p w14:paraId="4AF0D6FE">
                  <w:pPr>
                    <w:autoSpaceDE w:val="0"/>
                    <w:autoSpaceDN w:val="0"/>
                    <w:adjustRightInd w:val="0"/>
                    <w:snapToGrid w:val="0"/>
                    <w:jc w:val="center"/>
                    <w:rPr>
                      <w:szCs w:val="21"/>
                    </w:rPr>
                  </w:pPr>
                </w:p>
              </w:tc>
              <w:tc>
                <w:tcPr>
                  <w:tcW w:w="219" w:type="pct"/>
                  <w:vMerge w:val="continue"/>
                  <w:vAlign w:val="center"/>
                </w:tcPr>
                <w:p w14:paraId="784C3570">
                  <w:pPr>
                    <w:autoSpaceDE w:val="0"/>
                    <w:autoSpaceDN w:val="0"/>
                    <w:adjustRightInd w:val="0"/>
                    <w:snapToGrid w:val="0"/>
                    <w:jc w:val="center"/>
                    <w:rPr>
                      <w:szCs w:val="21"/>
                    </w:rPr>
                  </w:pPr>
                </w:p>
              </w:tc>
              <w:tc>
                <w:tcPr>
                  <w:tcW w:w="227" w:type="pct"/>
                  <w:vMerge w:val="continue"/>
                  <w:vAlign w:val="center"/>
                </w:tcPr>
                <w:p w14:paraId="167DD1A9">
                  <w:pPr>
                    <w:autoSpaceDE w:val="0"/>
                    <w:autoSpaceDN w:val="0"/>
                    <w:adjustRightInd w:val="0"/>
                    <w:snapToGrid w:val="0"/>
                    <w:jc w:val="center"/>
                    <w:rPr>
                      <w:szCs w:val="21"/>
                    </w:rPr>
                  </w:pPr>
                </w:p>
              </w:tc>
              <w:tc>
                <w:tcPr>
                  <w:tcW w:w="329" w:type="pct"/>
                  <w:vMerge w:val="continue"/>
                  <w:vAlign w:val="center"/>
                </w:tcPr>
                <w:p w14:paraId="234E1AF7">
                  <w:pPr>
                    <w:wordWrap w:val="0"/>
                    <w:autoSpaceDE w:val="0"/>
                    <w:autoSpaceDN w:val="0"/>
                    <w:adjustRightInd w:val="0"/>
                    <w:snapToGrid w:val="0"/>
                    <w:jc w:val="center"/>
                    <w:rPr>
                      <w:szCs w:val="21"/>
                    </w:rPr>
                  </w:pPr>
                </w:p>
              </w:tc>
              <w:tc>
                <w:tcPr>
                  <w:tcW w:w="489" w:type="pct"/>
                  <w:vAlign w:val="center"/>
                </w:tcPr>
                <w:p w14:paraId="4472FFA5">
                  <w:pPr>
                    <w:autoSpaceDE w:val="0"/>
                    <w:autoSpaceDN w:val="0"/>
                    <w:adjustRightInd w:val="0"/>
                    <w:snapToGrid w:val="0"/>
                    <w:jc w:val="center"/>
                    <w:rPr>
                      <w:rFonts w:hint="default" w:eastAsia="宋体"/>
                      <w:color w:val="FF0000"/>
                      <w:szCs w:val="21"/>
                      <w:lang w:val="en-US" w:eastAsia="zh-CN"/>
                    </w:rPr>
                  </w:pPr>
                  <w:r>
                    <w:rPr>
                      <w:rFonts w:hint="eastAsia"/>
                      <w:color w:val="auto"/>
                      <w:szCs w:val="21"/>
                    </w:rPr>
                    <w:t>0.0</w:t>
                  </w:r>
                  <w:r>
                    <w:rPr>
                      <w:rFonts w:hint="eastAsia"/>
                      <w:color w:val="auto"/>
                      <w:szCs w:val="21"/>
                      <w:lang w:val="en-US" w:eastAsia="zh-CN"/>
                    </w:rPr>
                    <w:t>017</w:t>
                  </w:r>
                </w:p>
              </w:tc>
              <w:tc>
                <w:tcPr>
                  <w:tcW w:w="653" w:type="pct"/>
                  <w:vAlign w:val="center"/>
                </w:tcPr>
                <w:p w14:paraId="55C7A5DC">
                  <w:pPr>
                    <w:autoSpaceDE w:val="0"/>
                    <w:autoSpaceDN w:val="0"/>
                    <w:adjustRightInd w:val="0"/>
                    <w:snapToGrid w:val="0"/>
                    <w:jc w:val="center"/>
                    <w:rPr>
                      <w:rFonts w:hint="default" w:eastAsia="宋体"/>
                      <w:color w:val="FF0000"/>
                      <w:szCs w:val="21"/>
                      <w:lang w:val="en-US" w:eastAsia="zh-CN"/>
                    </w:rPr>
                  </w:pPr>
                  <w:r>
                    <w:rPr>
                      <w:rFonts w:hint="eastAsia"/>
                      <w:color w:val="auto"/>
                      <w:szCs w:val="21"/>
                      <w:lang w:val="en-US" w:eastAsia="zh-CN"/>
                    </w:rPr>
                    <w:t>9.62</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6</w:t>
                  </w:r>
                </w:p>
              </w:tc>
              <w:tc>
                <w:tcPr>
                  <w:tcW w:w="450" w:type="pct"/>
                  <w:vAlign w:val="center"/>
                </w:tcPr>
                <w:p w14:paraId="149B4616">
                  <w:pPr>
                    <w:autoSpaceDE w:val="0"/>
                    <w:autoSpaceDN w:val="0"/>
                    <w:adjustRightInd w:val="0"/>
                    <w:snapToGrid w:val="0"/>
                    <w:jc w:val="center"/>
                    <w:rPr>
                      <w:rFonts w:hint="default" w:eastAsia="宋体"/>
                      <w:color w:val="FF0000"/>
                      <w:szCs w:val="21"/>
                      <w:lang w:val="en-US" w:eastAsia="zh-CN"/>
                    </w:rPr>
                  </w:pPr>
                  <w:r>
                    <w:rPr>
                      <w:rFonts w:hint="eastAsia"/>
                      <w:color w:val="auto"/>
                      <w:szCs w:val="21"/>
                      <w:lang w:val="en-US" w:eastAsia="zh-CN"/>
                    </w:rPr>
                    <w:t>0.046</w:t>
                  </w:r>
                </w:p>
              </w:tc>
              <w:tc>
                <w:tcPr>
                  <w:tcW w:w="436" w:type="pct"/>
                  <w:vAlign w:val="center"/>
                </w:tcPr>
                <w:p w14:paraId="69B285EF">
                  <w:pPr>
                    <w:autoSpaceDE w:val="0"/>
                    <w:autoSpaceDN w:val="0"/>
                    <w:adjustRightInd w:val="0"/>
                    <w:snapToGrid w:val="0"/>
                    <w:jc w:val="center"/>
                    <w:rPr>
                      <w:rFonts w:hint="default" w:eastAsia="宋体"/>
                      <w:color w:val="FF0000"/>
                      <w:szCs w:val="21"/>
                      <w:lang w:val="en-US" w:eastAsia="zh-CN"/>
                    </w:rPr>
                  </w:pPr>
                  <w:r>
                    <w:rPr>
                      <w:rFonts w:hint="eastAsia"/>
                      <w:color w:val="auto"/>
                      <w:szCs w:val="21"/>
                      <w:lang w:val="en-US" w:eastAsia="zh-CN"/>
                    </w:rPr>
                    <w:t>0.051</w:t>
                  </w:r>
                </w:p>
              </w:tc>
            </w:tr>
            <w:tr w14:paraId="5DDB6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Align w:val="center"/>
                </w:tcPr>
                <w:p w14:paraId="5C117C36">
                  <w:pPr>
                    <w:autoSpaceDE w:val="0"/>
                    <w:autoSpaceDN w:val="0"/>
                    <w:adjustRightInd w:val="0"/>
                    <w:snapToGrid w:val="0"/>
                    <w:jc w:val="center"/>
                    <w:rPr>
                      <w:szCs w:val="21"/>
                    </w:rPr>
                  </w:pPr>
                  <w:r>
                    <w:rPr>
                      <w:rFonts w:hint="eastAsia"/>
                      <w:szCs w:val="21"/>
                    </w:rPr>
                    <w:t>苯乙烯</w:t>
                  </w:r>
                </w:p>
              </w:tc>
              <w:tc>
                <w:tcPr>
                  <w:tcW w:w="640" w:type="pct"/>
                  <w:vAlign w:val="center"/>
                </w:tcPr>
                <w:p w14:paraId="0D55B4B9">
                  <w:pPr>
                    <w:autoSpaceDE w:val="0"/>
                    <w:autoSpaceDN w:val="0"/>
                    <w:adjustRightInd w:val="0"/>
                    <w:snapToGrid w:val="0"/>
                    <w:jc w:val="center"/>
                    <w:rPr>
                      <w:color w:val="auto"/>
                      <w:szCs w:val="21"/>
                    </w:rPr>
                  </w:pPr>
                  <w:r>
                    <w:rPr>
                      <w:rFonts w:hint="eastAsia" w:cs="Times New Roman"/>
                      <w:color w:val="auto"/>
                      <w:kern w:val="0"/>
                      <w:sz w:val="21"/>
                      <w:szCs w:val="21"/>
                      <w:lang w:val="en-US" w:eastAsia="zh-CN" w:bidi="ar"/>
                    </w:rPr>
                    <w:t>0.0114</w:t>
                  </w:r>
                </w:p>
              </w:tc>
              <w:tc>
                <w:tcPr>
                  <w:tcW w:w="417" w:type="pct"/>
                  <w:vMerge w:val="continue"/>
                  <w:vAlign w:val="center"/>
                </w:tcPr>
                <w:p w14:paraId="2E649267">
                  <w:pPr>
                    <w:autoSpaceDE w:val="0"/>
                    <w:autoSpaceDN w:val="0"/>
                    <w:adjustRightInd w:val="0"/>
                    <w:snapToGrid w:val="0"/>
                    <w:jc w:val="center"/>
                    <w:rPr>
                      <w:color w:val="auto"/>
                      <w:szCs w:val="21"/>
                    </w:rPr>
                  </w:pPr>
                </w:p>
              </w:tc>
              <w:tc>
                <w:tcPr>
                  <w:tcW w:w="359" w:type="pct"/>
                  <w:vMerge w:val="continue"/>
                  <w:vAlign w:val="center"/>
                </w:tcPr>
                <w:p w14:paraId="3AB37F1E">
                  <w:pPr>
                    <w:autoSpaceDE w:val="0"/>
                    <w:autoSpaceDN w:val="0"/>
                    <w:adjustRightInd w:val="0"/>
                    <w:snapToGrid w:val="0"/>
                    <w:jc w:val="center"/>
                    <w:rPr>
                      <w:szCs w:val="21"/>
                    </w:rPr>
                  </w:pPr>
                </w:p>
              </w:tc>
              <w:tc>
                <w:tcPr>
                  <w:tcW w:w="241" w:type="pct"/>
                  <w:vMerge w:val="continue"/>
                  <w:vAlign w:val="center"/>
                </w:tcPr>
                <w:p w14:paraId="195D9D5F">
                  <w:pPr>
                    <w:autoSpaceDE w:val="0"/>
                    <w:autoSpaceDN w:val="0"/>
                    <w:adjustRightInd w:val="0"/>
                    <w:snapToGrid w:val="0"/>
                    <w:jc w:val="center"/>
                    <w:rPr>
                      <w:szCs w:val="21"/>
                    </w:rPr>
                  </w:pPr>
                </w:p>
              </w:tc>
              <w:tc>
                <w:tcPr>
                  <w:tcW w:w="219" w:type="pct"/>
                  <w:vMerge w:val="continue"/>
                  <w:vAlign w:val="center"/>
                </w:tcPr>
                <w:p w14:paraId="20AA590B">
                  <w:pPr>
                    <w:autoSpaceDE w:val="0"/>
                    <w:autoSpaceDN w:val="0"/>
                    <w:adjustRightInd w:val="0"/>
                    <w:snapToGrid w:val="0"/>
                    <w:jc w:val="center"/>
                    <w:rPr>
                      <w:szCs w:val="21"/>
                    </w:rPr>
                  </w:pPr>
                </w:p>
              </w:tc>
              <w:tc>
                <w:tcPr>
                  <w:tcW w:w="227" w:type="pct"/>
                  <w:vMerge w:val="continue"/>
                  <w:vAlign w:val="center"/>
                </w:tcPr>
                <w:p w14:paraId="0C62F6D7">
                  <w:pPr>
                    <w:autoSpaceDE w:val="0"/>
                    <w:autoSpaceDN w:val="0"/>
                    <w:adjustRightInd w:val="0"/>
                    <w:snapToGrid w:val="0"/>
                    <w:jc w:val="center"/>
                    <w:rPr>
                      <w:szCs w:val="21"/>
                    </w:rPr>
                  </w:pPr>
                </w:p>
              </w:tc>
              <w:tc>
                <w:tcPr>
                  <w:tcW w:w="329" w:type="pct"/>
                  <w:vMerge w:val="continue"/>
                  <w:vAlign w:val="center"/>
                </w:tcPr>
                <w:p w14:paraId="508F4853">
                  <w:pPr>
                    <w:wordWrap w:val="0"/>
                    <w:autoSpaceDE w:val="0"/>
                    <w:autoSpaceDN w:val="0"/>
                    <w:adjustRightInd w:val="0"/>
                    <w:snapToGrid w:val="0"/>
                    <w:jc w:val="center"/>
                    <w:rPr>
                      <w:szCs w:val="21"/>
                    </w:rPr>
                  </w:pPr>
                </w:p>
              </w:tc>
              <w:tc>
                <w:tcPr>
                  <w:tcW w:w="489" w:type="pct"/>
                  <w:vAlign w:val="center"/>
                </w:tcPr>
                <w:p w14:paraId="53DBD7CE">
                  <w:pPr>
                    <w:autoSpaceDE w:val="0"/>
                    <w:autoSpaceDN w:val="0"/>
                    <w:adjustRightInd w:val="0"/>
                    <w:snapToGrid w:val="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357</w:t>
                  </w:r>
                </w:p>
              </w:tc>
              <w:tc>
                <w:tcPr>
                  <w:tcW w:w="653" w:type="pct"/>
                  <w:vAlign w:val="center"/>
                </w:tcPr>
                <w:p w14:paraId="7BA29FC7">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0.0002</w:t>
                  </w:r>
                </w:p>
              </w:tc>
              <w:tc>
                <w:tcPr>
                  <w:tcW w:w="450" w:type="pct"/>
                  <w:vAlign w:val="center"/>
                </w:tcPr>
                <w:p w14:paraId="51675AC5">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1.026</w:t>
                  </w:r>
                </w:p>
              </w:tc>
              <w:tc>
                <w:tcPr>
                  <w:tcW w:w="436" w:type="pct"/>
                  <w:vAlign w:val="center"/>
                </w:tcPr>
                <w:p w14:paraId="7B55545D">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1.14</w:t>
                  </w:r>
                </w:p>
              </w:tc>
            </w:tr>
            <w:tr w14:paraId="1BF07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Align w:val="center"/>
                </w:tcPr>
                <w:p w14:paraId="2DFFC3E7">
                  <w:pPr>
                    <w:autoSpaceDE w:val="0"/>
                    <w:autoSpaceDN w:val="0"/>
                    <w:adjustRightInd w:val="0"/>
                    <w:snapToGrid w:val="0"/>
                    <w:jc w:val="center"/>
                    <w:rPr>
                      <w:szCs w:val="21"/>
                    </w:rPr>
                  </w:pPr>
                  <w:r>
                    <w:rPr>
                      <w:rFonts w:hint="eastAsia"/>
                      <w:szCs w:val="21"/>
                    </w:rPr>
                    <w:t>VOCs</w:t>
                  </w:r>
                </w:p>
              </w:tc>
              <w:tc>
                <w:tcPr>
                  <w:tcW w:w="640" w:type="pct"/>
                  <w:vAlign w:val="center"/>
                </w:tcPr>
                <w:p w14:paraId="32190E1A">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0.000146</w:t>
                  </w:r>
                </w:p>
              </w:tc>
              <w:tc>
                <w:tcPr>
                  <w:tcW w:w="417" w:type="pct"/>
                  <w:vAlign w:val="center"/>
                </w:tcPr>
                <w:p w14:paraId="2366D171">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53600</w:t>
                  </w:r>
                </w:p>
              </w:tc>
              <w:tc>
                <w:tcPr>
                  <w:tcW w:w="359" w:type="pct"/>
                  <w:vMerge w:val="continue"/>
                  <w:vAlign w:val="center"/>
                </w:tcPr>
                <w:p w14:paraId="1C39809C">
                  <w:pPr>
                    <w:autoSpaceDE w:val="0"/>
                    <w:autoSpaceDN w:val="0"/>
                    <w:adjustRightInd w:val="0"/>
                    <w:snapToGrid w:val="0"/>
                    <w:jc w:val="center"/>
                    <w:rPr>
                      <w:szCs w:val="21"/>
                    </w:rPr>
                  </w:pPr>
                </w:p>
              </w:tc>
              <w:tc>
                <w:tcPr>
                  <w:tcW w:w="241" w:type="pct"/>
                  <w:vAlign w:val="center"/>
                </w:tcPr>
                <w:p w14:paraId="5BB5D563">
                  <w:pPr>
                    <w:autoSpaceDE w:val="0"/>
                    <w:autoSpaceDN w:val="0"/>
                    <w:adjustRightInd w:val="0"/>
                    <w:snapToGrid w:val="0"/>
                    <w:jc w:val="center"/>
                    <w:rPr>
                      <w:szCs w:val="21"/>
                    </w:rPr>
                  </w:pPr>
                  <w:r>
                    <w:rPr>
                      <w:rFonts w:hint="eastAsia"/>
                      <w:szCs w:val="21"/>
                    </w:rPr>
                    <w:t>1</w:t>
                  </w:r>
                </w:p>
              </w:tc>
              <w:tc>
                <w:tcPr>
                  <w:tcW w:w="219" w:type="pct"/>
                  <w:vAlign w:val="center"/>
                </w:tcPr>
                <w:p w14:paraId="1F559970">
                  <w:pPr>
                    <w:autoSpaceDE w:val="0"/>
                    <w:autoSpaceDN w:val="0"/>
                    <w:adjustRightInd w:val="0"/>
                    <w:snapToGrid w:val="0"/>
                    <w:jc w:val="center"/>
                    <w:rPr>
                      <w:szCs w:val="21"/>
                    </w:rPr>
                  </w:pPr>
                  <w:r>
                    <w:rPr>
                      <w:rFonts w:hint="eastAsia"/>
                      <w:szCs w:val="21"/>
                      <w:lang w:val="en-US" w:eastAsia="zh-CN"/>
                    </w:rPr>
                    <w:t>15</w:t>
                  </w:r>
                  <w:r>
                    <w:rPr>
                      <w:rFonts w:hint="eastAsia"/>
                      <w:szCs w:val="21"/>
                    </w:rPr>
                    <w:t>m</w:t>
                  </w:r>
                </w:p>
              </w:tc>
              <w:tc>
                <w:tcPr>
                  <w:tcW w:w="227" w:type="pct"/>
                  <w:vAlign w:val="center"/>
                </w:tcPr>
                <w:p w14:paraId="1FD88706">
                  <w:pPr>
                    <w:autoSpaceDE w:val="0"/>
                    <w:autoSpaceDN w:val="0"/>
                    <w:adjustRightInd w:val="0"/>
                    <w:snapToGrid w:val="0"/>
                    <w:jc w:val="center"/>
                    <w:rPr>
                      <w:szCs w:val="21"/>
                    </w:rPr>
                  </w:pPr>
                  <w:r>
                    <w:rPr>
                      <w:rFonts w:hint="eastAsia"/>
                      <w:szCs w:val="21"/>
                    </w:rPr>
                    <w:t>1m</w:t>
                  </w:r>
                </w:p>
              </w:tc>
              <w:tc>
                <w:tcPr>
                  <w:tcW w:w="329" w:type="pct"/>
                  <w:vAlign w:val="center"/>
                </w:tcPr>
                <w:p w14:paraId="6594B558">
                  <w:pPr>
                    <w:wordWrap w:val="0"/>
                    <w:autoSpaceDE w:val="0"/>
                    <w:autoSpaceDN w:val="0"/>
                    <w:adjustRightInd w:val="0"/>
                    <w:snapToGrid w:val="0"/>
                    <w:jc w:val="center"/>
                    <w:rPr>
                      <w:rFonts w:hint="eastAsia" w:eastAsia="宋体"/>
                      <w:color w:val="FF0000"/>
                      <w:szCs w:val="21"/>
                      <w:lang w:eastAsia="zh-CN"/>
                    </w:rPr>
                  </w:pPr>
                  <w:r>
                    <w:rPr>
                      <w:rFonts w:hint="eastAsia"/>
                      <w:color w:val="auto"/>
                      <w:szCs w:val="21"/>
                    </w:rPr>
                    <w:t>DA00</w:t>
                  </w:r>
                  <w:r>
                    <w:rPr>
                      <w:rFonts w:hint="eastAsia"/>
                      <w:color w:val="auto"/>
                      <w:szCs w:val="21"/>
                      <w:lang w:val="en-US" w:eastAsia="zh-CN"/>
                    </w:rPr>
                    <w:t>4</w:t>
                  </w:r>
                </w:p>
              </w:tc>
              <w:tc>
                <w:tcPr>
                  <w:tcW w:w="489" w:type="pct"/>
                  <w:vAlign w:val="center"/>
                </w:tcPr>
                <w:p w14:paraId="18DE6A4C">
                  <w:pPr>
                    <w:autoSpaceDE w:val="0"/>
                    <w:autoSpaceDN w:val="0"/>
                    <w:adjustRightInd w:val="0"/>
                    <w:snapToGrid w:val="0"/>
                    <w:jc w:val="center"/>
                    <w:rPr>
                      <w:rFonts w:hint="default" w:eastAsia="宋体"/>
                      <w:color w:val="FF0000"/>
                      <w:szCs w:val="21"/>
                      <w:lang w:val="en-US" w:eastAsia="zh-CN"/>
                    </w:rPr>
                  </w:pPr>
                  <w:r>
                    <w:rPr>
                      <w:rFonts w:hint="eastAsia"/>
                      <w:color w:val="auto"/>
                      <w:szCs w:val="21"/>
                      <w:lang w:val="en-US" w:eastAsia="zh-CN"/>
                    </w:rPr>
                    <w:t>4.09</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4</w:t>
                  </w:r>
                </w:p>
              </w:tc>
              <w:tc>
                <w:tcPr>
                  <w:tcW w:w="653" w:type="pct"/>
                  <w:vAlign w:val="center"/>
                </w:tcPr>
                <w:p w14:paraId="126A19FA">
                  <w:pPr>
                    <w:autoSpaceDE w:val="0"/>
                    <w:autoSpaceDN w:val="0"/>
                    <w:adjustRightInd w:val="0"/>
                    <w:snapToGrid w:val="0"/>
                    <w:jc w:val="center"/>
                    <w:rPr>
                      <w:rFonts w:hint="default" w:eastAsia="宋体"/>
                      <w:color w:val="FF0000"/>
                      <w:szCs w:val="21"/>
                      <w:lang w:val="en-US" w:eastAsia="zh-CN"/>
                    </w:rPr>
                  </w:pPr>
                  <w:r>
                    <w:rPr>
                      <w:rFonts w:hint="eastAsia"/>
                      <w:color w:val="auto"/>
                      <w:szCs w:val="21"/>
                      <w:lang w:val="en-US" w:eastAsia="zh-CN"/>
                    </w:rPr>
                    <w:t>2.19</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5</w:t>
                  </w:r>
                </w:p>
              </w:tc>
              <w:tc>
                <w:tcPr>
                  <w:tcW w:w="450" w:type="pct"/>
                  <w:vAlign w:val="center"/>
                </w:tcPr>
                <w:p w14:paraId="11A37D8D">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0.013</w:t>
                  </w:r>
                </w:p>
              </w:tc>
              <w:tc>
                <w:tcPr>
                  <w:tcW w:w="436" w:type="pct"/>
                  <w:vAlign w:val="center"/>
                </w:tcPr>
                <w:p w14:paraId="6A4D0A01">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0.0146</w:t>
                  </w:r>
                </w:p>
              </w:tc>
            </w:tr>
          </w:tbl>
          <w:p w14:paraId="6ED4B781">
            <w:pPr>
              <w:pStyle w:val="5"/>
              <w:spacing w:line="360" w:lineRule="auto"/>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b/>
                <w:sz w:val="21"/>
                <w:szCs w:val="21"/>
              </w:rPr>
              <w:t>注：</w:t>
            </w:r>
            <w:r>
              <w:rPr>
                <w:rFonts w:hint="eastAsia" w:ascii="Times New Roman" w:hAnsi="Times New Roman" w:cs="Times New Roman"/>
                <w:b/>
                <w:sz w:val="21"/>
                <w:szCs w:val="21"/>
                <w:lang w:val="en-US" w:eastAsia="zh-CN"/>
              </w:rPr>
              <w:t>注塑</w:t>
            </w:r>
            <w:r>
              <w:rPr>
                <w:rFonts w:hint="default" w:ascii="Times New Roman" w:hAnsi="Times New Roman" w:cs="Times New Roman"/>
                <w:b/>
                <w:sz w:val="21"/>
                <w:szCs w:val="21"/>
              </w:rPr>
              <w:t>时间按</w:t>
            </w:r>
            <w:r>
              <w:rPr>
                <w:rFonts w:hint="eastAsia" w:ascii="Times New Roman" w:hAnsi="Times New Roman" w:cs="Times New Roman"/>
                <w:b/>
                <w:sz w:val="21"/>
                <w:szCs w:val="21"/>
                <w:lang w:val="en-US" w:eastAsia="zh-CN"/>
              </w:rPr>
              <w:t>16</w:t>
            </w:r>
            <w:r>
              <w:rPr>
                <w:rFonts w:hint="default" w:ascii="Times New Roman" w:hAnsi="Times New Roman" w:cs="Times New Roman"/>
                <w:b/>
                <w:sz w:val="21"/>
                <w:szCs w:val="21"/>
              </w:rPr>
              <w:t>h/d计</w:t>
            </w:r>
            <w:r>
              <w:rPr>
                <w:rFonts w:hint="default" w:ascii="Times New Roman" w:hAnsi="Times New Roman" w:cs="Times New Roman"/>
                <w:b/>
                <w:sz w:val="21"/>
                <w:szCs w:val="21"/>
                <w:lang w:eastAsia="zh-CN"/>
              </w:rPr>
              <w:t>，</w:t>
            </w:r>
            <w:r>
              <w:rPr>
                <w:rFonts w:hint="default" w:ascii="Times New Roman" w:hAnsi="Times New Roman" w:cs="Times New Roman"/>
                <w:b/>
                <w:sz w:val="21"/>
                <w:szCs w:val="21"/>
                <w:lang w:val="en-US" w:eastAsia="zh-CN"/>
              </w:rPr>
              <w:t>焊接时间按</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h/d计</w:t>
            </w:r>
            <w:r>
              <w:rPr>
                <w:rFonts w:hint="default" w:ascii="Times New Roman" w:hAnsi="Times New Roman" w:cs="Times New Roman"/>
                <w:b/>
                <w:sz w:val="21"/>
                <w:szCs w:val="21"/>
                <w:lang w:eastAsia="zh-CN"/>
              </w:rPr>
              <w:t>。</w:t>
            </w:r>
            <w:r>
              <w:rPr>
                <w:rFonts w:hint="eastAsia" w:ascii="Times New Roman" w:hAnsi="Times New Roman" w:cs="Times New Roman"/>
                <w:b/>
                <w:sz w:val="21"/>
                <w:szCs w:val="21"/>
                <w:lang w:val="en-US" w:eastAsia="zh-CN"/>
              </w:rPr>
              <w:t>此处排气筒DA001风量为注塑工序风量，没加上破碎工序风量；另排气筒DA004总风量为53600。</w:t>
            </w:r>
          </w:p>
          <w:p w14:paraId="5D4A979A">
            <w:pPr>
              <w:keepNext w:val="0"/>
              <w:keepLines w:val="0"/>
              <w:widowControl/>
              <w:suppressLineNumbers w:val="0"/>
              <w:spacing w:line="360" w:lineRule="auto"/>
              <w:jc w:val="left"/>
              <w:rPr>
                <w:rFonts w:hint="eastAsia" w:eastAsia="宋体"/>
                <w:b/>
                <w:bCs/>
                <w:sz w:val="21"/>
                <w:szCs w:val="21"/>
                <w:lang w:eastAsia="zh-CN"/>
              </w:rPr>
            </w:pPr>
            <w:r>
              <w:rPr>
                <w:rFonts w:hint="eastAsia"/>
                <w:b/>
                <w:bCs/>
                <w:sz w:val="21"/>
                <w:szCs w:val="21"/>
                <w:lang w:eastAsia="zh-CN"/>
              </w:rPr>
              <w:t>（</w:t>
            </w:r>
            <w:r>
              <w:rPr>
                <w:rFonts w:hint="eastAsia"/>
                <w:b/>
                <w:bCs/>
                <w:sz w:val="21"/>
                <w:szCs w:val="21"/>
                <w:lang w:val="en-US" w:eastAsia="zh-CN"/>
              </w:rPr>
              <w:t>2</w:t>
            </w:r>
            <w:r>
              <w:rPr>
                <w:rFonts w:hint="eastAsia"/>
                <w:b/>
                <w:bCs/>
                <w:sz w:val="21"/>
                <w:szCs w:val="21"/>
                <w:lang w:eastAsia="zh-CN"/>
              </w:rPr>
              <w:t>）</w:t>
            </w:r>
            <w:r>
              <w:rPr>
                <w:rFonts w:hint="eastAsia"/>
                <w:b/>
                <w:bCs/>
                <w:snapToGrid w:val="0"/>
                <w:kern w:val="0"/>
                <w:sz w:val="21"/>
                <w:szCs w:val="21"/>
                <w:lang w:val="en-US" w:eastAsia="zh-CN"/>
              </w:rPr>
              <w:t>喷涂废气</w:t>
            </w:r>
          </w:p>
          <w:p w14:paraId="114C3D21">
            <w:pPr>
              <w:autoSpaceDE w:val="0"/>
              <w:autoSpaceDN w:val="0"/>
              <w:spacing w:line="360" w:lineRule="auto"/>
              <w:ind w:firstLine="422" w:firstLineChars="200"/>
              <w:rPr>
                <w:b/>
                <w:sz w:val="24"/>
                <w:szCs w:val="24"/>
              </w:rPr>
            </w:pPr>
            <w:r>
              <w:rPr>
                <w:rFonts w:hint="eastAsia"/>
                <w:b/>
                <w:bCs/>
                <w:sz w:val="21"/>
                <w:szCs w:val="21"/>
                <w:lang w:val="en-US" w:eastAsia="zh-CN"/>
              </w:rPr>
              <w:t>①</w:t>
            </w:r>
            <w:r>
              <w:rPr>
                <w:rFonts w:hint="eastAsia"/>
                <w:b/>
                <w:sz w:val="21"/>
                <w:szCs w:val="21"/>
              </w:rPr>
              <w:t>漆雾</w:t>
            </w:r>
          </w:p>
          <w:p w14:paraId="01C3AA60">
            <w:pPr>
              <w:keepNext w:val="0"/>
              <w:keepLines w:val="0"/>
              <w:widowControl/>
              <w:suppressLineNumbers w:val="0"/>
              <w:spacing w:line="360" w:lineRule="auto"/>
              <w:ind w:firstLine="482" w:firstLineChars="200"/>
              <w:jc w:val="left"/>
              <w:rPr>
                <w:rFonts w:hint="eastAsia"/>
                <w:b/>
                <w:bCs/>
                <w:sz w:val="21"/>
                <w:szCs w:val="21"/>
                <w:lang w:val="en-US" w:eastAsia="zh-CN"/>
              </w:rPr>
            </w:pPr>
            <w:r>
              <w:rPr>
                <w:rFonts w:hint="eastAsia"/>
                <w:b/>
                <w:sz w:val="24"/>
                <w:szCs w:val="24"/>
                <w:lang w:val="en-US" w:eastAsia="zh-CN"/>
              </w:rPr>
              <w:t>A、</w:t>
            </w:r>
            <w:r>
              <w:rPr>
                <w:rFonts w:hint="eastAsia"/>
                <w:b/>
                <w:bCs/>
                <w:sz w:val="21"/>
                <w:szCs w:val="21"/>
                <w:lang w:val="en-US" w:eastAsia="zh-CN"/>
              </w:rPr>
              <w:t>漆雾产生情况</w:t>
            </w:r>
          </w:p>
          <w:p w14:paraId="02285844">
            <w:pPr>
              <w:keepNext w:val="0"/>
              <w:keepLines w:val="0"/>
              <w:widowControl/>
              <w:suppressLineNumbers w:val="0"/>
              <w:spacing w:line="360" w:lineRule="auto"/>
              <w:ind w:firstLine="420" w:firstLineChars="200"/>
              <w:jc w:val="left"/>
              <w:rPr>
                <w:rFonts w:hint="eastAsia" w:cs="Times New Roman"/>
                <w:color w:val="auto"/>
                <w:sz w:val="21"/>
                <w:szCs w:val="21"/>
                <w:highlight w:val="none"/>
                <w:lang w:eastAsia="zh-CN"/>
              </w:rPr>
            </w:pPr>
            <w:r>
              <w:rPr>
                <w:rFonts w:hint="eastAsia" w:hAnsi="Times New Roman" w:eastAsia="宋体" w:cs="Times New Roman"/>
                <w:color w:val="auto"/>
                <w:sz w:val="21"/>
                <w:szCs w:val="21"/>
                <w:lang w:val="en-US" w:eastAsia="zh-CN"/>
              </w:rPr>
              <w:t>根</w:t>
            </w:r>
            <w:r>
              <w:rPr>
                <w:rFonts w:hint="eastAsia" w:hAnsi="Times New Roman" w:eastAsia="宋体" w:cs="Times New Roman"/>
                <w:color w:val="auto"/>
                <w:sz w:val="21"/>
                <w:szCs w:val="21"/>
                <w:highlight w:val="none"/>
                <w:lang w:val="en-US" w:eastAsia="zh-CN"/>
              </w:rPr>
              <w:t>据前文，项目</w:t>
            </w:r>
            <w:r>
              <w:rPr>
                <w:rFonts w:hint="default" w:ascii="Times New Roman" w:hAnsi="Times New Roman" w:eastAsia="宋体" w:cs="Times New Roman"/>
                <w:color w:val="auto"/>
                <w:sz w:val="21"/>
                <w:szCs w:val="21"/>
                <w:highlight w:val="none"/>
                <w:lang w:eastAsia="zh-CN"/>
              </w:rPr>
              <w:t>喷漆量为</w:t>
            </w:r>
            <w:r>
              <w:rPr>
                <w:rFonts w:hint="eastAsia" w:cs="Times New Roman"/>
                <w:color w:val="auto"/>
                <w:sz w:val="21"/>
                <w:szCs w:val="21"/>
                <w:highlight w:val="none"/>
                <w:lang w:val="en-US" w:eastAsia="zh-CN"/>
              </w:rPr>
              <w:t>15.82</w:t>
            </w:r>
            <w:r>
              <w:rPr>
                <w:rFonts w:hint="default" w:ascii="Times New Roman" w:hAnsi="Times New Roman" w:eastAsia="宋体" w:cs="Times New Roman"/>
                <w:color w:val="auto"/>
                <w:sz w:val="21"/>
                <w:szCs w:val="21"/>
                <w:highlight w:val="none"/>
                <w:lang w:eastAsia="zh-CN"/>
              </w:rPr>
              <w:t>t/a(含稀释剂、固化剂）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lang w:eastAsia="zh-CN"/>
              </w:rPr>
              <w:t>喷漆着漆率70%</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固体分含量为</w:t>
            </w:r>
            <w:r>
              <w:rPr>
                <w:rFonts w:hint="eastAsia" w:cs="Times New Roman"/>
                <w:color w:val="auto"/>
                <w:sz w:val="21"/>
                <w:szCs w:val="21"/>
                <w:lang w:val="en-US" w:eastAsia="zh-CN"/>
              </w:rPr>
              <w:t>37.5</w:t>
            </w:r>
            <w:r>
              <w:rPr>
                <w:rFonts w:hint="eastAsia" w:ascii="Times New Roman" w:hAnsi="Times New Roman" w:eastAsia="宋体" w:cs="Times New Roman"/>
                <w:color w:val="auto"/>
                <w:sz w:val="21"/>
                <w:szCs w:val="21"/>
                <w:lang w:val="en-US" w:eastAsia="zh-CN"/>
              </w:rPr>
              <w:t>%~7</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w:t>
            </w:r>
            <w:r>
              <w:rPr>
                <w:rFonts w:hint="eastAsia" w:ascii="宋体" w:hAnsi="宋体" w:eastAsia="宋体" w:cs="宋体"/>
                <w:color w:val="000000"/>
                <w:kern w:val="0"/>
                <w:sz w:val="21"/>
                <w:szCs w:val="21"/>
                <w:lang w:val="en-US" w:eastAsia="zh-CN" w:bidi="ar"/>
              </w:rPr>
              <w:t>通过同类型企业相关资料类比分析，喷涂废气中漆雾产生量按涂料中固体份的</w:t>
            </w:r>
            <w:r>
              <w:rPr>
                <w:rFonts w:hint="default" w:ascii="Times New Roman" w:hAnsi="Times New Roman" w:eastAsia="宋体" w:cs="Times New Roman"/>
                <w:color w:val="000000"/>
                <w:kern w:val="0"/>
                <w:sz w:val="21"/>
                <w:szCs w:val="21"/>
                <w:lang w:val="en-US" w:eastAsia="zh-CN" w:bidi="ar"/>
              </w:rPr>
              <w:t>30%</w:t>
            </w:r>
            <w:r>
              <w:rPr>
                <w:rFonts w:hint="eastAsia" w:ascii="宋体" w:hAnsi="宋体" w:eastAsia="宋体" w:cs="宋体"/>
                <w:color w:val="000000"/>
                <w:kern w:val="0"/>
                <w:sz w:val="21"/>
                <w:szCs w:val="21"/>
                <w:lang w:val="en-US" w:eastAsia="zh-CN" w:bidi="ar"/>
              </w:rPr>
              <w:t>计</w:t>
            </w:r>
            <w:r>
              <w:rPr>
                <w:rFonts w:hint="eastAsia" w:eastAsia="宋体"/>
                <w:sz w:val="21"/>
                <w:szCs w:val="21"/>
                <w:lang w:eastAsia="zh-CN"/>
              </w:rPr>
              <w:t>，</w:t>
            </w:r>
            <w:r>
              <w:rPr>
                <w:rFonts w:hint="eastAsia" w:eastAsia="宋体"/>
                <w:sz w:val="21"/>
                <w:szCs w:val="21"/>
                <w:lang w:val="en-US" w:eastAsia="zh-CN"/>
              </w:rPr>
              <w:t>则</w:t>
            </w:r>
            <w:r>
              <w:rPr>
                <w:rFonts w:hint="default" w:ascii="Times New Roman" w:hAnsi="Times New Roman" w:eastAsia="宋体" w:cs="Times New Roman"/>
                <w:color w:val="auto"/>
                <w:sz w:val="21"/>
                <w:szCs w:val="21"/>
                <w:highlight w:val="none"/>
                <w:lang w:eastAsia="zh-CN"/>
              </w:rPr>
              <w:t>漆雾产生量</w:t>
            </w:r>
            <w:r>
              <w:rPr>
                <w:rFonts w:hint="eastAsia" w:cs="Times New Roman"/>
                <w:color w:val="auto"/>
                <w:sz w:val="21"/>
                <w:szCs w:val="21"/>
                <w:highlight w:val="none"/>
                <w:lang w:val="en-US" w:eastAsia="zh-CN"/>
              </w:rPr>
              <w:t>2.02</w:t>
            </w:r>
            <w:r>
              <w:rPr>
                <w:rFonts w:hint="default" w:ascii="Times New Roman" w:hAnsi="Times New Roman" w:eastAsia="宋体" w:cs="Times New Roman"/>
                <w:color w:val="auto"/>
                <w:sz w:val="21"/>
                <w:szCs w:val="21"/>
                <w:highlight w:val="none"/>
                <w:lang w:eastAsia="zh-CN"/>
              </w:rPr>
              <w:t>t/a</w:t>
            </w:r>
            <w:r>
              <w:rPr>
                <w:rFonts w:hint="eastAsia"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产生速率</w:t>
            </w:r>
            <w:r>
              <w:rPr>
                <w:rFonts w:hint="eastAsia"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4206</w:t>
            </w:r>
            <w:r>
              <w:rPr>
                <w:rFonts w:hint="default" w:ascii="Times New Roman" w:hAnsi="Times New Roman" w:eastAsia="宋体" w:cs="Times New Roman"/>
                <w:color w:val="auto"/>
                <w:sz w:val="21"/>
                <w:szCs w:val="21"/>
                <w:highlight w:val="none"/>
                <w:lang w:eastAsia="zh-CN"/>
              </w:rPr>
              <w:t>kg/h</w:t>
            </w:r>
            <w:r>
              <w:rPr>
                <w:rFonts w:hint="eastAsia" w:cs="Times New Roman"/>
                <w:color w:val="auto"/>
                <w:sz w:val="21"/>
                <w:szCs w:val="21"/>
                <w:highlight w:val="none"/>
                <w:lang w:eastAsia="zh-CN"/>
              </w:rPr>
              <w:t>。</w:t>
            </w:r>
          </w:p>
          <w:p w14:paraId="51541B7B">
            <w:pPr>
              <w:keepNext w:val="0"/>
              <w:keepLines w:val="0"/>
              <w:widowControl/>
              <w:suppressLineNumbers w:val="0"/>
              <w:spacing w:line="360" w:lineRule="auto"/>
              <w:ind w:firstLine="422" w:firstLineChars="200"/>
              <w:jc w:val="left"/>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B、漆雾处理措施</w:t>
            </w:r>
          </w:p>
          <w:p w14:paraId="3BA5DD16">
            <w:pPr>
              <w:keepNext w:val="0"/>
              <w:keepLines w:val="0"/>
              <w:widowControl/>
              <w:suppressLineNumbers w:val="0"/>
              <w:spacing w:line="360" w:lineRule="auto"/>
              <w:ind w:firstLine="420" w:firstLineChars="200"/>
              <w:jc w:val="left"/>
              <w:rPr>
                <w:sz w:val="21"/>
                <w:szCs w:val="21"/>
              </w:rPr>
            </w:pPr>
            <w:r>
              <w:rPr>
                <w:sz w:val="21"/>
                <w:szCs w:val="21"/>
              </w:rPr>
              <w:t>项目喷漆时，油漆中</w:t>
            </w:r>
            <w:r>
              <w:rPr>
                <w:rFonts w:hint="eastAsia"/>
                <w:sz w:val="21"/>
                <w:szCs w:val="21"/>
              </w:rPr>
              <w:t>固体分</w:t>
            </w:r>
            <w:r>
              <w:rPr>
                <w:sz w:val="21"/>
                <w:szCs w:val="21"/>
              </w:rPr>
              <w:t>会形成漆雾弥散在喷</w:t>
            </w:r>
            <w:r>
              <w:rPr>
                <w:rFonts w:hint="eastAsia"/>
                <w:sz w:val="21"/>
                <w:szCs w:val="21"/>
                <w:lang w:val="en-US" w:eastAsia="zh-CN"/>
              </w:rPr>
              <w:t>涂</w:t>
            </w:r>
            <w:r>
              <w:rPr>
                <w:sz w:val="21"/>
                <w:szCs w:val="21"/>
              </w:rPr>
              <w:t>房内，但喷漆阶段，漆房处于全密闭状态，漆雾不会外泄，会随着抽风系统</w:t>
            </w:r>
            <w:r>
              <w:rPr>
                <w:rFonts w:hint="eastAsia" w:ascii="宋体" w:hAnsi="宋体" w:eastAsia="宋体" w:cs="宋体"/>
                <w:color w:val="000000"/>
                <w:kern w:val="0"/>
                <w:sz w:val="21"/>
                <w:szCs w:val="21"/>
                <w:lang w:val="en-US" w:eastAsia="zh-CN" w:bidi="ar"/>
              </w:rPr>
              <w:t>气迅速引至地板格栅以下的水旋器内（各喷漆房下方设有循环过滤池），从溢水盘溢流到水旋器内的水在高速气流的作用下被雾化后与进入到水旋器内的气流充分混合，将其中的大部分漆雾带到水中，剩下的通过</w:t>
            </w:r>
            <w:r>
              <w:rPr>
                <w:rFonts w:hint="eastAsia" w:ascii="Times New Roman" w:hAnsi="Times New Roman" w:eastAsia="宋体" w:cs="Times New Roman"/>
                <w:color w:val="auto"/>
                <w:sz w:val="21"/>
                <w:szCs w:val="21"/>
                <w:lang w:val="en-US" w:eastAsia="zh-CN"/>
              </w:rPr>
              <w:t>过滤棉去除水分后进入活性炭装置进行处置，最终经15m排气筒（DA002~DA007）</w:t>
            </w:r>
            <w:r>
              <w:rPr>
                <w:rFonts w:hint="eastAsia" w:ascii="宋体" w:hAnsi="宋体" w:eastAsia="宋体" w:cs="宋体"/>
                <w:color w:val="000000"/>
                <w:kern w:val="0"/>
                <w:sz w:val="21"/>
                <w:szCs w:val="21"/>
                <w:lang w:val="en-US" w:eastAsia="zh-CN" w:bidi="ar"/>
              </w:rPr>
              <w:t>。</w:t>
            </w:r>
          </w:p>
          <w:p w14:paraId="7EDFB217">
            <w:pPr>
              <w:keepNext w:val="0"/>
              <w:keepLines w:val="0"/>
              <w:widowControl/>
              <w:suppressLineNumbers w:val="0"/>
              <w:spacing w:line="360" w:lineRule="auto"/>
              <w:ind w:firstLine="420" w:firstLineChars="200"/>
              <w:jc w:val="left"/>
              <w:rPr>
                <w:rFonts w:hint="default"/>
                <w:sz w:val="21"/>
                <w:szCs w:val="21"/>
                <w:lang w:val="en-US"/>
              </w:rPr>
            </w:pPr>
            <w:r>
              <w:rPr>
                <w:rFonts w:hint="eastAsia" w:hAnsi="Times New Roman" w:eastAsia="宋体" w:cs="Times New Roman"/>
                <w:color w:val="auto"/>
                <w:sz w:val="21"/>
                <w:szCs w:val="21"/>
                <w:highlight w:val="none"/>
                <w:lang w:val="en-US" w:eastAsia="zh-CN"/>
              </w:rPr>
              <w:t>水帘水洗柜除漆雾装置</w:t>
            </w:r>
            <w:r>
              <w:rPr>
                <w:rFonts w:hint="eastAsia" w:hAnsi="Times New Roman" w:eastAsia="宋体" w:cs="Times New Roman"/>
                <w:color w:val="auto"/>
                <w:sz w:val="21"/>
                <w:szCs w:val="21"/>
                <w:lang w:val="en-US" w:eastAsia="zh-CN"/>
              </w:rPr>
              <w:t>的收集效率为95%，水洗柜除</w:t>
            </w:r>
            <w:r>
              <w:rPr>
                <w:rFonts w:hint="default" w:ascii="Times New Roman" w:hAnsi="Times New Roman" w:eastAsia="宋体" w:cs="Times New Roman"/>
                <w:color w:val="auto"/>
                <w:sz w:val="21"/>
                <w:szCs w:val="21"/>
                <w:lang w:eastAsia="zh-CN"/>
              </w:rPr>
              <w:t>漆雾装置</w:t>
            </w:r>
            <w:r>
              <w:rPr>
                <w:rFonts w:hint="eastAsia" w:cs="Times New Roman"/>
                <w:color w:val="auto"/>
                <w:sz w:val="21"/>
                <w:szCs w:val="21"/>
                <w:lang w:val="en-US" w:eastAsia="zh-CN"/>
              </w:rPr>
              <w:t>+吸附棉的</w:t>
            </w:r>
            <w:r>
              <w:rPr>
                <w:rFonts w:hint="eastAsia" w:hAnsi="Times New Roman" w:eastAsia="宋体" w:cs="Times New Roman"/>
                <w:color w:val="auto"/>
                <w:sz w:val="21"/>
                <w:szCs w:val="21"/>
                <w:lang w:val="en-US" w:eastAsia="zh-CN"/>
              </w:rPr>
              <w:t>漆雾处理效</w:t>
            </w:r>
            <w:r>
              <w:rPr>
                <w:rFonts w:hint="default" w:ascii="Times New Roman" w:hAnsi="Times New Roman" w:eastAsia="宋体" w:cs="Times New Roman"/>
                <w:color w:val="auto"/>
                <w:sz w:val="21"/>
                <w:szCs w:val="21"/>
                <w:lang w:eastAsia="zh-CN"/>
              </w:rPr>
              <w:t>率按9</w:t>
            </w:r>
            <w:r>
              <w:rPr>
                <w:rFonts w:hint="eastAsia"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eastAsia="zh-CN"/>
              </w:rPr>
              <w:t>%计</w:t>
            </w:r>
            <w:r>
              <w:rPr>
                <w:rFonts w:hint="eastAsia" w:cs="Times New Roman"/>
                <w:color w:val="auto"/>
                <w:sz w:val="21"/>
                <w:szCs w:val="21"/>
                <w:lang w:eastAsia="zh-CN"/>
              </w:rPr>
              <w:t>。</w:t>
            </w:r>
            <w:r>
              <w:rPr>
                <w:rFonts w:hint="eastAsia" w:hAnsi="Times New Roman" w:eastAsia="宋体" w:cs="Times New Roman"/>
                <w:color w:val="auto"/>
                <w:sz w:val="21"/>
                <w:szCs w:val="21"/>
                <w:highlight w:val="none"/>
                <w:lang w:val="en-US" w:eastAsia="zh-CN"/>
              </w:rPr>
              <w:t>漆雾经水帘水洗柜除漆雾装置（</w:t>
            </w:r>
            <w:r>
              <w:rPr>
                <w:rFonts w:hint="eastAsia" w:cs="Times New Roman"/>
                <w:color w:val="auto"/>
                <w:sz w:val="21"/>
                <w:szCs w:val="21"/>
                <w:highlight w:val="none"/>
                <w:lang w:val="en-US" w:eastAsia="zh-CN"/>
              </w:rPr>
              <w:t>1</w:t>
            </w:r>
            <w:r>
              <w:rPr>
                <w:rFonts w:hint="eastAsia" w:hAnsi="Times New Roman" w:eastAsia="宋体" w:cs="Times New Roman"/>
                <w:color w:val="auto"/>
                <w:sz w:val="21"/>
                <w:szCs w:val="21"/>
                <w:highlight w:val="none"/>
                <w:lang w:val="en-US" w:eastAsia="zh-CN"/>
              </w:rPr>
              <w:t>6套）</w:t>
            </w:r>
            <w:r>
              <w:rPr>
                <w:rFonts w:hint="eastAsia" w:cs="Times New Roman"/>
                <w:color w:val="auto"/>
                <w:sz w:val="21"/>
                <w:szCs w:val="21"/>
                <w:lang w:val="en-US" w:eastAsia="zh-CN"/>
              </w:rPr>
              <w:t>+过滤棉</w:t>
            </w:r>
            <w:r>
              <w:rPr>
                <w:rFonts w:hint="eastAsia" w:hAnsi="Times New Roman" w:eastAsia="宋体" w:cs="Times New Roman"/>
                <w:color w:val="auto"/>
                <w:sz w:val="21"/>
                <w:szCs w:val="21"/>
                <w:highlight w:val="none"/>
                <w:lang w:val="en-US" w:eastAsia="zh-CN"/>
              </w:rPr>
              <w:t>处理后的有组织</w:t>
            </w:r>
            <w:r>
              <w:rPr>
                <w:rFonts w:hint="default" w:ascii="Times New Roman" w:hAnsi="Times New Roman" w:eastAsia="宋体" w:cs="Times New Roman"/>
                <w:color w:val="auto"/>
                <w:sz w:val="21"/>
                <w:szCs w:val="21"/>
                <w:highlight w:val="none"/>
                <w:lang w:eastAsia="zh-CN"/>
              </w:rPr>
              <w:t>排放量</w:t>
            </w:r>
            <w:r>
              <w:rPr>
                <w:rFonts w:hint="eastAsia"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0.096</w:t>
            </w:r>
            <w:r>
              <w:rPr>
                <w:rFonts w:hint="default" w:ascii="Times New Roman" w:hAnsi="Times New Roman" w:eastAsia="宋体" w:cs="Times New Roman"/>
                <w:color w:val="auto"/>
                <w:sz w:val="21"/>
                <w:szCs w:val="21"/>
                <w:highlight w:val="none"/>
                <w:lang w:eastAsia="zh-CN"/>
              </w:rPr>
              <w:t>t/a</w:t>
            </w:r>
            <w:r>
              <w:rPr>
                <w:rFonts w:hint="eastAsia" w:hAnsi="Times New Roman" w:eastAsia="宋体" w:cs="Times New Roman"/>
                <w:color w:val="auto"/>
                <w:sz w:val="21"/>
                <w:szCs w:val="21"/>
                <w:highlight w:val="none"/>
                <w:lang w:eastAsia="zh-CN"/>
              </w:rPr>
              <w:t>，</w:t>
            </w:r>
            <w:r>
              <w:rPr>
                <w:rFonts w:hint="eastAsia"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lang w:eastAsia="zh-CN"/>
              </w:rPr>
              <w:t>速率</w:t>
            </w:r>
            <w:r>
              <w:rPr>
                <w:rFonts w:hint="eastAsia"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kg/h</w:t>
            </w:r>
            <w:r>
              <w:rPr>
                <w:rFonts w:hint="eastAsia" w:hAnsi="Times New Roman" w:eastAsia="宋体" w:cs="Times New Roman"/>
                <w:color w:val="auto"/>
                <w:sz w:val="21"/>
                <w:szCs w:val="21"/>
                <w:highlight w:val="none"/>
                <w:lang w:eastAsia="zh-CN"/>
              </w:rPr>
              <w:t>；</w:t>
            </w:r>
            <w:r>
              <w:rPr>
                <w:rFonts w:hint="eastAsia" w:hAnsi="Times New Roman" w:eastAsia="宋体" w:cs="Times New Roman"/>
                <w:color w:val="auto"/>
                <w:sz w:val="21"/>
                <w:szCs w:val="21"/>
                <w:highlight w:val="none"/>
                <w:lang w:val="en-US" w:eastAsia="zh-CN"/>
              </w:rPr>
              <w:t>另有5%未被收集的漆雾以无组织形式排放，排放量为0.</w:t>
            </w:r>
            <w:r>
              <w:rPr>
                <w:rFonts w:hint="eastAsia" w:cs="Times New Roman"/>
                <w:color w:val="auto"/>
                <w:sz w:val="21"/>
                <w:szCs w:val="21"/>
                <w:highlight w:val="none"/>
                <w:lang w:val="en-US" w:eastAsia="zh-CN"/>
              </w:rPr>
              <w:t>1009</w:t>
            </w:r>
            <w:r>
              <w:rPr>
                <w:rFonts w:hint="eastAsia" w:hAnsi="Times New Roman" w:eastAsia="宋体" w:cs="Times New Roman"/>
                <w:color w:val="auto"/>
                <w:sz w:val="21"/>
                <w:szCs w:val="21"/>
                <w:highlight w:val="none"/>
                <w:lang w:val="en-US" w:eastAsia="zh-CN"/>
              </w:rPr>
              <w:t>t/a，排放速率为0.0</w:t>
            </w:r>
            <w:r>
              <w:rPr>
                <w:rFonts w:hint="eastAsia" w:cs="Times New Roman"/>
                <w:color w:val="auto"/>
                <w:sz w:val="21"/>
                <w:szCs w:val="21"/>
                <w:highlight w:val="none"/>
                <w:lang w:val="en-US" w:eastAsia="zh-CN"/>
              </w:rPr>
              <w:t>210</w:t>
            </w:r>
            <w:r>
              <w:rPr>
                <w:rFonts w:hint="eastAsia" w:hAnsi="Times New Roman" w:eastAsia="宋体" w:cs="Times New Roman"/>
                <w:color w:val="auto"/>
                <w:sz w:val="21"/>
                <w:szCs w:val="21"/>
                <w:highlight w:val="none"/>
                <w:lang w:val="en-US" w:eastAsia="zh-CN"/>
              </w:rPr>
              <w:t>kg/h。</w:t>
            </w:r>
          </w:p>
          <w:p w14:paraId="7DDF1F5A">
            <w:pPr>
              <w:pStyle w:val="5"/>
              <w:spacing w:line="360" w:lineRule="auto"/>
              <w:ind w:left="0" w:leftChars="0" w:firstLine="422" w:firstLineChars="200"/>
              <w:rPr>
                <w:rFonts w:hint="default" w:eastAsia="宋体"/>
                <w:sz w:val="21"/>
                <w:szCs w:val="21"/>
                <w:lang w:val="en-US" w:eastAsia="zh-CN"/>
              </w:rPr>
            </w:pPr>
            <w:r>
              <w:rPr>
                <w:rFonts w:hint="eastAsia"/>
                <w:sz w:val="21"/>
                <w:szCs w:val="21"/>
                <w:lang w:val="en-US" w:eastAsia="zh-CN"/>
              </w:rPr>
              <w:t>②喷涂有机废气</w:t>
            </w:r>
          </w:p>
          <w:p w14:paraId="2D5E7076">
            <w:pPr>
              <w:numPr>
                <w:ilvl w:val="0"/>
                <w:numId w:val="11"/>
              </w:numPr>
              <w:spacing w:line="360" w:lineRule="auto"/>
              <w:ind w:firstLine="447" w:firstLineChars="212"/>
              <w:rPr>
                <w:rFonts w:hint="eastAsia"/>
                <w:snapToGrid w:val="0"/>
                <w:color w:val="auto"/>
                <w:kern w:val="0"/>
                <w:sz w:val="21"/>
                <w:szCs w:val="21"/>
                <w:highlight w:val="none"/>
                <w:lang w:val="en-US" w:eastAsia="zh-CN"/>
              </w:rPr>
            </w:pPr>
            <w:r>
              <w:rPr>
                <w:rFonts w:hint="eastAsia"/>
                <w:b/>
                <w:bCs/>
                <w:snapToGrid w:val="0"/>
                <w:color w:val="auto"/>
                <w:kern w:val="0"/>
                <w:sz w:val="21"/>
                <w:szCs w:val="21"/>
                <w:highlight w:val="none"/>
                <w:lang w:val="en-US" w:eastAsia="zh-CN"/>
              </w:rPr>
              <w:t>喷涂有机废气产生情况</w:t>
            </w:r>
          </w:p>
          <w:p w14:paraId="30077A0F">
            <w:pPr>
              <w:autoSpaceDE w:val="0"/>
              <w:autoSpaceDN w:val="0"/>
              <w:spacing w:line="360" w:lineRule="auto"/>
              <w:ind w:firstLine="420" w:firstLineChars="200"/>
              <w:rPr>
                <w:sz w:val="21"/>
                <w:szCs w:val="21"/>
              </w:rPr>
            </w:pPr>
            <w:r>
              <w:rPr>
                <w:rFonts w:hint="eastAsia"/>
                <w:sz w:val="21"/>
                <w:szCs w:val="21"/>
              </w:rPr>
              <w:t>本项目调漆间、喷烤漆间喷漆材料使用量约</w:t>
            </w:r>
            <w:r>
              <w:rPr>
                <w:rFonts w:hint="eastAsia"/>
                <w:color w:val="auto"/>
                <w:sz w:val="21"/>
                <w:szCs w:val="21"/>
                <w:lang w:val="en-US" w:eastAsia="zh-CN"/>
              </w:rPr>
              <w:t>15.82</w:t>
            </w:r>
            <w:r>
              <w:rPr>
                <w:rFonts w:hint="eastAsia"/>
                <w:color w:val="auto"/>
                <w:sz w:val="21"/>
                <w:szCs w:val="21"/>
              </w:rPr>
              <w:t>t/a</w:t>
            </w:r>
            <w:r>
              <w:rPr>
                <w:rFonts w:hint="eastAsia"/>
                <w:sz w:val="21"/>
                <w:szCs w:val="21"/>
              </w:rPr>
              <w:t>，包括底漆、</w:t>
            </w:r>
            <w:r>
              <w:rPr>
                <w:rFonts w:hint="eastAsia"/>
                <w:sz w:val="21"/>
                <w:szCs w:val="21"/>
                <w:lang w:val="en-US" w:eastAsia="zh-CN"/>
              </w:rPr>
              <w:t>面</w:t>
            </w:r>
            <w:r>
              <w:rPr>
                <w:rFonts w:hint="eastAsia"/>
                <w:sz w:val="21"/>
                <w:szCs w:val="21"/>
              </w:rPr>
              <w:t>漆、清漆、固化剂和稀释剂等，按所需达到的喷漆效果，漆料需要加入稀释剂按不同比例进行配制，喷漆烤漆过程会挥发产生废气，主要为漆+固化剂中自带的有机溶剂以及稀释剂中的有机溶剂。</w:t>
            </w:r>
          </w:p>
          <w:p w14:paraId="617A9A82">
            <w:pPr>
              <w:autoSpaceDE w:val="0"/>
              <w:autoSpaceDN w:val="0"/>
              <w:spacing w:line="360" w:lineRule="auto"/>
              <w:ind w:firstLine="420" w:firstLineChars="200"/>
              <w:rPr>
                <w:sz w:val="21"/>
                <w:szCs w:val="21"/>
              </w:rPr>
            </w:pPr>
            <w:r>
              <w:rPr>
                <w:sz w:val="21"/>
                <w:szCs w:val="21"/>
              </w:rPr>
              <w:t>根据建设单位提供资料</w:t>
            </w:r>
            <w:r>
              <w:rPr>
                <w:color w:val="auto"/>
                <w:sz w:val="21"/>
                <w:szCs w:val="21"/>
              </w:rPr>
              <w:t>及上文</w:t>
            </w:r>
            <w:r>
              <w:rPr>
                <w:rFonts w:hint="eastAsia"/>
                <w:color w:val="auto"/>
                <w:sz w:val="21"/>
                <w:szCs w:val="21"/>
                <w:lang w:val="en-US" w:eastAsia="zh-CN"/>
              </w:rPr>
              <w:t>油漆用量</w:t>
            </w:r>
            <w:r>
              <w:rPr>
                <w:rFonts w:hint="eastAsia"/>
                <w:color w:val="auto"/>
                <w:sz w:val="21"/>
                <w:szCs w:val="21"/>
              </w:rPr>
              <w:t>的计算</w:t>
            </w:r>
            <w:r>
              <w:rPr>
                <w:color w:val="auto"/>
                <w:sz w:val="21"/>
                <w:szCs w:val="21"/>
              </w:rPr>
              <w:t>，本项目底漆使用量约为</w:t>
            </w:r>
            <w:r>
              <w:rPr>
                <w:rFonts w:hint="eastAsia"/>
                <w:color w:val="auto"/>
                <w:sz w:val="21"/>
                <w:szCs w:val="21"/>
                <w:lang w:val="en-US" w:eastAsia="zh-CN"/>
              </w:rPr>
              <w:t>6</w:t>
            </w:r>
            <w:r>
              <w:rPr>
                <w:rFonts w:hint="eastAsia"/>
                <w:color w:val="auto"/>
                <w:sz w:val="21"/>
                <w:szCs w:val="21"/>
              </w:rPr>
              <w:t>t</w:t>
            </w:r>
            <w:r>
              <w:rPr>
                <w:color w:val="auto"/>
                <w:sz w:val="21"/>
                <w:szCs w:val="21"/>
              </w:rPr>
              <w:t>/a、</w:t>
            </w:r>
            <w:r>
              <w:rPr>
                <w:rFonts w:hint="eastAsia"/>
                <w:color w:val="auto"/>
                <w:sz w:val="21"/>
                <w:szCs w:val="21"/>
                <w:lang w:val="en-US" w:eastAsia="zh-CN"/>
              </w:rPr>
              <w:t>面</w:t>
            </w:r>
            <w:r>
              <w:rPr>
                <w:color w:val="auto"/>
                <w:sz w:val="21"/>
                <w:szCs w:val="21"/>
              </w:rPr>
              <w:t>漆使用量约为</w:t>
            </w:r>
            <w:r>
              <w:rPr>
                <w:rFonts w:hint="eastAsia"/>
                <w:color w:val="auto"/>
                <w:sz w:val="21"/>
                <w:szCs w:val="21"/>
                <w:lang w:val="en-US" w:eastAsia="zh-CN"/>
              </w:rPr>
              <w:t>2.7</w:t>
            </w:r>
            <w:r>
              <w:rPr>
                <w:rFonts w:hint="eastAsia"/>
                <w:color w:val="auto"/>
                <w:sz w:val="21"/>
                <w:szCs w:val="21"/>
              </w:rPr>
              <w:t>t</w:t>
            </w:r>
            <w:r>
              <w:rPr>
                <w:color w:val="auto"/>
                <w:sz w:val="21"/>
                <w:szCs w:val="21"/>
              </w:rPr>
              <w:t>/a、清漆使用量约为</w:t>
            </w:r>
            <w:r>
              <w:rPr>
                <w:rFonts w:hint="eastAsia"/>
                <w:color w:val="auto"/>
                <w:sz w:val="21"/>
                <w:szCs w:val="21"/>
                <w:lang w:val="en-US" w:eastAsia="zh-CN"/>
              </w:rPr>
              <w:t>1.5</w:t>
            </w:r>
            <w:r>
              <w:rPr>
                <w:rFonts w:hint="eastAsia"/>
                <w:color w:val="auto"/>
                <w:sz w:val="21"/>
                <w:szCs w:val="21"/>
              </w:rPr>
              <w:t>t</w:t>
            </w:r>
            <w:r>
              <w:rPr>
                <w:color w:val="auto"/>
                <w:sz w:val="21"/>
                <w:szCs w:val="21"/>
              </w:rPr>
              <w:t>/a。固化剂使用量约为</w:t>
            </w:r>
            <w:r>
              <w:rPr>
                <w:rFonts w:hint="eastAsia"/>
                <w:color w:val="auto"/>
                <w:sz w:val="21"/>
                <w:szCs w:val="21"/>
                <w:lang w:val="en-US" w:eastAsia="zh-CN"/>
              </w:rPr>
              <w:t>0.5</w:t>
            </w:r>
            <w:r>
              <w:rPr>
                <w:rFonts w:hint="eastAsia"/>
                <w:color w:val="auto"/>
                <w:sz w:val="21"/>
                <w:szCs w:val="21"/>
              </w:rPr>
              <w:t>t</w:t>
            </w:r>
            <w:r>
              <w:rPr>
                <w:color w:val="auto"/>
                <w:sz w:val="21"/>
                <w:szCs w:val="21"/>
              </w:rPr>
              <w:t>/a，稀释剂使用量约为</w:t>
            </w:r>
            <w:r>
              <w:rPr>
                <w:rFonts w:hint="eastAsia"/>
                <w:color w:val="auto"/>
                <w:sz w:val="21"/>
                <w:szCs w:val="21"/>
                <w:lang w:val="en-US" w:eastAsia="zh-CN"/>
              </w:rPr>
              <w:t>5.11</w:t>
            </w:r>
            <w:r>
              <w:rPr>
                <w:rFonts w:hint="eastAsia"/>
                <w:color w:val="auto"/>
                <w:sz w:val="21"/>
                <w:szCs w:val="21"/>
              </w:rPr>
              <w:t>t</w:t>
            </w:r>
            <w:r>
              <w:rPr>
                <w:color w:val="auto"/>
                <w:sz w:val="21"/>
                <w:szCs w:val="21"/>
              </w:rPr>
              <w:t>/a，</w:t>
            </w:r>
            <w:r>
              <w:rPr>
                <w:sz w:val="21"/>
                <w:szCs w:val="21"/>
              </w:rPr>
              <w:t>根据油漆化学品安全技术说明书和检测报告</w:t>
            </w:r>
            <w:r>
              <w:rPr>
                <w:color w:val="auto"/>
                <w:sz w:val="21"/>
                <w:szCs w:val="21"/>
              </w:rPr>
              <w:t>（详见附件</w:t>
            </w:r>
            <w:r>
              <w:rPr>
                <w:rFonts w:hint="eastAsia"/>
                <w:color w:val="auto"/>
                <w:sz w:val="21"/>
                <w:szCs w:val="21"/>
                <w:lang w:val="en-US" w:eastAsia="zh-CN"/>
              </w:rPr>
              <w:t>8、附件10</w:t>
            </w:r>
            <w:r>
              <w:rPr>
                <w:color w:val="auto"/>
                <w:sz w:val="21"/>
                <w:szCs w:val="21"/>
              </w:rPr>
              <w:t>）</w:t>
            </w:r>
            <w:r>
              <w:rPr>
                <w:sz w:val="21"/>
                <w:szCs w:val="21"/>
              </w:rPr>
              <w:t>可知，底漆、</w:t>
            </w:r>
            <w:r>
              <w:rPr>
                <w:rFonts w:hint="eastAsia"/>
                <w:sz w:val="21"/>
                <w:szCs w:val="21"/>
                <w:lang w:val="en-US" w:eastAsia="zh-CN"/>
              </w:rPr>
              <w:t>面</w:t>
            </w:r>
            <w:r>
              <w:rPr>
                <w:sz w:val="21"/>
                <w:szCs w:val="21"/>
              </w:rPr>
              <w:t>漆、清漆中VOCs</w:t>
            </w:r>
            <w:r>
              <w:rPr>
                <w:rFonts w:hint="eastAsia"/>
                <w:sz w:val="21"/>
                <w:szCs w:val="21"/>
              </w:rPr>
              <w:t>产生</w:t>
            </w:r>
            <w:r>
              <w:rPr>
                <w:sz w:val="21"/>
                <w:szCs w:val="21"/>
              </w:rPr>
              <w:t>总量如下：</w:t>
            </w:r>
          </w:p>
          <w:p w14:paraId="03B9E78F">
            <w:pPr>
              <w:autoSpaceDE w:val="0"/>
              <w:autoSpaceDN w:val="0"/>
              <w:spacing w:line="240" w:lineRule="auto"/>
              <w:ind w:firstLine="422" w:firstLineChars="200"/>
              <w:jc w:val="center"/>
              <w:rPr>
                <w:b/>
                <w:sz w:val="21"/>
                <w:szCs w:val="21"/>
              </w:rPr>
            </w:pPr>
            <w:r>
              <w:rPr>
                <w:rFonts w:hint="eastAsia"/>
                <w:b/>
                <w:sz w:val="21"/>
                <w:szCs w:val="21"/>
              </w:rPr>
              <w:t>表4-</w:t>
            </w:r>
            <w:r>
              <w:rPr>
                <w:rFonts w:hint="eastAsia"/>
                <w:b/>
                <w:sz w:val="21"/>
                <w:szCs w:val="21"/>
                <w:lang w:val="en-US" w:eastAsia="zh-CN"/>
              </w:rPr>
              <w:t xml:space="preserve">3 </w:t>
            </w:r>
            <w:r>
              <w:rPr>
                <w:rFonts w:hint="eastAsia"/>
                <w:b/>
                <w:sz w:val="21"/>
                <w:szCs w:val="21"/>
              </w:rPr>
              <w:t>漆料VOCs产生总量一览表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491"/>
              <w:gridCol w:w="1220"/>
              <w:gridCol w:w="1355"/>
              <w:gridCol w:w="1084"/>
              <w:gridCol w:w="2401"/>
            </w:tblGrid>
            <w:tr w14:paraId="43BCC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01D23A30">
                  <w:pPr>
                    <w:autoSpaceDE w:val="0"/>
                    <w:autoSpaceDN w:val="0"/>
                    <w:adjustRightInd w:val="0"/>
                    <w:snapToGrid w:val="0"/>
                    <w:jc w:val="center"/>
                    <w:rPr>
                      <w:sz w:val="21"/>
                      <w:szCs w:val="21"/>
                    </w:rPr>
                  </w:pPr>
                  <w:r>
                    <w:rPr>
                      <w:rFonts w:hint="eastAsia"/>
                      <w:sz w:val="21"/>
                      <w:szCs w:val="21"/>
                    </w:rPr>
                    <w:t>序号</w:t>
                  </w:r>
                </w:p>
              </w:tc>
              <w:tc>
                <w:tcPr>
                  <w:tcW w:w="910" w:type="pct"/>
                  <w:vAlign w:val="center"/>
                </w:tcPr>
                <w:p w14:paraId="39D38FB3">
                  <w:pPr>
                    <w:autoSpaceDE w:val="0"/>
                    <w:autoSpaceDN w:val="0"/>
                    <w:adjustRightInd w:val="0"/>
                    <w:snapToGrid w:val="0"/>
                    <w:jc w:val="center"/>
                    <w:rPr>
                      <w:sz w:val="21"/>
                      <w:szCs w:val="21"/>
                    </w:rPr>
                  </w:pPr>
                  <w:r>
                    <w:rPr>
                      <w:rFonts w:hint="eastAsia"/>
                      <w:sz w:val="21"/>
                      <w:szCs w:val="21"/>
                    </w:rPr>
                    <w:t>物料名称</w:t>
                  </w:r>
                </w:p>
              </w:tc>
              <w:tc>
                <w:tcPr>
                  <w:tcW w:w="745" w:type="pct"/>
                  <w:vAlign w:val="center"/>
                </w:tcPr>
                <w:p w14:paraId="2B91E79D">
                  <w:pPr>
                    <w:autoSpaceDE w:val="0"/>
                    <w:autoSpaceDN w:val="0"/>
                    <w:adjustRightInd w:val="0"/>
                    <w:snapToGrid w:val="0"/>
                    <w:jc w:val="center"/>
                    <w:rPr>
                      <w:sz w:val="21"/>
                      <w:szCs w:val="21"/>
                    </w:rPr>
                  </w:pPr>
                  <w:r>
                    <w:rPr>
                      <w:rFonts w:hint="eastAsia"/>
                      <w:sz w:val="21"/>
                      <w:szCs w:val="21"/>
                    </w:rPr>
                    <w:t>用量t/a</w:t>
                  </w:r>
                </w:p>
              </w:tc>
              <w:tc>
                <w:tcPr>
                  <w:tcW w:w="827" w:type="pct"/>
                  <w:vAlign w:val="center"/>
                </w:tcPr>
                <w:p w14:paraId="35010E95">
                  <w:pPr>
                    <w:autoSpaceDE w:val="0"/>
                    <w:autoSpaceDN w:val="0"/>
                    <w:adjustRightInd w:val="0"/>
                    <w:snapToGrid w:val="0"/>
                    <w:jc w:val="center"/>
                    <w:rPr>
                      <w:sz w:val="21"/>
                      <w:szCs w:val="21"/>
                    </w:rPr>
                  </w:pPr>
                  <w:r>
                    <w:rPr>
                      <w:rFonts w:hint="eastAsia"/>
                      <w:sz w:val="21"/>
                      <w:szCs w:val="21"/>
                    </w:rPr>
                    <w:t>污染物</w:t>
                  </w:r>
                </w:p>
              </w:tc>
              <w:tc>
                <w:tcPr>
                  <w:tcW w:w="662" w:type="pct"/>
                  <w:vAlign w:val="center"/>
                </w:tcPr>
                <w:p w14:paraId="21756AAA">
                  <w:pPr>
                    <w:autoSpaceDE w:val="0"/>
                    <w:autoSpaceDN w:val="0"/>
                    <w:adjustRightInd w:val="0"/>
                    <w:snapToGrid w:val="0"/>
                    <w:jc w:val="center"/>
                    <w:rPr>
                      <w:sz w:val="21"/>
                      <w:szCs w:val="21"/>
                    </w:rPr>
                  </w:pPr>
                  <w:r>
                    <w:rPr>
                      <w:rFonts w:hint="eastAsia"/>
                      <w:sz w:val="21"/>
                      <w:szCs w:val="21"/>
                    </w:rPr>
                    <w:t>含量</w:t>
                  </w:r>
                </w:p>
              </w:tc>
              <w:tc>
                <w:tcPr>
                  <w:tcW w:w="1466" w:type="pct"/>
                  <w:vAlign w:val="center"/>
                </w:tcPr>
                <w:p w14:paraId="20453F50">
                  <w:pPr>
                    <w:autoSpaceDE w:val="0"/>
                    <w:autoSpaceDN w:val="0"/>
                    <w:adjustRightInd w:val="0"/>
                    <w:snapToGrid w:val="0"/>
                    <w:jc w:val="center"/>
                    <w:rPr>
                      <w:sz w:val="21"/>
                      <w:szCs w:val="21"/>
                    </w:rPr>
                  </w:pPr>
                  <w:r>
                    <w:rPr>
                      <w:rFonts w:hint="eastAsia"/>
                      <w:sz w:val="21"/>
                      <w:szCs w:val="21"/>
                    </w:rPr>
                    <w:t>污染物总量(kg/a)</w:t>
                  </w:r>
                </w:p>
              </w:tc>
            </w:tr>
            <w:tr w14:paraId="7DFFF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restart"/>
                  <w:vAlign w:val="center"/>
                </w:tcPr>
                <w:p w14:paraId="75AA8D51">
                  <w:pPr>
                    <w:autoSpaceDE w:val="0"/>
                    <w:autoSpaceDN w:val="0"/>
                    <w:adjustRightInd w:val="0"/>
                    <w:snapToGrid w:val="0"/>
                    <w:jc w:val="center"/>
                    <w:rPr>
                      <w:sz w:val="21"/>
                      <w:szCs w:val="21"/>
                    </w:rPr>
                  </w:pPr>
                  <w:r>
                    <w:rPr>
                      <w:rFonts w:hint="eastAsia"/>
                      <w:sz w:val="21"/>
                      <w:szCs w:val="21"/>
                    </w:rPr>
                    <w:t>1</w:t>
                  </w:r>
                </w:p>
              </w:tc>
              <w:tc>
                <w:tcPr>
                  <w:tcW w:w="910" w:type="pct"/>
                  <w:vMerge w:val="restart"/>
                  <w:vAlign w:val="center"/>
                </w:tcPr>
                <w:p w14:paraId="7E50964C">
                  <w:pPr>
                    <w:autoSpaceDE w:val="0"/>
                    <w:autoSpaceDN w:val="0"/>
                    <w:adjustRightInd w:val="0"/>
                    <w:snapToGrid w:val="0"/>
                    <w:jc w:val="center"/>
                    <w:rPr>
                      <w:rFonts w:hint="eastAsia" w:eastAsia="宋体"/>
                      <w:sz w:val="21"/>
                      <w:szCs w:val="21"/>
                      <w:lang w:eastAsia="zh-CN"/>
                    </w:rPr>
                  </w:pPr>
                  <w:r>
                    <w:rPr>
                      <w:rFonts w:hint="eastAsia"/>
                      <w:sz w:val="21"/>
                      <w:szCs w:val="21"/>
                    </w:rPr>
                    <w:t>底漆</w:t>
                  </w:r>
                  <w:r>
                    <w:rPr>
                      <w:rFonts w:hint="eastAsia"/>
                      <w:sz w:val="21"/>
                      <w:szCs w:val="21"/>
                      <w:lang w:eastAsia="zh-CN"/>
                    </w:rPr>
                    <w:t>（</w:t>
                  </w:r>
                  <w:r>
                    <w:rPr>
                      <w:rFonts w:hint="eastAsia"/>
                      <w:sz w:val="21"/>
                      <w:szCs w:val="21"/>
                      <w:lang w:val="en-US" w:eastAsia="zh-CN"/>
                    </w:rPr>
                    <w:t>色漆</w:t>
                  </w:r>
                  <w:r>
                    <w:rPr>
                      <w:rFonts w:hint="eastAsia"/>
                      <w:sz w:val="21"/>
                      <w:szCs w:val="21"/>
                      <w:lang w:eastAsia="zh-CN"/>
                    </w:rPr>
                    <w:t>）</w:t>
                  </w:r>
                </w:p>
              </w:tc>
              <w:tc>
                <w:tcPr>
                  <w:tcW w:w="745" w:type="pct"/>
                  <w:vMerge w:val="restart"/>
                  <w:vAlign w:val="center"/>
                </w:tcPr>
                <w:p w14:paraId="5241F867">
                  <w:pPr>
                    <w:autoSpaceDE w:val="0"/>
                    <w:autoSpaceDN w:val="0"/>
                    <w:adjustRightInd w:val="0"/>
                    <w:snapToGrid w:val="0"/>
                    <w:jc w:val="center"/>
                    <w:rPr>
                      <w:rFonts w:hint="eastAsia" w:eastAsia="宋体"/>
                      <w:color w:val="auto"/>
                      <w:sz w:val="21"/>
                      <w:szCs w:val="21"/>
                      <w:lang w:eastAsia="zh-CN"/>
                    </w:rPr>
                  </w:pPr>
                  <w:r>
                    <w:rPr>
                      <w:rFonts w:hint="eastAsia"/>
                      <w:color w:val="auto"/>
                      <w:sz w:val="21"/>
                      <w:szCs w:val="21"/>
                      <w:lang w:val="en-US" w:eastAsia="zh-CN"/>
                    </w:rPr>
                    <w:t>6</w:t>
                  </w:r>
                </w:p>
              </w:tc>
              <w:tc>
                <w:tcPr>
                  <w:tcW w:w="827" w:type="pct"/>
                  <w:vAlign w:val="center"/>
                </w:tcPr>
                <w:p w14:paraId="00499E51">
                  <w:pPr>
                    <w:autoSpaceDE w:val="0"/>
                    <w:autoSpaceDN w:val="0"/>
                    <w:adjustRightInd w:val="0"/>
                    <w:snapToGrid w:val="0"/>
                    <w:jc w:val="center"/>
                    <w:rPr>
                      <w:sz w:val="21"/>
                      <w:szCs w:val="21"/>
                    </w:rPr>
                  </w:pPr>
                  <w:r>
                    <w:rPr>
                      <w:rFonts w:hint="eastAsia"/>
                      <w:sz w:val="21"/>
                      <w:szCs w:val="21"/>
                    </w:rPr>
                    <w:t>VOCs</w:t>
                  </w:r>
                </w:p>
              </w:tc>
              <w:tc>
                <w:tcPr>
                  <w:tcW w:w="662" w:type="pct"/>
                  <w:vAlign w:val="center"/>
                </w:tcPr>
                <w:p w14:paraId="2482CBB6">
                  <w:pPr>
                    <w:autoSpaceDE w:val="0"/>
                    <w:autoSpaceDN w:val="0"/>
                    <w:adjustRightInd w:val="0"/>
                    <w:snapToGrid w:val="0"/>
                    <w:jc w:val="center"/>
                    <w:rPr>
                      <w:color w:val="FF0000"/>
                      <w:sz w:val="21"/>
                      <w:szCs w:val="21"/>
                    </w:rPr>
                  </w:pPr>
                  <w:r>
                    <w:rPr>
                      <w:rFonts w:hint="eastAsia"/>
                      <w:color w:val="auto"/>
                      <w:sz w:val="21"/>
                      <w:szCs w:val="21"/>
                      <w:lang w:val="en-US" w:eastAsia="zh-CN"/>
                    </w:rPr>
                    <w:t>395</w:t>
                  </w:r>
                  <w:r>
                    <w:rPr>
                      <w:rFonts w:hint="eastAsia"/>
                      <w:color w:val="auto"/>
                      <w:sz w:val="21"/>
                      <w:szCs w:val="21"/>
                    </w:rPr>
                    <w:t>g/L</w:t>
                  </w:r>
                </w:p>
              </w:tc>
              <w:tc>
                <w:tcPr>
                  <w:tcW w:w="1466" w:type="pct"/>
                  <w:vAlign w:val="center"/>
                </w:tcPr>
                <w:p w14:paraId="01F20421">
                  <w:pPr>
                    <w:autoSpaceDE w:val="0"/>
                    <w:autoSpaceDN w:val="0"/>
                    <w:adjustRightInd w:val="0"/>
                    <w:snapToGrid w:val="0"/>
                    <w:jc w:val="center"/>
                    <w:rPr>
                      <w:rFonts w:hint="default" w:eastAsia="宋体"/>
                      <w:color w:val="FF0000"/>
                      <w:sz w:val="21"/>
                      <w:szCs w:val="21"/>
                      <w:lang w:val="en-US" w:eastAsia="zh-CN"/>
                    </w:rPr>
                  </w:pPr>
                  <w:r>
                    <w:rPr>
                      <w:rFonts w:hint="eastAsia"/>
                      <w:color w:val="auto"/>
                      <w:sz w:val="21"/>
                      <w:szCs w:val="21"/>
                      <w:lang w:val="en-US" w:eastAsia="zh-CN"/>
                    </w:rPr>
                    <w:t>2204.1</w:t>
                  </w:r>
                </w:p>
              </w:tc>
            </w:tr>
            <w:tr w14:paraId="48EF6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vAlign w:val="center"/>
                </w:tcPr>
                <w:p w14:paraId="247E6C4E">
                  <w:pPr>
                    <w:autoSpaceDE w:val="0"/>
                    <w:autoSpaceDN w:val="0"/>
                    <w:adjustRightInd w:val="0"/>
                    <w:snapToGrid w:val="0"/>
                    <w:jc w:val="center"/>
                    <w:rPr>
                      <w:sz w:val="21"/>
                      <w:szCs w:val="21"/>
                    </w:rPr>
                  </w:pPr>
                </w:p>
              </w:tc>
              <w:tc>
                <w:tcPr>
                  <w:tcW w:w="910" w:type="pct"/>
                  <w:vMerge w:val="continue"/>
                  <w:vAlign w:val="center"/>
                </w:tcPr>
                <w:p w14:paraId="44DD5599">
                  <w:pPr>
                    <w:autoSpaceDE w:val="0"/>
                    <w:autoSpaceDN w:val="0"/>
                    <w:adjustRightInd w:val="0"/>
                    <w:snapToGrid w:val="0"/>
                    <w:jc w:val="center"/>
                    <w:rPr>
                      <w:sz w:val="21"/>
                      <w:szCs w:val="21"/>
                    </w:rPr>
                  </w:pPr>
                </w:p>
              </w:tc>
              <w:tc>
                <w:tcPr>
                  <w:tcW w:w="745" w:type="pct"/>
                  <w:vMerge w:val="continue"/>
                  <w:vAlign w:val="center"/>
                </w:tcPr>
                <w:p w14:paraId="6A2AD97F">
                  <w:pPr>
                    <w:autoSpaceDE w:val="0"/>
                    <w:autoSpaceDN w:val="0"/>
                    <w:adjustRightInd w:val="0"/>
                    <w:snapToGrid w:val="0"/>
                    <w:jc w:val="center"/>
                    <w:rPr>
                      <w:color w:val="auto"/>
                      <w:sz w:val="21"/>
                      <w:szCs w:val="21"/>
                    </w:rPr>
                  </w:pPr>
                </w:p>
              </w:tc>
              <w:tc>
                <w:tcPr>
                  <w:tcW w:w="827" w:type="pct"/>
                  <w:vAlign w:val="center"/>
                </w:tcPr>
                <w:p w14:paraId="3BC56666">
                  <w:pPr>
                    <w:autoSpaceDE w:val="0"/>
                    <w:autoSpaceDN w:val="0"/>
                    <w:adjustRightInd w:val="0"/>
                    <w:snapToGrid w:val="0"/>
                    <w:jc w:val="center"/>
                    <w:rPr>
                      <w:sz w:val="21"/>
                      <w:szCs w:val="21"/>
                    </w:rPr>
                  </w:pPr>
                  <w:r>
                    <w:rPr>
                      <w:rFonts w:hint="eastAsia"/>
                      <w:sz w:val="21"/>
                      <w:szCs w:val="21"/>
                    </w:rPr>
                    <w:t>二甲苯</w:t>
                  </w:r>
                </w:p>
              </w:tc>
              <w:tc>
                <w:tcPr>
                  <w:tcW w:w="662" w:type="pct"/>
                  <w:vAlign w:val="center"/>
                </w:tcPr>
                <w:p w14:paraId="2627E2BE">
                  <w:pPr>
                    <w:autoSpaceDE w:val="0"/>
                    <w:autoSpaceDN w:val="0"/>
                    <w:adjustRightInd w:val="0"/>
                    <w:snapToGrid w:val="0"/>
                    <w:jc w:val="center"/>
                    <w:rPr>
                      <w:color w:val="auto"/>
                      <w:sz w:val="21"/>
                      <w:szCs w:val="21"/>
                    </w:rPr>
                  </w:pPr>
                  <w:r>
                    <w:rPr>
                      <w:rFonts w:hint="eastAsia"/>
                      <w:color w:val="auto"/>
                      <w:sz w:val="21"/>
                      <w:szCs w:val="21"/>
                      <w:lang w:val="en-US" w:eastAsia="zh-CN"/>
                    </w:rPr>
                    <w:t>2</w:t>
                  </w:r>
                  <w:r>
                    <w:rPr>
                      <w:rFonts w:hint="eastAsia"/>
                      <w:color w:val="auto"/>
                      <w:sz w:val="21"/>
                      <w:szCs w:val="21"/>
                    </w:rPr>
                    <w:t>%</w:t>
                  </w:r>
                </w:p>
              </w:tc>
              <w:tc>
                <w:tcPr>
                  <w:tcW w:w="1466" w:type="pct"/>
                  <w:vAlign w:val="center"/>
                </w:tcPr>
                <w:p w14:paraId="25F4B3B1">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120</w:t>
                  </w:r>
                </w:p>
              </w:tc>
            </w:tr>
            <w:tr w14:paraId="0B2DA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vAlign w:val="center"/>
                </w:tcPr>
                <w:p w14:paraId="788560C5">
                  <w:pPr>
                    <w:autoSpaceDE w:val="0"/>
                    <w:autoSpaceDN w:val="0"/>
                    <w:adjustRightInd w:val="0"/>
                    <w:snapToGrid w:val="0"/>
                    <w:jc w:val="center"/>
                    <w:rPr>
                      <w:sz w:val="21"/>
                      <w:szCs w:val="21"/>
                    </w:rPr>
                  </w:pPr>
                </w:p>
              </w:tc>
              <w:tc>
                <w:tcPr>
                  <w:tcW w:w="910" w:type="pct"/>
                  <w:vMerge w:val="continue"/>
                  <w:vAlign w:val="center"/>
                </w:tcPr>
                <w:p w14:paraId="2D6BFACF">
                  <w:pPr>
                    <w:autoSpaceDE w:val="0"/>
                    <w:autoSpaceDN w:val="0"/>
                    <w:adjustRightInd w:val="0"/>
                    <w:snapToGrid w:val="0"/>
                    <w:jc w:val="center"/>
                    <w:rPr>
                      <w:sz w:val="21"/>
                      <w:szCs w:val="21"/>
                    </w:rPr>
                  </w:pPr>
                </w:p>
              </w:tc>
              <w:tc>
                <w:tcPr>
                  <w:tcW w:w="745" w:type="pct"/>
                  <w:vMerge w:val="continue"/>
                  <w:vAlign w:val="center"/>
                </w:tcPr>
                <w:p w14:paraId="05984DA0">
                  <w:pPr>
                    <w:autoSpaceDE w:val="0"/>
                    <w:autoSpaceDN w:val="0"/>
                    <w:adjustRightInd w:val="0"/>
                    <w:snapToGrid w:val="0"/>
                    <w:jc w:val="center"/>
                    <w:rPr>
                      <w:color w:val="auto"/>
                      <w:sz w:val="21"/>
                      <w:szCs w:val="21"/>
                    </w:rPr>
                  </w:pPr>
                </w:p>
              </w:tc>
              <w:tc>
                <w:tcPr>
                  <w:tcW w:w="827" w:type="pct"/>
                  <w:vAlign w:val="center"/>
                </w:tcPr>
                <w:p w14:paraId="1EEDC7D2">
                  <w:pPr>
                    <w:autoSpaceDE w:val="0"/>
                    <w:autoSpaceDN w:val="0"/>
                    <w:adjustRightInd w:val="0"/>
                    <w:snapToGrid w:val="0"/>
                    <w:jc w:val="center"/>
                    <w:rPr>
                      <w:sz w:val="21"/>
                      <w:szCs w:val="21"/>
                    </w:rPr>
                  </w:pPr>
                  <w:r>
                    <w:rPr>
                      <w:rFonts w:hint="eastAsia"/>
                      <w:sz w:val="21"/>
                      <w:szCs w:val="21"/>
                    </w:rPr>
                    <w:t>乙苯</w:t>
                  </w:r>
                </w:p>
              </w:tc>
              <w:tc>
                <w:tcPr>
                  <w:tcW w:w="662" w:type="pct"/>
                  <w:vAlign w:val="center"/>
                </w:tcPr>
                <w:p w14:paraId="46FBCE9A">
                  <w:pPr>
                    <w:autoSpaceDE w:val="0"/>
                    <w:autoSpaceDN w:val="0"/>
                    <w:adjustRightInd w:val="0"/>
                    <w:snapToGrid w:val="0"/>
                    <w:jc w:val="center"/>
                    <w:rPr>
                      <w:color w:val="auto"/>
                      <w:sz w:val="21"/>
                      <w:szCs w:val="21"/>
                    </w:rPr>
                  </w:pPr>
                  <w:r>
                    <w:rPr>
                      <w:rFonts w:hint="eastAsia"/>
                      <w:color w:val="auto"/>
                      <w:sz w:val="21"/>
                      <w:szCs w:val="21"/>
                      <w:lang w:val="en-US" w:eastAsia="zh-CN"/>
                    </w:rPr>
                    <w:t>0.3</w:t>
                  </w:r>
                  <w:r>
                    <w:rPr>
                      <w:rFonts w:hint="eastAsia"/>
                      <w:color w:val="auto"/>
                      <w:sz w:val="21"/>
                      <w:szCs w:val="21"/>
                    </w:rPr>
                    <w:t>%</w:t>
                  </w:r>
                </w:p>
              </w:tc>
              <w:tc>
                <w:tcPr>
                  <w:tcW w:w="1466" w:type="pct"/>
                  <w:vAlign w:val="center"/>
                </w:tcPr>
                <w:p w14:paraId="09387A01">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18</w:t>
                  </w:r>
                </w:p>
              </w:tc>
            </w:tr>
            <w:tr w14:paraId="44A5C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519E5598">
                  <w:pPr>
                    <w:autoSpaceDE w:val="0"/>
                    <w:autoSpaceDN w:val="0"/>
                    <w:adjustRightInd w:val="0"/>
                    <w:snapToGrid w:val="0"/>
                    <w:jc w:val="center"/>
                    <w:rPr>
                      <w:sz w:val="21"/>
                      <w:szCs w:val="21"/>
                    </w:rPr>
                  </w:pPr>
                  <w:r>
                    <w:rPr>
                      <w:rFonts w:hint="eastAsia"/>
                      <w:sz w:val="21"/>
                      <w:szCs w:val="21"/>
                    </w:rPr>
                    <w:t>2</w:t>
                  </w:r>
                </w:p>
              </w:tc>
              <w:tc>
                <w:tcPr>
                  <w:tcW w:w="910" w:type="pct"/>
                  <w:vAlign w:val="center"/>
                </w:tcPr>
                <w:p w14:paraId="065EBE3A">
                  <w:pPr>
                    <w:autoSpaceDE w:val="0"/>
                    <w:autoSpaceDN w:val="0"/>
                    <w:adjustRightInd w:val="0"/>
                    <w:snapToGrid w:val="0"/>
                    <w:jc w:val="center"/>
                    <w:rPr>
                      <w:sz w:val="21"/>
                      <w:szCs w:val="21"/>
                    </w:rPr>
                  </w:pPr>
                  <w:r>
                    <w:rPr>
                      <w:rFonts w:hint="eastAsia"/>
                      <w:sz w:val="21"/>
                      <w:szCs w:val="21"/>
                    </w:rPr>
                    <w:t>清漆</w:t>
                  </w:r>
                </w:p>
              </w:tc>
              <w:tc>
                <w:tcPr>
                  <w:tcW w:w="745" w:type="pct"/>
                  <w:vAlign w:val="center"/>
                </w:tcPr>
                <w:p w14:paraId="0BD831AE">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1.5</w:t>
                  </w:r>
                </w:p>
              </w:tc>
              <w:tc>
                <w:tcPr>
                  <w:tcW w:w="827" w:type="pct"/>
                  <w:vAlign w:val="center"/>
                </w:tcPr>
                <w:p w14:paraId="1D3C64C3">
                  <w:pPr>
                    <w:autoSpaceDE w:val="0"/>
                    <w:autoSpaceDN w:val="0"/>
                    <w:adjustRightInd w:val="0"/>
                    <w:snapToGrid w:val="0"/>
                    <w:jc w:val="center"/>
                    <w:rPr>
                      <w:sz w:val="21"/>
                      <w:szCs w:val="21"/>
                    </w:rPr>
                  </w:pPr>
                  <w:r>
                    <w:rPr>
                      <w:rFonts w:hint="eastAsia"/>
                      <w:sz w:val="21"/>
                      <w:szCs w:val="21"/>
                    </w:rPr>
                    <w:t>VOCs</w:t>
                  </w:r>
                </w:p>
              </w:tc>
              <w:tc>
                <w:tcPr>
                  <w:tcW w:w="662" w:type="pct"/>
                  <w:vAlign w:val="center"/>
                </w:tcPr>
                <w:p w14:paraId="12B9C16A">
                  <w:pPr>
                    <w:autoSpaceDE w:val="0"/>
                    <w:autoSpaceDN w:val="0"/>
                    <w:adjustRightInd w:val="0"/>
                    <w:snapToGrid w:val="0"/>
                    <w:jc w:val="center"/>
                    <w:rPr>
                      <w:color w:val="FF0000"/>
                      <w:sz w:val="21"/>
                      <w:szCs w:val="21"/>
                    </w:rPr>
                  </w:pPr>
                  <w:r>
                    <w:rPr>
                      <w:rFonts w:hint="eastAsia"/>
                      <w:color w:val="auto"/>
                      <w:sz w:val="21"/>
                      <w:szCs w:val="21"/>
                      <w:lang w:val="en-US" w:eastAsia="zh-CN"/>
                    </w:rPr>
                    <w:t>415</w:t>
                  </w:r>
                  <w:r>
                    <w:rPr>
                      <w:rFonts w:hint="eastAsia"/>
                      <w:color w:val="auto"/>
                      <w:sz w:val="21"/>
                      <w:szCs w:val="21"/>
                    </w:rPr>
                    <w:t>g/L</w:t>
                  </w:r>
                </w:p>
              </w:tc>
              <w:tc>
                <w:tcPr>
                  <w:tcW w:w="1466" w:type="pct"/>
                  <w:vAlign w:val="center"/>
                </w:tcPr>
                <w:p w14:paraId="12C7C9CC">
                  <w:pPr>
                    <w:autoSpaceDE w:val="0"/>
                    <w:autoSpaceDN w:val="0"/>
                    <w:adjustRightInd w:val="0"/>
                    <w:snapToGrid w:val="0"/>
                    <w:jc w:val="center"/>
                    <w:rPr>
                      <w:rFonts w:hint="default" w:eastAsia="宋体"/>
                      <w:color w:val="FF0000"/>
                      <w:sz w:val="21"/>
                      <w:szCs w:val="21"/>
                      <w:lang w:val="en-US" w:eastAsia="zh-CN"/>
                    </w:rPr>
                  </w:pPr>
                  <w:r>
                    <w:rPr>
                      <w:rFonts w:hint="eastAsia"/>
                      <w:color w:val="auto"/>
                      <w:sz w:val="21"/>
                      <w:szCs w:val="21"/>
                      <w:lang w:val="en-US" w:eastAsia="zh-CN"/>
                    </w:rPr>
                    <w:t>610.05</w:t>
                  </w:r>
                </w:p>
              </w:tc>
            </w:tr>
            <w:tr w14:paraId="3E8A4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141107F7">
                  <w:pPr>
                    <w:autoSpaceDE w:val="0"/>
                    <w:autoSpaceDN w:val="0"/>
                    <w:adjustRightInd w:val="0"/>
                    <w:snapToGrid w:val="0"/>
                    <w:jc w:val="center"/>
                    <w:rPr>
                      <w:sz w:val="21"/>
                      <w:szCs w:val="21"/>
                    </w:rPr>
                  </w:pPr>
                  <w:r>
                    <w:rPr>
                      <w:rFonts w:hint="eastAsia"/>
                      <w:sz w:val="21"/>
                      <w:szCs w:val="21"/>
                    </w:rPr>
                    <w:t>3</w:t>
                  </w:r>
                </w:p>
              </w:tc>
              <w:tc>
                <w:tcPr>
                  <w:tcW w:w="910" w:type="pct"/>
                  <w:vAlign w:val="center"/>
                </w:tcPr>
                <w:p w14:paraId="03F4F961">
                  <w:pPr>
                    <w:autoSpaceDE w:val="0"/>
                    <w:autoSpaceDN w:val="0"/>
                    <w:adjustRightInd w:val="0"/>
                    <w:snapToGrid w:val="0"/>
                    <w:jc w:val="center"/>
                    <w:rPr>
                      <w:sz w:val="21"/>
                      <w:szCs w:val="21"/>
                    </w:rPr>
                  </w:pPr>
                  <w:r>
                    <w:rPr>
                      <w:rFonts w:hint="eastAsia"/>
                      <w:sz w:val="21"/>
                      <w:szCs w:val="21"/>
                      <w:lang w:val="en-US" w:eastAsia="zh-CN"/>
                    </w:rPr>
                    <w:t>面</w:t>
                  </w:r>
                  <w:r>
                    <w:rPr>
                      <w:rFonts w:hint="eastAsia"/>
                      <w:sz w:val="21"/>
                      <w:szCs w:val="21"/>
                    </w:rPr>
                    <w:t>漆</w:t>
                  </w:r>
                </w:p>
              </w:tc>
              <w:tc>
                <w:tcPr>
                  <w:tcW w:w="745" w:type="pct"/>
                  <w:vAlign w:val="center"/>
                </w:tcPr>
                <w:p w14:paraId="7DCE3FED">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2.7</w:t>
                  </w:r>
                </w:p>
              </w:tc>
              <w:tc>
                <w:tcPr>
                  <w:tcW w:w="827" w:type="pct"/>
                  <w:vAlign w:val="center"/>
                </w:tcPr>
                <w:p w14:paraId="1CBD9225">
                  <w:pPr>
                    <w:autoSpaceDE w:val="0"/>
                    <w:autoSpaceDN w:val="0"/>
                    <w:adjustRightInd w:val="0"/>
                    <w:snapToGrid w:val="0"/>
                    <w:jc w:val="center"/>
                    <w:rPr>
                      <w:sz w:val="21"/>
                      <w:szCs w:val="21"/>
                    </w:rPr>
                  </w:pPr>
                  <w:r>
                    <w:rPr>
                      <w:rFonts w:hint="eastAsia"/>
                      <w:sz w:val="21"/>
                      <w:szCs w:val="21"/>
                    </w:rPr>
                    <w:t>VOCs</w:t>
                  </w:r>
                </w:p>
              </w:tc>
              <w:tc>
                <w:tcPr>
                  <w:tcW w:w="662" w:type="pct"/>
                  <w:vAlign w:val="center"/>
                </w:tcPr>
                <w:p w14:paraId="1FBD4B37">
                  <w:pPr>
                    <w:autoSpaceDE w:val="0"/>
                    <w:autoSpaceDN w:val="0"/>
                    <w:adjustRightInd w:val="0"/>
                    <w:snapToGrid w:val="0"/>
                    <w:jc w:val="center"/>
                    <w:rPr>
                      <w:color w:val="auto"/>
                      <w:sz w:val="21"/>
                      <w:szCs w:val="21"/>
                    </w:rPr>
                  </w:pPr>
                  <w:r>
                    <w:rPr>
                      <w:rFonts w:hint="eastAsia"/>
                      <w:color w:val="auto"/>
                      <w:sz w:val="21"/>
                      <w:szCs w:val="21"/>
                      <w:lang w:val="en-US" w:eastAsia="zh-CN"/>
                    </w:rPr>
                    <w:t>320</w:t>
                  </w:r>
                  <w:r>
                    <w:rPr>
                      <w:rFonts w:hint="eastAsia"/>
                      <w:color w:val="auto"/>
                      <w:sz w:val="21"/>
                      <w:szCs w:val="21"/>
                    </w:rPr>
                    <w:t>g/L</w:t>
                  </w:r>
                </w:p>
              </w:tc>
              <w:tc>
                <w:tcPr>
                  <w:tcW w:w="1466" w:type="pct"/>
                  <w:vAlign w:val="center"/>
                </w:tcPr>
                <w:p w14:paraId="764E3F40">
                  <w:pPr>
                    <w:autoSpaceDE w:val="0"/>
                    <w:autoSpaceDN w:val="0"/>
                    <w:adjustRightInd w:val="0"/>
                    <w:snapToGrid w:val="0"/>
                    <w:jc w:val="center"/>
                    <w:rPr>
                      <w:rFonts w:hint="default" w:eastAsia="宋体"/>
                      <w:color w:val="FF0000"/>
                      <w:sz w:val="21"/>
                      <w:szCs w:val="21"/>
                      <w:lang w:val="en-US" w:eastAsia="zh-CN"/>
                    </w:rPr>
                  </w:pPr>
                  <w:r>
                    <w:rPr>
                      <w:rFonts w:hint="eastAsia"/>
                      <w:color w:val="auto"/>
                      <w:sz w:val="21"/>
                      <w:szCs w:val="21"/>
                      <w:lang w:val="en-US" w:eastAsia="zh-CN"/>
                    </w:rPr>
                    <w:t>829.44</w:t>
                  </w:r>
                </w:p>
              </w:tc>
            </w:tr>
            <w:tr w14:paraId="4D132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Align w:val="center"/>
                </w:tcPr>
                <w:p w14:paraId="69412980">
                  <w:pPr>
                    <w:autoSpaceDE w:val="0"/>
                    <w:autoSpaceDN w:val="0"/>
                    <w:adjustRightInd w:val="0"/>
                    <w:snapToGrid w:val="0"/>
                    <w:jc w:val="center"/>
                    <w:rPr>
                      <w:sz w:val="21"/>
                      <w:szCs w:val="21"/>
                    </w:rPr>
                  </w:pPr>
                  <w:r>
                    <w:rPr>
                      <w:rFonts w:hint="eastAsia"/>
                      <w:sz w:val="21"/>
                      <w:szCs w:val="21"/>
                    </w:rPr>
                    <w:t>4</w:t>
                  </w:r>
                </w:p>
              </w:tc>
              <w:tc>
                <w:tcPr>
                  <w:tcW w:w="910" w:type="pct"/>
                  <w:vAlign w:val="center"/>
                </w:tcPr>
                <w:p w14:paraId="2819256E">
                  <w:pPr>
                    <w:autoSpaceDE w:val="0"/>
                    <w:autoSpaceDN w:val="0"/>
                    <w:adjustRightInd w:val="0"/>
                    <w:snapToGrid w:val="0"/>
                    <w:jc w:val="center"/>
                    <w:rPr>
                      <w:sz w:val="21"/>
                      <w:szCs w:val="21"/>
                    </w:rPr>
                  </w:pPr>
                  <w:r>
                    <w:rPr>
                      <w:rFonts w:hint="eastAsia"/>
                      <w:sz w:val="21"/>
                      <w:szCs w:val="21"/>
                    </w:rPr>
                    <w:t>稀释剂</w:t>
                  </w:r>
                </w:p>
              </w:tc>
              <w:tc>
                <w:tcPr>
                  <w:tcW w:w="745" w:type="pct"/>
                  <w:vAlign w:val="center"/>
                </w:tcPr>
                <w:p w14:paraId="6E591126">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5.11</w:t>
                  </w:r>
                </w:p>
              </w:tc>
              <w:tc>
                <w:tcPr>
                  <w:tcW w:w="827" w:type="pct"/>
                  <w:vAlign w:val="center"/>
                </w:tcPr>
                <w:p w14:paraId="1635E628">
                  <w:pPr>
                    <w:autoSpaceDE w:val="0"/>
                    <w:autoSpaceDN w:val="0"/>
                    <w:adjustRightInd w:val="0"/>
                    <w:snapToGrid w:val="0"/>
                    <w:jc w:val="center"/>
                    <w:rPr>
                      <w:sz w:val="21"/>
                      <w:szCs w:val="21"/>
                    </w:rPr>
                  </w:pPr>
                  <w:r>
                    <w:rPr>
                      <w:rFonts w:hint="eastAsia"/>
                      <w:sz w:val="21"/>
                      <w:szCs w:val="21"/>
                    </w:rPr>
                    <w:t>VOCs</w:t>
                  </w:r>
                </w:p>
              </w:tc>
              <w:tc>
                <w:tcPr>
                  <w:tcW w:w="662" w:type="pct"/>
                  <w:vAlign w:val="center"/>
                </w:tcPr>
                <w:p w14:paraId="5005A853">
                  <w:pPr>
                    <w:autoSpaceDE w:val="0"/>
                    <w:autoSpaceDN w:val="0"/>
                    <w:adjustRightInd w:val="0"/>
                    <w:snapToGrid w:val="0"/>
                    <w:jc w:val="center"/>
                    <w:rPr>
                      <w:color w:val="auto"/>
                      <w:sz w:val="21"/>
                      <w:szCs w:val="21"/>
                    </w:rPr>
                  </w:pPr>
                  <w:r>
                    <w:rPr>
                      <w:rFonts w:hint="eastAsia"/>
                      <w:color w:val="auto"/>
                      <w:sz w:val="21"/>
                      <w:szCs w:val="21"/>
                      <w:lang w:val="en-US" w:eastAsia="zh-CN"/>
                    </w:rPr>
                    <w:t>75</w:t>
                  </w:r>
                  <w:r>
                    <w:rPr>
                      <w:rFonts w:hint="eastAsia"/>
                      <w:color w:val="auto"/>
                      <w:sz w:val="21"/>
                      <w:szCs w:val="21"/>
                    </w:rPr>
                    <w:t>%</w:t>
                  </w:r>
                </w:p>
              </w:tc>
              <w:tc>
                <w:tcPr>
                  <w:tcW w:w="1466" w:type="pct"/>
                  <w:vAlign w:val="center"/>
                </w:tcPr>
                <w:p w14:paraId="573F1E3A">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3832.5</w:t>
                  </w:r>
                </w:p>
              </w:tc>
            </w:tr>
            <w:tr w14:paraId="18D15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restart"/>
                  <w:vAlign w:val="center"/>
                </w:tcPr>
                <w:p w14:paraId="059484CD">
                  <w:pPr>
                    <w:autoSpaceDE w:val="0"/>
                    <w:autoSpaceDN w:val="0"/>
                    <w:adjustRightInd w:val="0"/>
                    <w:snapToGrid w:val="0"/>
                    <w:jc w:val="center"/>
                    <w:rPr>
                      <w:sz w:val="21"/>
                      <w:szCs w:val="21"/>
                    </w:rPr>
                  </w:pPr>
                  <w:r>
                    <w:rPr>
                      <w:rFonts w:hint="eastAsia"/>
                      <w:sz w:val="21"/>
                      <w:szCs w:val="21"/>
                    </w:rPr>
                    <w:t>5</w:t>
                  </w:r>
                </w:p>
              </w:tc>
              <w:tc>
                <w:tcPr>
                  <w:tcW w:w="910" w:type="pct"/>
                  <w:vMerge w:val="restart"/>
                  <w:vAlign w:val="center"/>
                </w:tcPr>
                <w:p w14:paraId="2023640F">
                  <w:pPr>
                    <w:autoSpaceDE w:val="0"/>
                    <w:autoSpaceDN w:val="0"/>
                    <w:adjustRightInd w:val="0"/>
                    <w:snapToGrid w:val="0"/>
                    <w:jc w:val="center"/>
                    <w:rPr>
                      <w:sz w:val="21"/>
                      <w:szCs w:val="21"/>
                    </w:rPr>
                  </w:pPr>
                  <w:r>
                    <w:rPr>
                      <w:rFonts w:hint="eastAsia"/>
                      <w:sz w:val="21"/>
                      <w:szCs w:val="21"/>
                    </w:rPr>
                    <w:t>固化剂</w:t>
                  </w:r>
                </w:p>
              </w:tc>
              <w:tc>
                <w:tcPr>
                  <w:tcW w:w="745" w:type="pct"/>
                  <w:vMerge w:val="restart"/>
                  <w:vAlign w:val="center"/>
                </w:tcPr>
                <w:p w14:paraId="713B99D6">
                  <w:pPr>
                    <w:autoSpaceDE w:val="0"/>
                    <w:autoSpaceDN w:val="0"/>
                    <w:adjustRightInd w:val="0"/>
                    <w:snapToGrid w:val="0"/>
                    <w:jc w:val="center"/>
                    <w:rPr>
                      <w:rFonts w:hint="default" w:eastAsia="宋体"/>
                      <w:color w:val="FF0000"/>
                      <w:sz w:val="21"/>
                      <w:szCs w:val="21"/>
                      <w:lang w:val="en-US" w:eastAsia="zh-CN"/>
                    </w:rPr>
                  </w:pPr>
                  <w:r>
                    <w:rPr>
                      <w:rFonts w:hint="eastAsia"/>
                      <w:color w:val="auto"/>
                      <w:sz w:val="21"/>
                      <w:szCs w:val="21"/>
                      <w:lang w:val="en-US" w:eastAsia="zh-CN"/>
                    </w:rPr>
                    <w:t>0.5</w:t>
                  </w:r>
                </w:p>
              </w:tc>
              <w:tc>
                <w:tcPr>
                  <w:tcW w:w="827" w:type="pct"/>
                  <w:vAlign w:val="center"/>
                </w:tcPr>
                <w:p w14:paraId="2CACFB22">
                  <w:pPr>
                    <w:autoSpaceDE w:val="0"/>
                    <w:autoSpaceDN w:val="0"/>
                    <w:adjustRightInd w:val="0"/>
                    <w:snapToGrid w:val="0"/>
                    <w:jc w:val="center"/>
                    <w:rPr>
                      <w:sz w:val="21"/>
                      <w:szCs w:val="21"/>
                    </w:rPr>
                  </w:pPr>
                  <w:r>
                    <w:rPr>
                      <w:rFonts w:hint="eastAsia"/>
                      <w:sz w:val="21"/>
                      <w:szCs w:val="21"/>
                    </w:rPr>
                    <w:t>VOCs</w:t>
                  </w:r>
                </w:p>
              </w:tc>
              <w:tc>
                <w:tcPr>
                  <w:tcW w:w="662" w:type="pct"/>
                  <w:vAlign w:val="center"/>
                </w:tcPr>
                <w:p w14:paraId="5124F539">
                  <w:pPr>
                    <w:autoSpaceDE w:val="0"/>
                    <w:autoSpaceDN w:val="0"/>
                    <w:adjustRightInd w:val="0"/>
                    <w:snapToGrid w:val="0"/>
                    <w:jc w:val="center"/>
                    <w:rPr>
                      <w:color w:val="auto"/>
                      <w:sz w:val="21"/>
                      <w:szCs w:val="21"/>
                    </w:rPr>
                  </w:pPr>
                  <w:r>
                    <w:rPr>
                      <w:rFonts w:hint="eastAsia"/>
                      <w:color w:val="auto"/>
                      <w:sz w:val="21"/>
                      <w:szCs w:val="21"/>
                      <w:lang w:val="en-US" w:eastAsia="zh-CN"/>
                    </w:rPr>
                    <w:t>40</w:t>
                  </w:r>
                  <w:r>
                    <w:rPr>
                      <w:rFonts w:hint="eastAsia"/>
                      <w:color w:val="auto"/>
                      <w:sz w:val="21"/>
                      <w:szCs w:val="21"/>
                    </w:rPr>
                    <w:t>%</w:t>
                  </w:r>
                </w:p>
              </w:tc>
              <w:tc>
                <w:tcPr>
                  <w:tcW w:w="1466" w:type="pct"/>
                  <w:vAlign w:val="center"/>
                </w:tcPr>
                <w:p w14:paraId="03972E1A">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200</w:t>
                  </w:r>
                </w:p>
              </w:tc>
            </w:tr>
            <w:tr w14:paraId="2C374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vAlign w:val="center"/>
                </w:tcPr>
                <w:p w14:paraId="5062A4D1">
                  <w:pPr>
                    <w:autoSpaceDE w:val="0"/>
                    <w:autoSpaceDN w:val="0"/>
                    <w:adjustRightInd w:val="0"/>
                    <w:snapToGrid w:val="0"/>
                    <w:jc w:val="center"/>
                    <w:rPr>
                      <w:rFonts w:hint="eastAsia"/>
                      <w:sz w:val="21"/>
                      <w:szCs w:val="21"/>
                    </w:rPr>
                  </w:pPr>
                </w:p>
              </w:tc>
              <w:tc>
                <w:tcPr>
                  <w:tcW w:w="910" w:type="pct"/>
                  <w:vMerge w:val="continue"/>
                  <w:vAlign w:val="center"/>
                </w:tcPr>
                <w:p w14:paraId="13AED6A7">
                  <w:pPr>
                    <w:autoSpaceDE w:val="0"/>
                    <w:autoSpaceDN w:val="0"/>
                    <w:adjustRightInd w:val="0"/>
                    <w:snapToGrid w:val="0"/>
                    <w:jc w:val="center"/>
                    <w:rPr>
                      <w:rFonts w:hint="eastAsia"/>
                      <w:sz w:val="21"/>
                      <w:szCs w:val="21"/>
                    </w:rPr>
                  </w:pPr>
                </w:p>
              </w:tc>
              <w:tc>
                <w:tcPr>
                  <w:tcW w:w="745" w:type="pct"/>
                  <w:vMerge w:val="continue"/>
                  <w:vAlign w:val="center"/>
                </w:tcPr>
                <w:p w14:paraId="6D2B9715">
                  <w:pPr>
                    <w:autoSpaceDE w:val="0"/>
                    <w:autoSpaceDN w:val="0"/>
                    <w:adjustRightInd w:val="0"/>
                    <w:snapToGrid w:val="0"/>
                    <w:jc w:val="center"/>
                    <w:rPr>
                      <w:rFonts w:hint="eastAsia"/>
                      <w:color w:val="auto"/>
                      <w:sz w:val="21"/>
                      <w:szCs w:val="21"/>
                      <w:lang w:val="en-US" w:eastAsia="zh-CN"/>
                    </w:rPr>
                  </w:pPr>
                </w:p>
              </w:tc>
              <w:tc>
                <w:tcPr>
                  <w:tcW w:w="1355" w:type="dxa"/>
                  <w:vAlign w:val="center"/>
                </w:tcPr>
                <w:p w14:paraId="219D409E">
                  <w:pPr>
                    <w:autoSpaceDE w:val="0"/>
                    <w:autoSpaceDN w:val="0"/>
                    <w:adjustRightInd w:val="0"/>
                    <w:snapToGrid w:val="0"/>
                    <w:jc w:val="center"/>
                    <w:rPr>
                      <w:rFonts w:hint="eastAsia"/>
                      <w:sz w:val="21"/>
                      <w:szCs w:val="21"/>
                    </w:rPr>
                  </w:pPr>
                  <w:r>
                    <w:rPr>
                      <w:rFonts w:hint="eastAsia"/>
                      <w:sz w:val="21"/>
                      <w:szCs w:val="21"/>
                    </w:rPr>
                    <w:t>二甲苯</w:t>
                  </w:r>
                </w:p>
              </w:tc>
              <w:tc>
                <w:tcPr>
                  <w:tcW w:w="662" w:type="pct"/>
                  <w:vAlign w:val="center"/>
                </w:tcPr>
                <w:p w14:paraId="669F654F">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1%</w:t>
                  </w:r>
                </w:p>
              </w:tc>
              <w:tc>
                <w:tcPr>
                  <w:tcW w:w="1466" w:type="pct"/>
                  <w:vAlign w:val="center"/>
                </w:tcPr>
                <w:p w14:paraId="5B025F11">
                  <w:pPr>
                    <w:autoSpaceDE w:val="0"/>
                    <w:autoSpaceDN w:val="0"/>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5</w:t>
                  </w:r>
                </w:p>
              </w:tc>
            </w:tr>
            <w:tr w14:paraId="5831F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vMerge w:val="continue"/>
                  <w:vAlign w:val="center"/>
                </w:tcPr>
                <w:p w14:paraId="610034B7">
                  <w:pPr>
                    <w:autoSpaceDE w:val="0"/>
                    <w:autoSpaceDN w:val="0"/>
                    <w:adjustRightInd w:val="0"/>
                    <w:snapToGrid w:val="0"/>
                    <w:jc w:val="center"/>
                    <w:rPr>
                      <w:rFonts w:hint="eastAsia"/>
                      <w:sz w:val="21"/>
                      <w:szCs w:val="21"/>
                    </w:rPr>
                  </w:pPr>
                </w:p>
              </w:tc>
              <w:tc>
                <w:tcPr>
                  <w:tcW w:w="910" w:type="pct"/>
                  <w:vMerge w:val="continue"/>
                  <w:vAlign w:val="center"/>
                </w:tcPr>
                <w:p w14:paraId="2D253380">
                  <w:pPr>
                    <w:autoSpaceDE w:val="0"/>
                    <w:autoSpaceDN w:val="0"/>
                    <w:adjustRightInd w:val="0"/>
                    <w:snapToGrid w:val="0"/>
                    <w:jc w:val="center"/>
                    <w:rPr>
                      <w:rFonts w:hint="eastAsia"/>
                      <w:sz w:val="21"/>
                      <w:szCs w:val="21"/>
                    </w:rPr>
                  </w:pPr>
                </w:p>
              </w:tc>
              <w:tc>
                <w:tcPr>
                  <w:tcW w:w="745" w:type="pct"/>
                  <w:vMerge w:val="continue"/>
                  <w:vAlign w:val="center"/>
                </w:tcPr>
                <w:p w14:paraId="1FAEC46E">
                  <w:pPr>
                    <w:autoSpaceDE w:val="0"/>
                    <w:autoSpaceDN w:val="0"/>
                    <w:adjustRightInd w:val="0"/>
                    <w:snapToGrid w:val="0"/>
                    <w:jc w:val="center"/>
                    <w:rPr>
                      <w:rFonts w:hint="eastAsia"/>
                      <w:color w:val="auto"/>
                      <w:sz w:val="21"/>
                      <w:szCs w:val="21"/>
                      <w:lang w:val="en-US" w:eastAsia="zh-CN"/>
                    </w:rPr>
                  </w:pPr>
                </w:p>
              </w:tc>
              <w:tc>
                <w:tcPr>
                  <w:tcW w:w="1355" w:type="dxa"/>
                  <w:vAlign w:val="center"/>
                </w:tcPr>
                <w:p w14:paraId="0BE0EC2B">
                  <w:pPr>
                    <w:autoSpaceDE w:val="0"/>
                    <w:autoSpaceDN w:val="0"/>
                    <w:adjustRightInd w:val="0"/>
                    <w:snapToGrid w:val="0"/>
                    <w:jc w:val="center"/>
                    <w:rPr>
                      <w:rFonts w:hint="eastAsia"/>
                      <w:sz w:val="21"/>
                      <w:szCs w:val="21"/>
                    </w:rPr>
                  </w:pPr>
                  <w:r>
                    <w:rPr>
                      <w:rFonts w:hint="eastAsia"/>
                      <w:sz w:val="21"/>
                      <w:szCs w:val="21"/>
                    </w:rPr>
                    <w:t>乙苯</w:t>
                  </w:r>
                </w:p>
              </w:tc>
              <w:tc>
                <w:tcPr>
                  <w:tcW w:w="662" w:type="pct"/>
                  <w:vAlign w:val="center"/>
                </w:tcPr>
                <w:p w14:paraId="3BFA89D8">
                  <w:pPr>
                    <w:autoSpaceDE w:val="0"/>
                    <w:autoSpaceDN w:val="0"/>
                    <w:adjustRightInd w:val="0"/>
                    <w:snapToGrid w:val="0"/>
                    <w:jc w:val="center"/>
                    <w:rPr>
                      <w:rFonts w:hint="default"/>
                      <w:color w:val="auto"/>
                      <w:sz w:val="21"/>
                      <w:szCs w:val="21"/>
                      <w:lang w:val="en-US" w:eastAsia="zh-CN"/>
                    </w:rPr>
                  </w:pPr>
                  <w:r>
                    <w:rPr>
                      <w:rFonts w:hint="eastAsia"/>
                      <w:color w:val="auto"/>
                      <w:sz w:val="21"/>
                      <w:szCs w:val="21"/>
                      <w:lang w:val="en-US" w:eastAsia="zh-CN"/>
                    </w:rPr>
                    <w:t>0.1%</w:t>
                  </w:r>
                </w:p>
              </w:tc>
              <w:tc>
                <w:tcPr>
                  <w:tcW w:w="1466" w:type="pct"/>
                  <w:vAlign w:val="center"/>
                </w:tcPr>
                <w:p w14:paraId="5B7549D9">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0.5</w:t>
                  </w:r>
                </w:p>
              </w:tc>
            </w:tr>
          </w:tbl>
          <w:p w14:paraId="52ECC32F">
            <w:pPr>
              <w:numPr>
                <w:ilvl w:val="0"/>
                <w:numId w:val="0"/>
              </w:numPr>
              <w:spacing w:line="360" w:lineRule="auto"/>
              <w:ind w:firstLine="420" w:firstLineChars="200"/>
              <w:rPr>
                <w:rFonts w:hint="eastAsia"/>
                <w:sz w:val="21"/>
                <w:szCs w:val="21"/>
                <w:lang w:eastAsia="zh-CN"/>
              </w:rPr>
            </w:pPr>
            <w:r>
              <w:rPr>
                <w:rFonts w:hint="eastAsia"/>
                <w:sz w:val="21"/>
                <w:szCs w:val="21"/>
              </w:rPr>
              <w:t>根据表4-</w:t>
            </w:r>
            <w:r>
              <w:rPr>
                <w:rFonts w:hint="eastAsia"/>
                <w:sz w:val="21"/>
                <w:szCs w:val="21"/>
                <w:lang w:val="en-US" w:eastAsia="zh-CN"/>
              </w:rPr>
              <w:t>3</w:t>
            </w:r>
            <w:r>
              <w:rPr>
                <w:rFonts w:hint="eastAsia"/>
                <w:sz w:val="21"/>
                <w:szCs w:val="21"/>
              </w:rPr>
              <w:t>计算，</w:t>
            </w:r>
            <w:r>
              <w:rPr>
                <w:rFonts w:hint="eastAsia"/>
                <w:color w:val="auto"/>
                <w:sz w:val="21"/>
                <w:szCs w:val="21"/>
              </w:rPr>
              <w:t>本项目</w:t>
            </w:r>
            <w:r>
              <w:rPr>
                <w:rFonts w:hint="eastAsia"/>
                <w:color w:val="auto"/>
                <w:sz w:val="21"/>
                <w:szCs w:val="21"/>
                <w:lang w:val="en-US" w:eastAsia="zh-CN"/>
              </w:rPr>
              <w:t>喷涂房</w:t>
            </w:r>
            <w:r>
              <w:rPr>
                <w:rFonts w:hint="eastAsia"/>
                <w:color w:val="auto"/>
                <w:sz w:val="21"/>
                <w:szCs w:val="21"/>
              </w:rPr>
              <w:t>VOCs产生总量为</w:t>
            </w:r>
            <w:r>
              <w:rPr>
                <w:rFonts w:hint="eastAsia"/>
                <w:color w:val="auto"/>
                <w:sz w:val="21"/>
                <w:szCs w:val="21"/>
                <w:lang w:val="en-US" w:eastAsia="zh-CN"/>
              </w:rPr>
              <w:t>7676.09</w:t>
            </w:r>
            <w:r>
              <w:rPr>
                <w:rFonts w:hint="eastAsia"/>
                <w:color w:val="auto"/>
                <w:sz w:val="21"/>
                <w:szCs w:val="21"/>
              </w:rPr>
              <w:t>kg/a，二甲苯产生总量为</w:t>
            </w:r>
            <w:r>
              <w:rPr>
                <w:rFonts w:hint="eastAsia"/>
                <w:color w:val="auto"/>
                <w:sz w:val="21"/>
                <w:szCs w:val="21"/>
                <w:lang w:val="en-US" w:eastAsia="zh-CN"/>
              </w:rPr>
              <w:t>125</w:t>
            </w:r>
            <w:r>
              <w:rPr>
                <w:rFonts w:hint="eastAsia"/>
                <w:color w:val="auto"/>
                <w:sz w:val="21"/>
                <w:szCs w:val="21"/>
              </w:rPr>
              <w:t>kg/a，乙苯产生总量为</w:t>
            </w:r>
            <w:r>
              <w:rPr>
                <w:rFonts w:hint="eastAsia"/>
                <w:color w:val="auto"/>
                <w:sz w:val="21"/>
                <w:szCs w:val="21"/>
                <w:lang w:val="en-US" w:eastAsia="zh-CN"/>
              </w:rPr>
              <w:t>18.5</w:t>
            </w:r>
            <w:r>
              <w:rPr>
                <w:rFonts w:hint="eastAsia"/>
                <w:color w:val="auto"/>
                <w:sz w:val="21"/>
                <w:szCs w:val="21"/>
              </w:rPr>
              <w:t>kg/a</w:t>
            </w:r>
            <w:r>
              <w:rPr>
                <w:rFonts w:hint="eastAsia"/>
                <w:color w:val="auto"/>
                <w:sz w:val="21"/>
                <w:szCs w:val="21"/>
                <w:lang w:eastAsia="zh-CN"/>
              </w:rPr>
              <w:t>。</w:t>
            </w:r>
          </w:p>
          <w:p w14:paraId="7FF95BBC">
            <w:pPr>
              <w:pStyle w:val="5"/>
              <w:numPr>
                <w:ilvl w:val="0"/>
                <w:numId w:val="0"/>
              </w:numPr>
              <w:spacing w:line="360" w:lineRule="auto"/>
              <w:ind w:firstLine="422" w:firstLineChars="200"/>
              <w:rPr>
                <w:rFonts w:hint="eastAsia"/>
                <w:b/>
                <w:bCs/>
                <w:snapToGrid w:val="0"/>
                <w:color w:val="auto"/>
                <w:kern w:val="0"/>
                <w:sz w:val="21"/>
                <w:szCs w:val="21"/>
                <w:highlight w:val="none"/>
                <w:lang w:val="en-US" w:eastAsia="zh-CN"/>
              </w:rPr>
            </w:pPr>
            <w:r>
              <w:rPr>
                <w:rFonts w:hint="eastAsia"/>
                <w:b/>
                <w:bCs/>
                <w:snapToGrid w:val="0"/>
                <w:color w:val="auto"/>
                <w:kern w:val="0"/>
                <w:sz w:val="21"/>
                <w:szCs w:val="21"/>
                <w:highlight w:val="none"/>
                <w:lang w:val="en-US" w:eastAsia="zh-CN"/>
              </w:rPr>
              <w:t>B、喷涂有机废气处理措施</w:t>
            </w:r>
          </w:p>
          <w:p w14:paraId="169B57E2">
            <w:pPr>
              <w:autoSpaceDE w:val="0"/>
              <w:autoSpaceDN w:val="0"/>
              <w:spacing w:line="360" w:lineRule="auto"/>
              <w:ind w:firstLine="420" w:firstLineChars="200"/>
              <w:rPr>
                <w:rFonts w:hint="eastAsia"/>
                <w:sz w:val="21"/>
                <w:szCs w:val="21"/>
              </w:rPr>
            </w:pPr>
            <w:r>
              <w:rPr>
                <w:rFonts w:hint="eastAsia"/>
                <w:sz w:val="21"/>
                <w:szCs w:val="21"/>
              </w:rPr>
              <w:t>为降低喷漆废气产生量，本项目对</w:t>
            </w:r>
            <w:r>
              <w:rPr>
                <w:rFonts w:hint="eastAsia"/>
                <w:sz w:val="21"/>
                <w:szCs w:val="21"/>
                <w:lang w:val="en-US" w:eastAsia="zh-CN"/>
              </w:rPr>
              <w:t>喷涂工艺</w:t>
            </w:r>
            <w:r>
              <w:rPr>
                <w:rFonts w:hint="eastAsia"/>
                <w:sz w:val="21"/>
                <w:szCs w:val="21"/>
              </w:rPr>
              <w:t>设置独立密闭喷</w:t>
            </w:r>
            <w:r>
              <w:rPr>
                <w:rFonts w:hint="eastAsia"/>
                <w:sz w:val="21"/>
                <w:szCs w:val="21"/>
                <w:lang w:val="en-US" w:eastAsia="zh-CN"/>
              </w:rPr>
              <w:t>涂室</w:t>
            </w:r>
            <w:r>
              <w:rPr>
                <w:rFonts w:hint="eastAsia"/>
                <w:sz w:val="21"/>
                <w:szCs w:val="21"/>
              </w:rPr>
              <w:t>，调漆在专用调漆</w:t>
            </w:r>
            <w:r>
              <w:rPr>
                <w:rFonts w:hint="eastAsia"/>
                <w:sz w:val="21"/>
                <w:szCs w:val="21"/>
                <w:lang w:val="en-US" w:eastAsia="zh-CN"/>
              </w:rPr>
              <w:t>室</w:t>
            </w:r>
            <w:r>
              <w:rPr>
                <w:rFonts w:hint="eastAsia"/>
                <w:sz w:val="21"/>
                <w:szCs w:val="21"/>
              </w:rPr>
              <w:t>进行，调漆</w:t>
            </w:r>
            <w:r>
              <w:rPr>
                <w:rFonts w:hint="eastAsia"/>
                <w:sz w:val="21"/>
                <w:szCs w:val="21"/>
                <w:lang w:val="en-US" w:eastAsia="zh-CN"/>
              </w:rPr>
              <w:t>室</w:t>
            </w:r>
            <w:r>
              <w:rPr>
                <w:rFonts w:hint="eastAsia"/>
                <w:sz w:val="21"/>
                <w:szCs w:val="21"/>
              </w:rPr>
              <w:t>密闭设置。喷</w:t>
            </w:r>
            <w:r>
              <w:rPr>
                <w:rFonts w:hint="eastAsia"/>
                <w:sz w:val="21"/>
                <w:szCs w:val="21"/>
                <w:lang w:val="en-US" w:eastAsia="zh-CN"/>
              </w:rPr>
              <w:t>涂室</w:t>
            </w:r>
            <w:r>
              <w:rPr>
                <w:rFonts w:hint="eastAsia"/>
                <w:sz w:val="21"/>
                <w:szCs w:val="21"/>
              </w:rPr>
              <w:t>、调漆</w:t>
            </w:r>
            <w:r>
              <w:rPr>
                <w:rFonts w:hint="eastAsia"/>
                <w:sz w:val="21"/>
                <w:szCs w:val="21"/>
                <w:lang w:val="en-US" w:eastAsia="zh-CN"/>
              </w:rPr>
              <w:t>室</w:t>
            </w:r>
            <w:r>
              <w:rPr>
                <w:rFonts w:hint="eastAsia"/>
                <w:sz w:val="21"/>
                <w:szCs w:val="21"/>
              </w:rPr>
              <w:t>的有机废气经</w:t>
            </w:r>
            <w:r>
              <w:rPr>
                <w:rFonts w:hint="eastAsia"/>
                <w:sz w:val="21"/>
                <w:szCs w:val="21"/>
                <w:lang w:val="en-US" w:eastAsia="zh-CN"/>
              </w:rPr>
              <w:t>二级活性炭吸附装置处理后</w:t>
            </w:r>
            <w:r>
              <w:rPr>
                <w:rFonts w:hint="eastAsia"/>
                <w:sz w:val="21"/>
                <w:szCs w:val="21"/>
              </w:rPr>
              <w:t>经过</w:t>
            </w:r>
            <w:r>
              <w:rPr>
                <w:rFonts w:hint="eastAsia"/>
                <w:sz w:val="21"/>
                <w:szCs w:val="21"/>
                <w:lang w:val="en-US" w:eastAsia="zh-CN"/>
              </w:rPr>
              <w:t>15</w:t>
            </w:r>
            <w:r>
              <w:rPr>
                <w:rFonts w:hint="eastAsia"/>
                <w:sz w:val="21"/>
                <w:szCs w:val="21"/>
              </w:rPr>
              <w:t>m排气筒</w:t>
            </w:r>
            <w:r>
              <w:rPr>
                <w:rFonts w:hint="eastAsia"/>
                <w:sz w:val="21"/>
                <w:szCs w:val="21"/>
                <w:lang w:eastAsia="zh-CN"/>
              </w:rPr>
              <w:t>（</w:t>
            </w:r>
            <w:r>
              <w:rPr>
                <w:rFonts w:hint="eastAsia"/>
                <w:sz w:val="21"/>
                <w:szCs w:val="21"/>
                <w:lang w:val="en-US" w:eastAsia="zh-CN"/>
              </w:rPr>
              <w:t>DA002~DA007</w:t>
            </w:r>
            <w:r>
              <w:rPr>
                <w:rFonts w:hint="eastAsia"/>
                <w:sz w:val="21"/>
                <w:szCs w:val="21"/>
                <w:lang w:eastAsia="zh-CN"/>
              </w:rPr>
              <w:t>）</w:t>
            </w:r>
            <w:r>
              <w:rPr>
                <w:rFonts w:hint="eastAsia"/>
                <w:sz w:val="21"/>
                <w:szCs w:val="21"/>
              </w:rPr>
              <w:t>楼顶排放。</w:t>
            </w:r>
          </w:p>
          <w:p w14:paraId="702E7184">
            <w:pPr>
              <w:numPr>
                <w:ilvl w:val="0"/>
                <w:numId w:val="0"/>
              </w:numPr>
              <w:spacing w:line="360" w:lineRule="auto"/>
              <w:ind w:firstLine="422" w:firstLineChars="200"/>
              <w:rPr>
                <w:rFonts w:hint="eastAsia"/>
                <w:b/>
                <w:bCs/>
                <w:snapToGrid w:val="0"/>
                <w:kern w:val="0"/>
                <w:sz w:val="21"/>
                <w:szCs w:val="21"/>
                <w:highlight w:val="none"/>
                <w:lang w:val="en-US" w:eastAsia="zh-CN"/>
              </w:rPr>
            </w:pPr>
            <w:r>
              <w:rPr>
                <w:rFonts w:hint="eastAsia"/>
                <w:b/>
                <w:bCs/>
                <w:snapToGrid w:val="0"/>
                <w:kern w:val="0"/>
                <w:sz w:val="21"/>
                <w:szCs w:val="21"/>
                <w:highlight w:val="none"/>
                <w:lang w:val="en-US" w:eastAsia="zh-CN"/>
              </w:rPr>
              <w:t>③风量核算</w:t>
            </w:r>
          </w:p>
          <w:p w14:paraId="03026D26">
            <w:pPr>
              <w:bidi w:val="0"/>
              <w:spacing w:line="360" w:lineRule="auto"/>
              <w:ind w:firstLine="420" w:firstLineChars="200"/>
            </w:pPr>
            <w:r>
              <w:rPr>
                <w:rFonts w:hint="eastAsia"/>
              </w:rPr>
              <w:t>本项目喷</w:t>
            </w:r>
            <w:r>
              <w:rPr>
                <w:rFonts w:hint="eastAsia"/>
                <w:lang w:val="en-US" w:eastAsia="zh-CN"/>
              </w:rPr>
              <w:t>涂</w:t>
            </w:r>
            <w:r>
              <w:rPr>
                <w:rFonts w:hint="eastAsia"/>
              </w:rPr>
              <w:t>、</w:t>
            </w:r>
            <w:r>
              <w:rPr>
                <w:rFonts w:hint="eastAsia"/>
                <w:lang w:val="en-US" w:eastAsia="zh-CN"/>
              </w:rPr>
              <w:t>调漆</w:t>
            </w:r>
            <w:r>
              <w:rPr>
                <w:rFonts w:hint="eastAsia"/>
              </w:rPr>
              <w:t>、</w:t>
            </w:r>
            <w:r>
              <w:rPr>
                <w:rFonts w:hint="eastAsia"/>
                <w:lang w:val="en-US" w:eastAsia="zh-CN"/>
              </w:rPr>
              <w:t>流平、烘干</w:t>
            </w:r>
            <w:r>
              <w:rPr>
                <w:rFonts w:hint="eastAsia"/>
              </w:rPr>
              <w:t>在密闭房间进行参考《废气处理工程技术手册》，采用密闭换气的方式进行废气收集，风量计算如下：</w:t>
            </w:r>
          </w:p>
          <w:p w14:paraId="635AE545">
            <w:pPr>
              <w:bidi w:val="0"/>
              <w:spacing w:line="360" w:lineRule="auto"/>
              <w:jc w:val="center"/>
            </w:pPr>
            <w:r>
              <w:rPr>
                <w:rFonts w:hint="eastAsia"/>
              </w:rPr>
              <w:t>Q=L×W×H×n</w:t>
            </w:r>
          </w:p>
          <w:p w14:paraId="7AB892B5">
            <w:pPr>
              <w:bidi w:val="0"/>
              <w:spacing w:line="360" w:lineRule="auto"/>
              <w:ind w:firstLine="420" w:firstLineChars="200"/>
            </w:pPr>
            <w:r>
              <w:rPr>
                <w:rFonts w:hint="eastAsia"/>
              </w:rPr>
              <w:t>式中：</w:t>
            </w:r>
          </w:p>
          <w:p w14:paraId="59C29C5A">
            <w:pPr>
              <w:bidi w:val="0"/>
              <w:spacing w:line="360" w:lineRule="auto"/>
              <w:ind w:firstLine="840" w:firstLineChars="400"/>
            </w:pPr>
            <w:r>
              <w:rPr>
                <w:rFonts w:hint="eastAsia"/>
              </w:rPr>
              <w:t>Q——风量，m</w:t>
            </w:r>
            <w:r>
              <w:rPr>
                <w:rFonts w:hint="eastAsia"/>
                <w:vertAlign w:val="superscript"/>
              </w:rPr>
              <w:t>3</w:t>
            </w:r>
            <w:r>
              <w:rPr>
                <w:rFonts w:hint="eastAsia"/>
              </w:rPr>
              <w:t>/h；</w:t>
            </w:r>
          </w:p>
          <w:p w14:paraId="39629700">
            <w:pPr>
              <w:bidi w:val="0"/>
              <w:spacing w:line="360" w:lineRule="auto"/>
              <w:ind w:firstLine="840" w:firstLineChars="400"/>
            </w:pPr>
            <w:r>
              <w:rPr>
                <w:rFonts w:hint="eastAsia"/>
              </w:rPr>
              <w:t>L——室体内长度，m；</w:t>
            </w:r>
          </w:p>
          <w:p w14:paraId="08074424">
            <w:pPr>
              <w:bidi w:val="0"/>
              <w:spacing w:line="360" w:lineRule="auto"/>
              <w:ind w:firstLine="840" w:firstLineChars="400"/>
            </w:pPr>
            <w:r>
              <w:rPr>
                <w:rFonts w:hint="eastAsia"/>
              </w:rPr>
              <w:t>W——室体内宽度，m；</w:t>
            </w:r>
          </w:p>
          <w:p w14:paraId="3DCD3051">
            <w:pPr>
              <w:bidi w:val="0"/>
              <w:spacing w:line="360" w:lineRule="auto"/>
              <w:ind w:firstLine="840" w:firstLineChars="400"/>
            </w:pPr>
            <w:r>
              <w:rPr>
                <w:rFonts w:hint="eastAsia"/>
              </w:rPr>
              <w:t>H——为室体内高度，m；</w:t>
            </w:r>
          </w:p>
          <w:p w14:paraId="16630910">
            <w:pPr>
              <w:bidi w:val="0"/>
              <w:spacing w:line="360" w:lineRule="auto"/>
              <w:ind w:firstLine="840" w:firstLineChars="400"/>
              <w:rPr>
                <w:rFonts w:hint="eastAsia" w:ascii="Times New Roman" w:hAnsi="Times New Roman" w:eastAsia="宋体" w:cs="Times New Roman"/>
                <w:sz w:val="21"/>
                <w:szCs w:val="21"/>
                <w:lang w:val="en-US" w:eastAsia="zh-CN"/>
              </w:rPr>
            </w:pPr>
            <w:r>
              <w:rPr>
                <w:rFonts w:hint="eastAsia"/>
              </w:rPr>
              <w:t>n——换气次数；根据《汽车涂装设备设计手册》喷</w:t>
            </w:r>
            <w:r>
              <w:rPr>
                <w:rFonts w:hint="eastAsia"/>
                <w:lang w:val="en-US" w:eastAsia="zh-CN"/>
              </w:rPr>
              <w:t>涂室</w:t>
            </w:r>
            <w:r>
              <w:rPr>
                <w:rFonts w:hint="eastAsia"/>
              </w:rPr>
              <w:t>换气次数为</w:t>
            </w:r>
            <w:r>
              <w:rPr>
                <w:rFonts w:hint="eastAsia"/>
                <w:lang w:val="en-US" w:eastAsia="zh-CN"/>
              </w:rPr>
              <w:t>300</w:t>
            </w:r>
            <w:r>
              <w:rPr>
                <w:rFonts w:hint="eastAsia"/>
              </w:rPr>
              <w:t>次/h，</w:t>
            </w:r>
            <w:r>
              <w:rPr>
                <w:rFonts w:hint="eastAsia"/>
                <w:lang w:val="en-US" w:eastAsia="zh-CN"/>
              </w:rPr>
              <w:t>流平室</w:t>
            </w:r>
            <w:r>
              <w:rPr>
                <w:rFonts w:hint="eastAsia"/>
              </w:rPr>
              <w:t>换气次数</w:t>
            </w:r>
            <w:r>
              <w:rPr>
                <w:rFonts w:hint="eastAsia"/>
                <w:lang w:val="en-US" w:eastAsia="zh-CN"/>
              </w:rPr>
              <w:t>30</w:t>
            </w:r>
            <w:r>
              <w:rPr>
                <w:rFonts w:hint="eastAsia"/>
              </w:rPr>
              <w:t>次/h，调漆室换气次数20次/h，</w:t>
            </w:r>
            <w:r>
              <w:rPr>
                <w:rFonts w:hint="eastAsia"/>
                <w:lang w:val="en-US" w:eastAsia="zh-CN"/>
              </w:rPr>
              <w:t>烘干室通道</w:t>
            </w:r>
            <w:r>
              <w:rPr>
                <w:rFonts w:hint="eastAsia"/>
              </w:rPr>
              <w:t>换气次数</w:t>
            </w:r>
            <w:r>
              <w:rPr>
                <w:rFonts w:hint="eastAsia"/>
                <w:lang w:val="en-US" w:eastAsia="zh-CN"/>
              </w:rPr>
              <w:t>120</w:t>
            </w:r>
            <w:r>
              <w:rPr>
                <w:rFonts w:hint="eastAsia"/>
              </w:rPr>
              <w:t>次/h</w:t>
            </w:r>
            <w:r>
              <w:rPr>
                <w:rFonts w:hint="eastAsia"/>
                <w:lang w:eastAsia="zh-CN"/>
              </w:rPr>
              <w:t>，</w:t>
            </w:r>
            <w:r>
              <w:rPr>
                <w:rFonts w:hint="eastAsia"/>
                <w:lang w:val="en-US" w:eastAsia="zh-CN"/>
              </w:rPr>
              <w:t>除尘区域（表面准备室）</w:t>
            </w:r>
            <w:r>
              <w:rPr>
                <w:rFonts w:hint="eastAsia"/>
              </w:rPr>
              <w:t>换气次数20</w:t>
            </w:r>
            <w:r>
              <w:rPr>
                <w:rFonts w:hint="eastAsia"/>
                <w:lang w:val="en-US" w:eastAsia="zh-CN"/>
              </w:rPr>
              <w:t>0</w:t>
            </w:r>
            <w:r>
              <w:rPr>
                <w:rFonts w:hint="eastAsia"/>
              </w:rPr>
              <w:t>次/h。</w:t>
            </w:r>
          </w:p>
          <w:p w14:paraId="1A2F57E5">
            <w:pPr>
              <w:adjustRightInd w:val="0"/>
              <w:snapToGrid w:val="0"/>
              <w:jc w:val="center"/>
              <w:rPr>
                <w:b/>
                <w:spacing w:val="-10"/>
                <w:sz w:val="21"/>
                <w:szCs w:val="21"/>
              </w:rPr>
            </w:pPr>
            <w:r>
              <w:rPr>
                <w:b/>
                <w:spacing w:val="-10"/>
                <w:sz w:val="21"/>
                <w:szCs w:val="21"/>
              </w:rPr>
              <w:t>表4-</w:t>
            </w:r>
            <w:r>
              <w:rPr>
                <w:rFonts w:hint="eastAsia"/>
                <w:b/>
                <w:spacing w:val="-10"/>
                <w:sz w:val="21"/>
                <w:szCs w:val="21"/>
              </w:rPr>
              <w:t>4</w:t>
            </w:r>
            <w:r>
              <w:rPr>
                <w:b/>
                <w:spacing w:val="-10"/>
                <w:sz w:val="21"/>
                <w:szCs w:val="21"/>
              </w:rPr>
              <w:t xml:space="preserve">  </w:t>
            </w:r>
            <w:r>
              <w:rPr>
                <w:rFonts w:hint="eastAsia"/>
                <w:b/>
                <w:spacing w:val="-10"/>
                <w:sz w:val="21"/>
                <w:szCs w:val="21"/>
                <w:lang w:val="en-US" w:eastAsia="zh-CN"/>
              </w:rPr>
              <w:t>喷涂生产线</w:t>
            </w:r>
            <w:r>
              <w:rPr>
                <w:rFonts w:hint="eastAsia"/>
                <w:b/>
                <w:spacing w:val="-10"/>
                <w:sz w:val="21"/>
                <w:szCs w:val="21"/>
              </w:rPr>
              <w:t>风量分配计算</w:t>
            </w:r>
            <w:r>
              <w:rPr>
                <w:b/>
                <w:spacing w:val="-10"/>
                <w:sz w:val="21"/>
                <w:szCs w:val="21"/>
              </w:rPr>
              <w:t>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427"/>
              <w:gridCol w:w="907"/>
              <w:gridCol w:w="1403"/>
              <w:gridCol w:w="876"/>
              <w:gridCol w:w="1310"/>
              <w:gridCol w:w="1388"/>
            </w:tblGrid>
            <w:tr w14:paraId="477DA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Align w:val="center"/>
                </w:tcPr>
                <w:p w14:paraId="3053E673">
                  <w:pPr>
                    <w:spacing w:line="240" w:lineRule="auto"/>
                    <w:jc w:val="center"/>
                    <w:rPr>
                      <w:szCs w:val="21"/>
                    </w:rPr>
                  </w:pPr>
                  <w:r>
                    <w:rPr>
                      <w:rFonts w:hint="eastAsia"/>
                      <w:szCs w:val="21"/>
                      <w:lang w:val="en-US" w:eastAsia="zh-CN"/>
                    </w:rPr>
                    <w:t>喷涂线</w:t>
                  </w:r>
                </w:p>
              </w:tc>
              <w:tc>
                <w:tcPr>
                  <w:tcW w:w="872" w:type="pct"/>
                  <w:vAlign w:val="center"/>
                </w:tcPr>
                <w:p w14:paraId="70FCB324">
                  <w:pPr>
                    <w:spacing w:line="240" w:lineRule="auto"/>
                    <w:jc w:val="center"/>
                    <w:rPr>
                      <w:szCs w:val="21"/>
                    </w:rPr>
                  </w:pPr>
                  <w:r>
                    <w:rPr>
                      <w:rFonts w:hint="eastAsia"/>
                      <w:szCs w:val="21"/>
                    </w:rPr>
                    <w:t>设备</w:t>
                  </w:r>
                </w:p>
              </w:tc>
              <w:tc>
                <w:tcPr>
                  <w:tcW w:w="554" w:type="pct"/>
                  <w:vAlign w:val="center"/>
                </w:tcPr>
                <w:p w14:paraId="2A286376">
                  <w:pPr>
                    <w:spacing w:line="240" w:lineRule="auto"/>
                    <w:jc w:val="center"/>
                    <w:rPr>
                      <w:szCs w:val="21"/>
                    </w:rPr>
                  </w:pPr>
                  <w:r>
                    <w:rPr>
                      <w:rFonts w:hint="eastAsia"/>
                      <w:szCs w:val="21"/>
                    </w:rPr>
                    <w:t>数量（间）</w:t>
                  </w:r>
                </w:p>
              </w:tc>
              <w:tc>
                <w:tcPr>
                  <w:tcW w:w="1392" w:type="pct"/>
                  <w:gridSpan w:val="2"/>
                  <w:vAlign w:val="center"/>
                </w:tcPr>
                <w:p w14:paraId="1134B9BC">
                  <w:pPr>
                    <w:spacing w:line="240" w:lineRule="auto"/>
                    <w:jc w:val="center"/>
                    <w:rPr>
                      <w:szCs w:val="21"/>
                    </w:rPr>
                  </w:pPr>
                  <w:r>
                    <w:rPr>
                      <w:rFonts w:hint="eastAsia"/>
                      <w:szCs w:val="21"/>
                    </w:rPr>
                    <w:t>尺寸</w:t>
                  </w:r>
                </w:p>
              </w:tc>
              <w:tc>
                <w:tcPr>
                  <w:tcW w:w="800" w:type="pct"/>
                  <w:vAlign w:val="center"/>
                </w:tcPr>
                <w:p w14:paraId="024389A6">
                  <w:pPr>
                    <w:spacing w:line="240" w:lineRule="auto"/>
                    <w:jc w:val="center"/>
                    <w:rPr>
                      <w:szCs w:val="21"/>
                    </w:rPr>
                  </w:pPr>
                  <w:r>
                    <w:rPr>
                      <w:rFonts w:hint="eastAsia"/>
                      <w:szCs w:val="21"/>
                    </w:rPr>
                    <w:t>换气次数</w:t>
                  </w:r>
                </w:p>
              </w:tc>
              <w:tc>
                <w:tcPr>
                  <w:tcW w:w="848" w:type="pct"/>
                  <w:vAlign w:val="center"/>
                </w:tcPr>
                <w:p w14:paraId="68E45803">
                  <w:pPr>
                    <w:spacing w:line="240" w:lineRule="auto"/>
                    <w:jc w:val="center"/>
                    <w:rPr>
                      <w:szCs w:val="21"/>
                    </w:rPr>
                  </w:pPr>
                  <w:r>
                    <w:rPr>
                      <w:rFonts w:hint="eastAsia"/>
                      <w:szCs w:val="21"/>
                    </w:rPr>
                    <w:t>单个风量m</w:t>
                  </w:r>
                  <w:r>
                    <w:rPr>
                      <w:rFonts w:hint="eastAsia"/>
                      <w:szCs w:val="21"/>
                      <w:vertAlign w:val="superscript"/>
                    </w:rPr>
                    <w:t>3</w:t>
                  </w:r>
                  <w:r>
                    <w:rPr>
                      <w:rFonts w:hint="eastAsia"/>
                      <w:szCs w:val="21"/>
                    </w:rPr>
                    <w:t>/h</w:t>
                  </w:r>
                </w:p>
              </w:tc>
            </w:tr>
            <w:tr w14:paraId="75E14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restart"/>
                  <w:vAlign w:val="center"/>
                </w:tcPr>
                <w:p w14:paraId="518E7CC6">
                  <w:pPr>
                    <w:spacing w:line="240" w:lineRule="auto"/>
                    <w:jc w:val="center"/>
                    <w:rPr>
                      <w:szCs w:val="21"/>
                    </w:rPr>
                  </w:pPr>
                  <w:r>
                    <w:rPr>
                      <w:rFonts w:hint="eastAsia"/>
                      <w:szCs w:val="21"/>
                      <w:lang w:val="en-US" w:eastAsia="zh-CN"/>
                    </w:rPr>
                    <w:t>1#喷涂生产线</w:t>
                  </w:r>
                </w:p>
              </w:tc>
              <w:tc>
                <w:tcPr>
                  <w:tcW w:w="872" w:type="pct"/>
                  <w:vAlign w:val="center"/>
                </w:tcPr>
                <w:p w14:paraId="5D382636">
                  <w:pPr>
                    <w:spacing w:line="240" w:lineRule="auto"/>
                    <w:jc w:val="center"/>
                    <w:rPr>
                      <w:rFonts w:hint="eastAsia" w:eastAsia="宋体"/>
                      <w:szCs w:val="21"/>
                      <w:lang w:eastAsia="zh-CN"/>
                    </w:rPr>
                  </w:pPr>
                  <w:r>
                    <w:rPr>
                      <w:rFonts w:hint="eastAsia"/>
                      <w:szCs w:val="21"/>
                      <w:lang w:val="en-US" w:eastAsia="zh-CN"/>
                    </w:rPr>
                    <w:t>底漆</w:t>
                  </w:r>
                  <w:r>
                    <w:rPr>
                      <w:rFonts w:hint="eastAsia"/>
                      <w:szCs w:val="21"/>
                    </w:rPr>
                    <w:t>喷</w:t>
                  </w:r>
                  <w:r>
                    <w:rPr>
                      <w:rFonts w:hint="eastAsia"/>
                      <w:szCs w:val="21"/>
                      <w:lang w:val="en-US" w:eastAsia="zh-CN"/>
                    </w:rPr>
                    <w:t>涂室</w:t>
                  </w:r>
                </w:p>
              </w:tc>
              <w:tc>
                <w:tcPr>
                  <w:tcW w:w="554" w:type="pct"/>
                  <w:vAlign w:val="center"/>
                </w:tcPr>
                <w:p w14:paraId="6376BCD6">
                  <w:pPr>
                    <w:spacing w:line="240" w:lineRule="auto"/>
                    <w:jc w:val="center"/>
                    <w:rPr>
                      <w:rFonts w:hint="eastAsia" w:eastAsia="宋体"/>
                      <w:szCs w:val="21"/>
                      <w:lang w:eastAsia="zh-CN"/>
                    </w:rPr>
                  </w:pPr>
                  <w:r>
                    <w:rPr>
                      <w:rFonts w:hint="eastAsia"/>
                      <w:szCs w:val="21"/>
                      <w:lang w:val="en-US" w:eastAsia="zh-CN"/>
                    </w:rPr>
                    <w:t>1</w:t>
                  </w:r>
                </w:p>
              </w:tc>
              <w:tc>
                <w:tcPr>
                  <w:tcW w:w="857" w:type="pct"/>
                  <w:vAlign w:val="center"/>
                </w:tcPr>
                <w:p w14:paraId="30AAA22C">
                  <w:pPr>
                    <w:spacing w:line="240" w:lineRule="auto"/>
                    <w:jc w:val="center"/>
                    <w:rPr>
                      <w:szCs w:val="21"/>
                    </w:rPr>
                  </w:pPr>
                  <w:r>
                    <w:rPr>
                      <w:rFonts w:hint="eastAsia"/>
                      <w:szCs w:val="21"/>
                      <w:lang w:val="en-US" w:eastAsia="zh-CN"/>
                    </w:rPr>
                    <w:t>23.2</w:t>
                  </w:r>
                  <w:r>
                    <w:rPr>
                      <w:rFonts w:hint="eastAsia"/>
                      <w:szCs w:val="21"/>
                    </w:rPr>
                    <w:t>m</w:t>
                  </w:r>
                  <w:r>
                    <w:rPr>
                      <w:rFonts w:hint="eastAsia"/>
                      <w:szCs w:val="21"/>
                      <w:vertAlign w:val="superscript"/>
                    </w:rPr>
                    <w:t>2</w:t>
                  </w:r>
                </w:p>
              </w:tc>
              <w:tc>
                <w:tcPr>
                  <w:tcW w:w="535" w:type="pct"/>
                  <w:vAlign w:val="center"/>
                </w:tcPr>
                <w:p w14:paraId="473454F4">
                  <w:pPr>
                    <w:spacing w:line="240" w:lineRule="auto"/>
                    <w:jc w:val="center"/>
                    <w:rPr>
                      <w:szCs w:val="21"/>
                    </w:rPr>
                  </w:pPr>
                  <w:r>
                    <w:rPr>
                      <w:rFonts w:hint="eastAsia"/>
                      <w:szCs w:val="21"/>
                    </w:rPr>
                    <w:t>2.7m</w:t>
                  </w:r>
                </w:p>
              </w:tc>
              <w:tc>
                <w:tcPr>
                  <w:tcW w:w="800" w:type="pct"/>
                  <w:vAlign w:val="center"/>
                </w:tcPr>
                <w:p w14:paraId="2A1B382F">
                  <w:pPr>
                    <w:spacing w:line="240" w:lineRule="auto"/>
                    <w:jc w:val="center"/>
                    <w:rPr>
                      <w:rFonts w:hint="default" w:eastAsia="宋体"/>
                      <w:szCs w:val="21"/>
                      <w:lang w:val="en-US" w:eastAsia="zh-CN"/>
                    </w:rPr>
                  </w:pPr>
                  <w:r>
                    <w:rPr>
                      <w:rFonts w:hint="eastAsia"/>
                      <w:szCs w:val="21"/>
                      <w:lang w:val="en-US" w:eastAsia="zh-CN"/>
                    </w:rPr>
                    <w:t>300</w:t>
                  </w:r>
                </w:p>
              </w:tc>
              <w:tc>
                <w:tcPr>
                  <w:tcW w:w="848" w:type="pct"/>
                  <w:vAlign w:val="center"/>
                </w:tcPr>
                <w:p w14:paraId="33D21174">
                  <w:pPr>
                    <w:spacing w:line="240" w:lineRule="auto"/>
                    <w:jc w:val="center"/>
                    <w:rPr>
                      <w:rFonts w:hint="default" w:eastAsia="宋体"/>
                      <w:szCs w:val="21"/>
                      <w:lang w:val="en-US" w:eastAsia="zh-CN"/>
                    </w:rPr>
                  </w:pPr>
                  <w:r>
                    <w:rPr>
                      <w:rFonts w:hint="eastAsia"/>
                      <w:szCs w:val="21"/>
                      <w:lang w:val="en-US" w:eastAsia="zh-CN"/>
                    </w:rPr>
                    <w:t>18792</w:t>
                  </w:r>
                </w:p>
              </w:tc>
            </w:tr>
            <w:tr w14:paraId="38A31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6455F912">
                  <w:pPr>
                    <w:spacing w:line="240" w:lineRule="auto"/>
                    <w:jc w:val="center"/>
                    <w:rPr>
                      <w:szCs w:val="21"/>
                    </w:rPr>
                  </w:pPr>
                </w:p>
              </w:tc>
              <w:tc>
                <w:tcPr>
                  <w:tcW w:w="872" w:type="pct"/>
                  <w:vAlign w:val="center"/>
                </w:tcPr>
                <w:p w14:paraId="536A1CAE">
                  <w:pPr>
                    <w:spacing w:line="240" w:lineRule="auto"/>
                    <w:jc w:val="center"/>
                    <w:rPr>
                      <w:szCs w:val="21"/>
                    </w:rPr>
                  </w:pPr>
                  <w:r>
                    <w:rPr>
                      <w:rFonts w:hint="eastAsia"/>
                      <w:lang w:val="en-US" w:eastAsia="zh-CN"/>
                    </w:rPr>
                    <w:t>除尘区域</w:t>
                  </w:r>
                </w:p>
              </w:tc>
              <w:tc>
                <w:tcPr>
                  <w:tcW w:w="554" w:type="pct"/>
                  <w:vAlign w:val="center"/>
                </w:tcPr>
                <w:p w14:paraId="7A9D04A4">
                  <w:pPr>
                    <w:spacing w:line="240" w:lineRule="auto"/>
                    <w:jc w:val="center"/>
                    <w:rPr>
                      <w:rFonts w:hint="eastAsia" w:eastAsia="宋体"/>
                      <w:szCs w:val="21"/>
                      <w:lang w:eastAsia="zh-CN"/>
                    </w:rPr>
                  </w:pPr>
                  <w:r>
                    <w:rPr>
                      <w:rFonts w:hint="eastAsia"/>
                      <w:szCs w:val="21"/>
                      <w:lang w:val="en-US" w:eastAsia="zh-CN"/>
                    </w:rPr>
                    <w:t>1</w:t>
                  </w:r>
                </w:p>
              </w:tc>
              <w:tc>
                <w:tcPr>
                  <w:tcW w:w="857" w:type="pct"/>
                  <w:vAlign w:val="center"/>
                </w:tcPr>
                <w:p w14:paraId="6BC57B4B">
                  <w:pPr>
                    <w:autoSpaceDE w:val="0"/>
                    <w:autoSpaceDN w:val="0"/>
                    <w:adjustRightInd w:val="0"/>
                    <w:snapToGrid w:val="0"/>
                    <w:spacing w:line="240" w:lineRule="auto"/>
                    <w:jc w:val="center"/>
                    <w:rPr>
                      <w:szCs w:val="21"/>
                    </w:rPr>
                  </w:pPr>
                  <w:r>
                    <w:rPr>
                      <w:rFonts w:hint="eastAsia"/>
                      <w:szCs w:val="21"/>
                      <w:lang w:val="en-US" w:eastAsia="zh-CN"/>
                    </w:rPr>
                    <w:t>34.4</w:t>
                  </w:r>
                  <w:r>
                    <w:rPr>
                      <w:rFonts w:hint="eastAsia"/>
                      <w:szCs w:val="21"/>
                    </w:rPr>
                    <w:t>m</w:t>
                  </w:r>
                  <w:r>
                    <w:rPr>
                      <w:rFonts w:hint="eastAsia"/>
                      <w:szCs w:val="21"/>
                      <w:vertAlign w:val="superscript"/>
                    </w:rPr>
                    <w:t>2</w:t>
                  </w:r>
                </w:p>
              </w:tc>
              <w:tc>
                <w:tcPr>
                  <w:tcW w:w="535" w:type="pct"/>
                  <w:vAlign w:val="center"/>
                </w:tcPr>
                <w:p w14:paraId="5D64337A">
                  <w:pPr>
                    <w:spacing w:line="240" w:lineRule="auto"/>
                    <w:jc w:val="center"/>
                    <w:rPr>
                      <w:rFonts w:hint="eastAsia" w:eastAsia="宋体"/>
                      <w:szCs w:val="21"/>
                      <w:lang w:eastAsia="zh-CN"/>
                    </w:rPr>
                  </w:pPr>
                  <w:r>
                    <w:rPr>
                      <w:rFonts w:hint="eastAsia"/>
                      <w:szCs w:val="21"/>
                    </w:rPr>
                    <w:t>2.</w:t>
                  </w:r>
                  <w:r>
                    <w:rPr>
                      <w:rFonts w:hint="eastAsia"/>
                      <w:szCs w:val="21"/>
                      <w:lang w:val="en-US" w:eastAsia="zh-CN"/>
                    </w:rPr>
                    <w:t>7</w:t>
                  </w:r>
                </w:p>
              </w:tc>
              <w:tc>
                <w:tcPr>
                  <w:tcW w:w="800" w:type="pct"/>
                  <w:vAlign w:val="center"/>
                </w:tcPr>
                <w:p w14:paraId="03C7BDC0">
                  <w:pPr>
                    <w:spacing w:line="240" w:lineRule="auto"/>
                    <w:jc w:val="center"/>
                    <w:rPr>
                      <w:rFonts w:hint="default" w:eastAsia="宋体"/>
                      <w:szCs w:val="21"/>
                      <w:lang w:val="en-US" w:eastAsia="zh-CN"/>
                    </w:rPr>
                  </w:pPr>
                  <w:r>
                    <w:rPr>
                      <w:rFonts w:hint="eastAsia"/>
                      <w:szCs w:val="21"/>
                      <w:lang w:val="en-US" w:eastAsia="zh-CN"/>
                    </w:rPr>
                    <w:t>200</w:t>
                  </w:r>
                </w:p>
              </w:tc>
              <w:tc>
                <w:tcPr>
                  <w:tcW w:w="848" w:type="pct"/>
                  <w:vAlign w:val="center"/>
                </w:tcPr>
                <w:p w14:paraId="42A432B3">
                  <w:pPr>
                    <w:spacing w:line="240" w:lineRule="auto"/>
                    <w:jc w:val="center"/>
                    <w:rPr>
                      <w:rFonts w:hint="default" w:eastAsia="宋体"/>
                      <w:szCs w:val="21"/>
                      <w:lang w:val="en-US" w:eastAsia="zh-CN"/>
                    </w:rPr>
                  </w:pPr>
                  <w:r>
                    <w:rPr>
                      <w:rFonts w:hint="eastAsia"/>
                      <w:szCs w:val="21"/>
                      <w:lang w:val="en-US" w:eastAsia="zh-CN"/>
                    </w:rPr>
                    <w:t>18576</w:t>
                  </w:r>
                </w:p>
              </w:tc>
            </w:tr>
            <w:tr w14:paraId="5F84B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087E02D5">
                  <w:pPr>
                    <w:spacing w:line="240" w:lineRule="auto"/>
                    <w:jc w:val="center"/>
                    <w:rPr>
                      <w:szCs w:val="21"/>
                    </w:rPr>
                  </w:pPr>
                </w:p>
              </w:tc>
              <w:tc>
                <w:tcPr>
                  <w:tcW w:w="872" w:type="pct"/>
                  <w:vAlign w:val="center"/>
                </w:tcPr>
                <w:p w14:paraId="4F9B96AB">
                  <w:pPr>
                    <w:spacing w:line="240" w:lineRule="auto"/>
                    <w:jc w:val="center"/>
                    <w:rPr>
                      <w:szCs w:val="21"/>
                    </w:rPr>
                  </w:pPr>
                  <w:r>
                    <w:rPr>
                      <w:rFonts w:hint="eastAsia"/>
                      <w:sz w:val="21"/>
                      <w:szCs w:val="21"/>
                      <w:lang w:val="en-US" w:eastAsia="zh-CN"/>
                    </w:rPr>
                    <w:t>面漆</w:t>
                  </w:r>
                  <w:r>
                    <w:rPr>
                      <w:rFonts w:hint="eastAsia"/>
                      <w:sz w:val="21"/>
                      <w:szCs w:val="21"/>
                    </w:rPr>
                    <w:t>喷</w:t>
                  </w:r>
                  <w:r>
                    <w:rPr>
                      <w:rFonts w:hint="eastAsia"/>
                      <w:sz w:val="21"/>
                      <w:szCs w:val="21"/>
                      <w:lang w:val="en-US" w:eastAsia="zh-CN"/>
                    </w:rPr>
                    <w:t>涂室</w:t>
                  </w:r>
                </w:p>
              </w:tc>
              <w:tc>
                <w:tcPr>
                  <w:tcW w:w="554" w:type="pct"/>
                  <w:vAlign w:val="center"/>
                </w:tcPr>
                <w:p w14:paraId="7BCED42A">
                  <w:pPr>
                    <w:spacing w:line="240" w:lineRule="auto"/>
                    <w:jc w:val="center"/>
                    <w:rPr>
                      <w:rFonts w:hint="eastAsia" w:eastAsia="宋体"/>
                      <w:szCs w:val="21"/>
                      <w:lang w:eastAsia="zh-CN"/>
                    </w:rPr>
                  </w:pPr>
                  <w:r>
                    <w:rPr>
                      <w:rFonts w:hint="eastAsia"/>
                      <w:szCs w:val="21"/>
                      <w:lang w:val="en-US" w:eastAsia="zh-CN"/>
                    </w:rPr>
                    <w:t>2</w:t>
                  </w:r>
                </w:p>
              </w:tc>
              <w:tc>
                <w:tcPr>
                  <w:tcW w:w="857" w:type="pct"/>
                  <w:vAlign w:val="center"/>
                </w:tcPr>
                <w:p w14:paraId="0BC6FBAF">
                  <w:pPr>
                    <w:autoSpaceDE w:val="0"/>
                    <w:autoSpaceDN w:val="0"/>
                    <w:adjustRightInd w:val="0"/>
                    <w:snapToGrid w:val="0"/>
                    <w:spacing w:line="240" w:lineRule="auto"/>
                    <w:jc w:val="center"/>
                    <w:rPr>
                      <w:szCs w:val="21"/>
                    </w:rPr>
                  </w:pPr>
                  <w:r>
                    <w:rPr>
                      <w:rFonts w:hint="eastAsia"/>
                      <w:szCs w:val="21"/>
                      <w:lang w:val="en-US" w:eastAsia="zh-CN"/>
                    </w:rPr>
                    <w:t>23.2</w:t>
                  </w:r>
                  <w:r>
                    <w:rPr>
                      <w:rFonts w:hint="eastAsia"/>
                      <w:szCs w:val="21"/>
                    </w:rPr>
                    <w:t>m</w:t>
                  </w:r>
                  <w:r>
                    <w:rPr>
                      <w:rFonts w:hint="eastAsia"/>
                      <w:szCs w:val="21"/>
                      <w:vertAlign w:val="superscript"/>
                    </w:rPr>
                    <w:t>2</w:t>
                  </w:r>
                </w:p>
              </w:tc>
              <w:tc>
                <w:tcPr>
                  <w:tcW w:w="535" w:type="pct"/>
                  <w:vAlign w:val="center"/>
                </w:tcPr>
                <w:p w14:paraId="222FDD8E">
                  <w:pPr>
                    <w:spacing w:line="240" w:lineRule="auto"/>
                    <w:jc w:val="center"/>
                    <w:rPr>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1CE894C2">
                  <w:pPr>
                    <w:spacing w:line="240" w:lineRule="auto"/>
                    <w:jc w:val="center"/>
                    <w:rPr>
                      <w:szCs w:val="21"/>
                    </w:rPr>
                  </w:pPr>
                  <w:r>
                    <w:rPr>
                      <w:rFonts w:hint="eastAsia"/>
                      <w:szCs w:val="21"/>
                      <w:lang w:val="en-US" w:eastAsia="zh-CN"/>
                    </w:rPr>
                    <w:t>300</w:t>
                  </w:r>
                </w:p>
              </w:tc>
              <w:tc>
                <w:tcPr>
                  <w:tcW w:w="848" w:type="pct"/>
                  <w:vAlign w:val="center"/>
                </w:tcPr>
                <w:p w14:paraId="269883D9">
                  <w:pPr>
                    <w:spacing w:line="240" w:lineRule="auto"/>
                    <w:jc w:val="center"/>
                    <w:rPr>
                      <w:szCs w:val="21"/>
                    </w:rPr>
                  </w:pPr>
                  <w:r>
                    <w:rPr>
                      <w:rFonts w:hint="eastAsia"/>
                      <w:szCs w:val="21"/>
                      <w:lang w:val="en-US" w:eastAsia="zh-CN"/>
                    </w:rPr>
                    <w:t>18792</w:t>
                  </w:r>
                </w:p>
              </w:tc>
            </w:tr>
            <w:tr w14:paraId="63F97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2C7D57C8">
                  <w:pPr>
                    <w:spacing w:line="240" w:lineRule="auto"/>
                    <w:jc w:val="center"/>
                    <w:rPr>
                      <w:szCs w:val="21"/>
                    </w:rPr>
                  </w:pPr>
                </w:p>
              </w:tc>
              <w:tc>
                <w:tcPr>
                  <w:tcW w:w="872" w:type="pct"/>
                  <w:vAlign w:val="center"/>
                </w:tcPr>
                <w:p w14:paraId="5CF17852">
                  <w:pPr>
                    <w:spacing w:line="240" w:lineRule="auto"/>
                    <w:jc w:val="center"/>
                    <w:rPr>
                      <w:szCs w:val="21"/>
                    </w:rPr>
                  </w:pPr>
                  <w:r>
                    <w:rPr>
                      <w:rFonts w:hint="eastAsia"/>
                      <w:szCs w:val="21"/>
                      <w:lang w:val="en-US" w:eastAsia="zh-CN"/>
                    </w:rPr>
                    <w:t>调漆室</w:t>
                  </w:r>
                </w:p>
              </w:tc>
              <w:tc>
                <w:tcPr>
                  <w:tcW w:w="554" w:type="pct"/>
                  <w:vAlign w:val="center"/>
                </w:tcPr>
                <w:p w14:paraId="54F4C562">
                  <w:pPr>
                    <w:spacing w:line="240" w:lineRule="auto"/>
                    <w:jc w:val="center"/>
                    <w:rPr>
                      <w:szCs w:val="21"/>
                    </w:rPr>
                  </w:pPr>
                  <w:r>
                    <w:rPr>
                      <w:rFonts w:hint="eastAsia"/>
                      <w:szCs w:val="21"/>
                    </w:rPr>
                    <w:t>1</w:t>
                  </w:r>
                </w:p>
              </w:tc>
              <w:tc>
                <w:tcPr>
                  <w:tcW w:w="857" w:type="pct"/>
                  <w:vAlign w:val="center"/>
                </w:tcPr>
                <w:p w14:paraId="2FE1DDA3">
                  <w:pPr>
                    <w:autoSpaceDE w:val="0"/>
                    <w:autoSpaceDN w:val="0"/>
                    <w:adjustRightInd w:val="0"/>
                    <w:snapToGrid w:val="0"/>
                    <w:spacing w:line="240" w:lineRule="auto"/>
                    <w:jc w:val="center"/>
                    <w:rPr>
                      <w:szCs w:val="21"/>
                    </w:rPr>
                  </w:pPr>
                  <w:r>
                    <w:rPr>
                      <w:rFonts w:hint="eastAsia"/>
                      <w:szCs w:val="21"/>
                      <w:lang w:val="en-US" w:eastAsia="zh-CN"/>
                    </w:rPr>
                    <w:t>14.5</w:t>
                  </w:r>
                  <w:r>
                    <w:rPr>
                      <w:rFonts w:hint="eastAsia"/>
                      <w:szCs w:val="21"/>
                    </w:rPr>
                    <w:t>m</w:t>
                  </w:r>
                  <w:r>
                    <w:rPr>
                      <w:rFonts w:hint="eastAsia"/>
                      <w:szCs w:val="21"/>
                      <w:vertAlign w:val="superscript"/>
                    </w:rPr>
                    <w:t>2</w:t>
                  </w:r>
                </w:p>
              </w:tc>
              <w:tc>
                <w:tcPr>
                  <w:tcW w:w="535" w:type="pct"/>
                  <w:vAlign w:val="center"/>
                </w:tcPr>
                <w:p w14:paraId="247FA0A5">
                  <w:pPr>
                    <w:spacing w:line="240" w:lineRule="auto"/>
                    <w:jc w:val="center"/>
                    <w:rPr>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67E3709A">
                  <w:pPr>
                    <w:spacing w:line="240" w:lineRule="auto"/>
                    <w:jc w:val="center"/>
                    <w:rPr>
                      <w:szCs w:val="21"/>
                    </w:rPr>
                  </w:pPr>
                  <w:r>
                    <w:rPr>
                      <w:rFonts w:hint="eastAsia"/>
                      <w:szCs w:val="21"/>
                    </w:rPr>
                    <w:t>20</w:t>
                  </w:r>
                </w:p>
              </w:tc>
              <w:tc>
                <w:tcPr>
                  <w:tcW w:w="848" w:type="pct"/>
                  <w:vAlign w:val="center"/>
                </w:tcPr>
                <w:p w14:paraId="317518AD">
                  <w:pPr>
                    <w:spacing w:line="240" w:lineRule="auto"/>
                    <w:jc w:val="center"/>
                    <w:rPr>
                      <w:rFonts w:hint="default" w:eastAsia="宋体"/>
                      <w:szCs w:val="21"/>
                      <w:lang w:val="en-US" w:eastAsia="zh-CN"/>
                    </w:rPr>
                  </w:pPr>
                  <w:r>
                    <w:rPr>
                      <w:rFonts w:hint="eastAsia"/>
                      <w:szCs w:val="21"/>
                      <w:lang w:val="en-US" w:eastAsia="zh-CN"/>
                    </w:rPr>
                    <w:t>783</w:t>
                  </w:r>
                </w:p>
              </w:tc>
            </w:tr>
            <w:tr w14:paraId="61E69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624AD8A5">
                  <w:pPr>
                    <w:spacing w:line="240" w:lineRule="auto"/>
                    <w:jc w:val="center"/>
                    <w:rPr>
                      <w:szCs w:val="21"/>
                    </w:rPr>
                  </w:pPr>
                </w:p>
              </w:tc>
              <w:tc>
                <w:tcPr>
                  <w:tcW w:w="872" w:type="pct"/>
                  <w:vAlign w:val="center"/>
                </w:tcPr>
                <w:p w14:paraId="198C844E">
                  <w:pPr>
                    <w:spacing w:line="240" w:lineRule="auto"/>
                    <w:jc w:val="center"/>
                    <w:rPr>
                      <w:szCs w:val="21"/>
                    </w:rPr>
                  </w:pPr>
                  <w:r>
                    <w:rPr>
                      <w:rFonts w:hint="eastAsia"/>
                      <w:sz w:val="21"/>
                      <w:szCs w:val="21"/>
                      <w:lang w:val="en-US" w:eastAsia="zh-CN"/>
                    </w:rPr>
                    <w:t>清漆</w:t>
                  </w:r>
                  <w:r>
                    <w:rPr>
                      <w:rFonts w:hint="eastAsia"/>
                      <w:sz w:val="21"/>
                      <w:szCs w:val="21"/>
                    </w:rPr>
                    <w:t>喷</w:t>
                  </w:r>
                  <w:r>
                    <w:rPr>
                      <w:rFonts w:hint="eastAsia"/>
                      <w:sz w:val="21"/>
                      <w:szCs w:val="21"/>
                      <w:lang w:val="en-US" w:eastAsia="zh-CN"/>
                    </w:rPr>
                    <w:t>涂室</w:t>
                  </w:r>
                </w:p>
              </w:tc>
              <w:tc>
                <w:tcPr>
                  <w:tcW w:w="554" w:type="pct"/>
                  <w:vAlign w:val="center"/>
                </w:tcPr>
                <w:p w14:paraId="7620039F">
                  <w:pPr>
                    <w:spacing w:line="240" w:lineRule="auto"/>
                    <w:jc w:val="center"/>
                    <w:rPr>
                      <w:rFonts w:hint="default" w:eastAsia="宋体"/>
                      <w:szCs w:val="21"/>
                      <w:lang w:val="en-US" w:eastAsia="zh-CN"/>
                    </w:rPr>
                  </w:pPr>
                  <w:r>
                    <w:rPr>
                      <w:rFonts w:hint="eastAsia"/>
                      <w:szCs w:val="21"/>
                      <w:lang w:val="en-US" w:eastAsia="zh-CN"/>
                    </w:rPr>
                    <w:t>2</w:t>
                  </w:r>
                </w:p>
              </w:tc>
              <w:tc>
                <w:tcPr>
                  <w:tcW w:w="857" w:type="pct"/>
                  <w:vAlign w:val="center"/>
                </w:tcPr>
                <w:p w14:paraId="4EC8EFD5">
                  <w:pPr>
                    <w:autoSpaceDE w:val="0"/>
                    <w:autoSpaceDN w:val="0"/>
                    <w:adjustRightInd w:val="0"/>
                    <w:snapToGrid w:val="0"/>
                    <w:spacing w:line="240" w:lineRule="auto"/>
                    <w:jc w:val="center"/>
                    <w:rPr>
                      <w:szCs w:val="21"/>
                    </w:rPr>
                  </w:pPr>
                  <w:r>
                    <w:rPr>
                      <w:rFonts w:hint="eastAsia"/>
                      <w:szCs w:val="21"/>
                      <w:lang w:val="en-US" w:eastAsia="zh-CN"/>
                    </w:rPr>
                    <w:t>23.2</w:t>
                  </w:r>
                  <w:r>
                    <w:rPr>
                      <w:rFonts w:hint="eastAsia"/>
                      <w:szCs w:val="21"/>
                    </w:rPr>
                    <w:t>m</w:t>
                  </w:r>
                  <w:r>
                    <w:rPr>
                      <w:rFonts w:hint="eastAsia"/>
                      <w:szCs w:val="21"/>
                      <w:vertAlign w:val="superscript"/>
                    </w:rPr>
                    <w:t>2</w:t>
                  </w:r>
                </w:p>
              </w:tc>
              <w:tc>
                <w:tcPr>
                  <w:tcW w:w="535" w:type="pct"/>
                  <w:vAlign w:val="center"/>
                </w:tcPr>
                <w:p w14:paraId="0123CB0C">
                  <w:pPr>
                    <w:spacing w:line="240" w:lineRule="auto"/>
                    <w:jc w:val="center"/>
                    <w:rPr>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13863C21">
                  <w:pPr>
                    <w:spacing w:line="240" w:lineRule="auto"/>
                    <w:jc w:val="center"/>
                    <w:rPr>
                      <w:szCs w:val="21"/>
                    </w:rPr>
                  </w:pPr>
                  <w:r>
                    <w:rPr>
                      <w:rFonts w:hint="eastAsia"/>
                      <w:szCs w:val="21"/>
                      <w:lang w:val="en-US" w:eastAsia="zh-CN"/>
                    </w:rPr>
                    <w:t>300</w:t>
                  </w:r>
                </w:p>
              </w:tc>
              <w:tc>
                <w:tcPr>
                  <w:tcW w:w="848" w:type="pct"/>
                  <w:vAlign w:val="center"/>
                </w:tcPr>
                <w:p w14:paraId="0F427592">
                  <w:pPr>
                    <w:spacing w:line="240" w:lineRule="auto"/>
                    <w:jc w:val="center"/>
                    <w:rPr>
                      <w:szCs w:val="21"/>
                    </w:rPr>
                  </w:pPr>
                  <w:r>
                    <w:rPr>
                      <w:rFonts w:hint="eastAsia"/>
                      <w:szCs w:val="21"/>
                      <w:lang w:val="en-US" w:eastAsia="zh-CN"/>
                    </w:rPr>
                    <w:t>18792</w:t>
                  </w:r>
                </w:p>
              </w:tc>
            </w:tr>
            <w:tr w14:paraId="2F49B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1500C937">
                  <w:pPr>
                    <w:spacing w:line="240" w:lineRule="auto"/>
                    <w:jc w:val="center"/>
                    <w:rPr>
                      <w:szCs w:val="21"/>
                    </w:rPr>
                  </w:pPr>
                </w:p>
              </w:tc>
              <w:tc>
                <w:tcPr>
                  <w:tcW w:w="872" w:type="pct"/>
                  <w:vAlign w:val="center"/>
                </w:tcPr>
                <w:p w14:paraId="25888A98">
                  <w:pPr>
                    <w:spacing w:line="240" w:lineRule="auto"/>
                    <w:jc w:val="center"/>
                    <w:rPr>
                      <w:szCs w:val="21"/>
                    </w:rPr>
                  </w:pPr>
                  <w:r>
                    <w:rPr>
                      <w:rFonts w:hint="eastAsia"/>
                      <w:szCs w:val="21"/>
                      <w:lang w:val="en-US" w:eastAsia="zh-CN"/>
                    </w:rPr>
                    <w:t>调漆室</w:t>
                  </w:r>
                </w:p>
              </w:tc>
              <w:tc>
                <w:tcPr>
                  <w:tcW w:w="554" w:type="pct"/>
                  <w:vAlign w:val="center"/>
                </w:tcPr>
                <w:p w14:paraId="31266E00">
                  <w:pPr>
                    <w:spacing w:line="240" w:lineRule="auto"/>
                    <w:jc w:val="center"/>
                    <w:rPr>
                      <w:szCs w:val="21"/>
                    </w:rPr>
                  </w:pPr>
                  <w:r>
                    <w:rPr>
                      <w:rFonts w:hint="eastAsia"/>
                      <w:szCs w:val="21"/>
                    </w:rPr>
                    <w:t>1</w:t>
                  </w:r>
                </w:p>
              </w:tc>
              <w:tc>
                <w:tcPr>
                  <w:tcW w:w="857" w:type="pct"/>
                  <w:vAlign w:val="center"/>
                </w:tcPr>
                <w:p w14:paraId="546458DF">
                  <w:pPr>
                    <w:autoSpaceDE w:val="0"/>
                    <w:autoSpaceDN w:val="0"/>
                    <w:adjustRightInd w:val="0"/>
                    <w:snapToGrid w:val="0"/>
                    <w:spacing w:line="240" w:lineRule="auto"/>
                    <w:jc w:val="center"/>
                    <w:rPr>
                      <w:szCs w:val="21"/>
                    </w:rPr>
                  </w:pPr>
                  <w:r>
                    <w:rPr>
                      <w:rFonts w:hint="eastAsia"/>
                      <w:szCs w:val="21"/>
                      <w:lang w:val="en-US" w:eastAsia="zh-CN"/>
                    </w:rPr>
                    <w:t>14.5</w:t>
                  </w:r>
                  <w:r>
                    <w:rPr>
                      <w:rFonts w:hint="eastAsia"/>
                      <w:szCs w:val="21"/>
                    </w:rPr>
                    <w:t>m</w:t>
                  </w:r>
                  <w:r>
                    <w:rPr>
                      <w:rFonts w:hint="eastAsia"/>
                      <w:szCs w:val="21"/>
                      <w:vertAlign w:val="superscript"/>
                    </w:rPr>
                    <w:t>2</w:t>
                  </w:r>
                </w:p>
              </w:tc>
              <w:tc>
                <w:tcPr>
                  <w:tcW w:w="535" w:type="pct"/>
                  <w:vAlign w:val="center"/>
                </w:tcPr>
                <w:p w14:paraId="7F0C279E">
                  <w:pPr>
                    <w:spacing w:line="240" w:lineRule="auto"/>
                    <w:jc w:val="center"/>
                    <w:rPr>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090766C5">
                  <w:pPr>
                    <w:spacing w:line="240" w:lineRule="auto"/>
                    <w:jc w:val="center"/>
                    <w:rPr>
                      <w:szCs w:val="21"/>
                    </w:rPr>
                  </w:pPr>
                  <w:r>
                    <w:rPr>
                      <w:rFonts w:hint="eastAsia"/>
                      <w:szCs w:val="21"/>
                    </w:rPr>
                    <w:t>20</w:t>
                  </w:r>
                </w:p>
              </w:tc>
              <w:tc>
                <w:tcPr>
                  <w:tcW w:w="848" w:type="pct"/>
                  <w:vAlign w:val="center"/>
                </w:tcPr>
                <w:p w14:paraId="50DBB182">
                  <w:pPr>
                    <w:spacing w:line="240" w:lineRule="auto"/>
                    <w:jc w:val="center"/>
                    <w:rPr>
                      <w:szCs w:val="21"/>
                    </w:rPr>
                  </w:pPr>
                  <w:r>
                    <w:rPr>
                      <w:rFonts w:hint="eastAsia"/>
                      <w:szCs w:val="21"/>
                      <w:lang w:val="en-US" w:eastAsia="zh-CN"/>
                    </w:rPr>
                    <w:t>783</w:t>
                  </w:r>
                </w:p>
              </w:tc>
            </w:tr>
            <w:tr w14:paraId="19BAB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1CA5457F">
                  <w:pPr>
                    <w:spacing w:line="240" w:lineRule="auto"/>
                    <w:jc w:val="center"/>
                    <w:rPr>
                      <w:szCs w:val="21"/>
                    </w:rPr>
                  </w:pPr>
                </w:p>
              </w:tc>
              <w:tc>
                <w:tcPr>
                  <w:tcW w:w="872" w:type="pct"/>
                  <w:vAlign w:val="center"/>
                </w:tcPr>
                <w:p w14:paraId="6C91ED43">
                  <w:pPr>
                    <w:spacing w:line="240" w:lineRule="auto"/>
                    <w:jc w:val="center"/>
                    <w:rPr>
                      <w:szCs w:val="21"/>
                    </w:rPr>
                  </w:pPr>
                  <w:r>
                    <w:rPr>
                      <w:rFonts w:hint="eastAsia"/>
                      <w:szCs w:val="21"/>
                      <w:lang w:val="en-US" w:eastAsia="zh-CN"/>
                    </w:rPr>
                    <w:t>流平室</w:t>
                  </w:r>
                </w:p>
              </w:tc>
              <w:tc>
                <w:tcPr>
                  <w:tcW w:w="554" w:type="pct"/>
                  <w:vAlign w:val="center"/>
                </w:tcPr>
                <w:p w14:paraId="157044E2">
                  <w:pPr>
                    <w:spacing w:line="240" w:lineRule="auto"/>
                    <w:jc w:val="center"/>
                    <w:rPr>
                      <w:rFonts w:hint="eastAsia" w:eastAsia="宋体"/>
                      <w:szCs w:val="21"/>
                      <w:lang w:eastAsia="zh-CN"/>
                    </w:rPr>
                  </w:pPr>
                  <w:r>
                    <w:rPr>
                      <w:rFonts w:hint="eastAsia"/>
                      <w:szCs w:val="21"/>
                      <w:lang w:val="en-US" w:eastAsia="zh-CN"/>
                    </w:rPr>
                    <w:t>1</w:t>
                  </w:r>
                </w:p>
              </w:tc>
              <w:tc>
                <w:tcPr>
                  <w:tcW w:w="857" w:type="pct"/>
                  <w:vAlign w:val="center"/>
                </w:tcPr>
                <w:p w14:paraId="7E3052F0">
                  <w:pPr>
                    <w:autoSpaceDE w:val="0"/>
                    <w:autoSpaceDN w:val="0"/>
                    <w:adjustRightInd w:val="0"/>
                    <w:snapToGrid w:val="0"/>
                    <w:spacing w:line="240" w:lineRule="auto"/>
                    <w:jc w:val="center"/>
                    <w:rPr>
                      <w:szCs w:val="21"/>
                    </w:rPr>
                  </w:pPr>
                  <w:r>
                    <w:rPr>
                      <w:rFonts w:hint="eastAsia"/>
                      <w:szCs w:val="21"/>
                      <w:lang w:val="en-US" w:eastAsia="zh-CN"/>
                    </w:rPr>
                    <w:t>17.5</w:t>
                  </w:r>
                  <w:r>
                    <w:rPr>
                      <w:rFonts w:hint="eastAsia"/>
                      <w:szCs w:val="21"/>
                    </w:rPr>
                    <w:t>m</w:t>
                  </w:r>
                  <w:r>
                    <w:rPr>
                      <w:rFonts w:hint="eastAsia"/>
                      <w:szCs w:val="21"/>
                      <w:vertAlign w:val="superscript"/>
                    </w:rPr>
                    <w:t>2</w:t>
                  </w:r>
                </w:p>
              </w:tc>
              <w:tc>
                <w:tcPr>
                  <w:tcW w:w="535" w:type="pct"/>
                  <w:vAlign w:val="center"/>
                </w:tcPr>
                <w:p w14:paraId="5CD2C619">
                  <w:pPr>
                    <w:spacing w:line="240" w:lineRule="auto"/>
                    <w:jc w:val="center"/>
                    <w:rPr>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300B0DFB">
                  <w:pPr>
                    <w:spacing w:line="240" w:lineRule="auto"/>
                    <w:jc w:val="center"/>
                    <w:rPr>
                      <w:rFonts w:hint="default" w:eastAsia="宋体"/>
                      <w:szCs w:val="21"/>
                      <w:lang w:val="en-US" w:eastAsia="zh-CN"/>
                    </w:rPr>
                  </w:pPr>
                  <w:r>
                    <w:rPr>
                      <w:rFonts w:hint="eastAsia"/>
                      <w:szCs w:val="21"/>
                      <w:lang w:val="en-US" w:eastAsia="zh-CN"/>
                    </w:rPr>
                    <w:t>30</w:t>
                  </w:r>
                </w:p>
              </w:tc>
              <w:tc>
                <w:tcPr>
                  <w:tcW w:w="848" w:type="pct"/>
                  <w:vAlign w:val="center"/>
                </w:tcPr>
                <w:p w14:paraId="157A9D7F">
                  <w:pPr>
                    <w:spacing w:line="240" w:lineRule="auto"/>
                    <w:jc w:val="center"/>
                    <w:rPr>
                      <w:rFonts w:hint="default" w:eastAsia="宋体"/>
                      <w:szCs w:val="21"/>
                      <w:lang w:val="en-US" w:eastAsia="zh-CN"/>
                    </w:rPr>
                  </w:pPr>
                  <w:r>
                    <w:rPr>
                      <w:rFonts w:hint="eastAsia"/>
                      <w:szCs w:val="21"/>
                      <w:lang w:val="en-US" w:eastAsia="zh-CN"/>
                    </w:rPr>
                    <w:t>1417.5</w:t>
                  </w:r>
                </w:p>
              </w:tc>
            </w:tr>
            <w:tr w14:paraId="4012F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32" w:type="pct"/>
                  <w:vMerge w:val="continue"/>
                  <w:vAlign w:val="center"/>
                </w:tcPr>
                <w:p w14:paraId="125801F6">
                  <w:pPr>
                    <w:spacing w:line="240" w:lineRule="auto"/>
                    <w:jc w:val="center"/>
                    <w:rPr>
                      <w:szCs w:val="21"/>
                    </w:rPr>
                  </w:pPr>
                </w:p>
              </w:tc>
              <w:tc>
                <w:tcPr>
                  <w:tcW w:w="872" w:type="pct"/>
                  <w:vAlign w:val="center"/>
                </w:tcPr>
                <w:p w14:paraId="5980219E">
                  <w:pPr>
                    <w:spacing w:line="240" w:lineRule="auto"/>
                    <w:jc w:val="center"/>
                    <w:rPr>
                      <w:rFonts w:hint="default"/>
                      <w:szCs w:val="21"/>
                      <w:lang w:val="en-US"/>
                    </w:rPr>
                  </w:pPr>
                  <w:r>
                    <w:rPr>
                      <w:rFonts w:hint="eastAsia"/>
                      <w:lang w:val="en-US" w:eastAsia="zh-CN"/>
                    </w:rPr>
                    <w:t>烘干通道</w:t>
                  </w:r>
                </w:p>
              </w:tc>
              <w:tc>
                <w:tcPr>
                  <w:tcW w:w="554" w:type="pct"/>
                  <w:vAlign w:val="center"/>
                </w:tcPr>
                <w:p w14:paraId="7D850875">
                  <w:pPr>
                    <w:spacing w:line="240" w:lineRule="auto"/>
                    <w:jc w:val="center"/>
                    <w:rPr>
                      <w:rFonts w:hint="eastAsia" w:eastAsia="宋体"/>
                      <w:szCs w:val="21"/>
                      <w:lang w:eastAsia="zh-CN"/>
                    </w:rPr>
                  </w:pPr>
                  <w:r>
                    <w:rPr>
                      <w:rFonts w:hint="eastAsia"/>
                      <w:szCs w:val="21"/>
                      <w:lang w:val="en-US" w:eastAsia="zh-CN"/>
                    </w:rPr>
                    <w:t>1</w:t>
                  </w:r>
                </w:p>
              </w:tc>
              <w:tc>
                <w:tcPr>
                  <w:tcW w:w="857" w:type="pct"/>
                  <w:vAlign w:val="center"/>
                </w:tcPr>
                <w:p w14:paraId="0EFBD899">
                  <w:pPr>
                    <w:autoSpaceDE w:val="0"/>
                    <w:autoSpaceDN w:val="0"/>
                    <w:adjustRightInd w:val="0"/>
                    <w:snapToGrid w:val="0"/>
                    <w:spacing w:line="240" w:lineRule="auto"/>
                    <w:jc w:val="center"/>
                    <w:rPr>
                      <w:szCs w:val="21"/>
                    </w:rPr>
                  </w:pPr>
                  <w:r>
                    <w:rPr>
                      <w:rFonts w:hint="eastAsia"/>
                      <w:szCs w:val="21"/>
                      <w:lang w:val="en-US" w:eastAsia="zh-CN"/>
                    </w:rPr>
                    <w:t>37.5</w:t>
                  </w:r>
                  <w:r>
                    <w:rPr>
                      <w:rFonts w:hint="eastAsia"/>
                      <w:szCs w:val="21"/>
                    </w:rPr>
                    <w:t>m</w:t>
                  </w:r>
                  <w:r>
                    <w:rPr>
                      <w:rFonts w:hint="eastAsia"/>
                      <w:szCs w:val="21"/>
                      <w:vertAlign w:val="superscript"/>
                    </w:rPr>
                    <w:t>2</w:t>
                  </w:r>
                </w:p>
              </w:tc>
              <w:tc>
                <w:tcPr>
                  <w:tcW w:w="535" w:type="pct"/>
                  <w:vAlign w:val="center"/>
                </w:tcPr>
                <w:p w14:paraId="2BFBD299">
                  <w:pPr>
                    <w:spacing w:line="240" w:lineRule="auto"/>
                    <w:jc w:val="center"/>
                    <w:rPr>
                      <w:szCs w:val="21"/>
                    </w:rPr>
                  </w:pPr>
                  <w:r>
                    <w:rPr>
                      <w:rFonts w:hint="eastAsia"/>
                      <w:szCs w:val="21"/>
                      <w:lang w:val="en-US" w:eastAsia="zh-CN"/>
                    </w:rPr>
                    <w:t>0.5</w:t>
                  </w:r>
                  <w:r>
                    <w:rPr>
                      <w:rFonts w:hint="eastAsia"/>
                      <w:szCs w:val="21"/>
                    </w:rPr>
                    <w:t>m</w:t>
                  </w:r>
                </w:p>
              </w:tc>
              <w:tc>
                <w:tcPr>
                  <w:tcW w:w="800" w:type="pct"/>
                  <w:vAlign w:val="center"/>
                </w:tcPr>
                <w:p w14:paraId="0F469B6C">
                  <w:pPr>
                    <w:spacing w:line="240" w:lineRule="auto"/>
                    <w:jc w:val="center"/>
                    <w:rPr>
                      <w:rFonts w:hint="default" w:eastAsia="宋体"/>
                      <w:szCs w:val="21"/>
                      <w:lang w:val="en-US" w:eastAsia="zh-CN"/>
                    </w:rPr>
                  </w:pPr>
                  <w:r>
                    <w:rPr>
                      <w:rFonts w:hint="eastAsia"/>
                      <w:szCs w:val="21"/>
                      <w:lang w:val="en-US" w:eastAsia="zh-CN"/>
                    </w:rPr>
                    <w:t>120</w:t>
                  </w:r>
                </w:p>
              </w:tc>
              <w:tc>
                <w:tcPr>
                  <w:tcW w:w="848" w:type="pct"/>
                  <w:vAlign w:val="center"/>
                </w:tcPr>
                <w:p w14:paraId="5C8CEB6C">
                  <w:pPr>
                    <w:spacing w:line="240" w:lineRule="auto"/>
                    <w:jc w:val="center"/>
                    <w:rPr>
                      <w:rFonts w:hint="default" w:eastAsia="宋体"/>
                      <w:szCs w:val="21"/>
                      <w:lang w:val="en-US" w:eastAsia="zh-CN"/>
                    </w:rPr>
                  </w:pPr>
                  <w:r>
                    <w:rPr>
                      <w:rFonts w:hint="eastAsia"/>
                      <w:szCs w:val="21"/>
                      <w:lang w:val="en-US" w:eastAsia="zh-CN"/>
                    </w:rPr>
                    <w:t>2250</w:t>
                  </w:r>
                </w:p>
              </w:tc>
            </w:tr>
            <w:tr w14:paraId="09B9F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restart"/>
                  <w:vAlign w:val="center"/>
                </w:tcPr>
                <w:p w14:paraId="6FA7A14C">
                  <w:pPr>
                    <w:spacing w:line="240" w:lineRule="auto"/>
                    <w:jc w:val="center"/>
                    <w:rPr>
                      <w:szCs w:val="21"/>
                    </w:rPr>
                  </w:pPr>
                  <w:r>
                    <w:rPr>
                      <w:rFonts w:hint="eastAsia"/>
                      <w:szCs w:val="21"/>
                      <w:lang w:val="en-US" w:eastAsia="zh-CN"/>
                    </w:rPr>
                    <w:t>2#喷涂生产线</w:t>
                  </w:r>
                </w:p>
              </w:tc>
              <w:tc>
                <w:tcPr>
                  <w:tcW w:w="872" w:type="pct"/>
                  <w:vAlign w:val="center"/>
                </w:tcPr>
                <w:p w14:paraId="315BBD62">
                  <w:pPr>
                    <w:autoSpaceDE w:val="0"/>
                    <w:autoSpaceDN w:val="0"/>
                    <w:adjustRightInd w:val="0"/>
                    <w:snapToGrid w:val="0"/>
                    <w:jc w:val="center"/>
                    <w:rPr>
                      <w:rFonts w:hint="eastAsia"/>
                      <w:szCs w:val="21"/>
                      <w:lang w:val="en-US" w:eastAsia="zh-CN"/>
                    </w:rPr>
                  </w:pPr>
                  <w:r>
                    <w:rPr>
                      <w:rFonts w:hint="eastAsia"/>
                      <w:lang w:val="en-US" w:eastAsia="zh-CN"/>
                    </w:rPr>
                    <w:t>除尘区域</w:t>
                  </w:r>
                </w:p>
              </w:tc>
              <w:tc>
                <w:tcPr>
                  <w:tcW w:w="554" w:type="pct"/>
                  <w:vAlign w:val="center"/>
                </w:tcPr>
                <w:p w14:paraId="68DCA545">
                  <w:pPr>
                    <w:autoSpaceDE w:val="0"/>
                    <w:autoSpaceDN w:val="0"/>
                    <w:adjustRightInd w:val="0"/>
                    <w:snapToGrid w:val="0"/>
                    <w:jc w:val="center"/>
                    <w:rPr>
                      <w:rFonts w:hint="eastAsia"/>
                      <w:szCs w:val="21"/>
                    </w:rPr>
                  </w:pPr>
                  <w:r>
                    <w:rPr>
                      <w:rFonts w:hint="eastAsia"/>
                      <w:szCs w:val="21"/>
                      <w:lang w:val="en-US" w:eastAsia="zh-CN"/>
                    </w:rPr>
                    <w:t>1</w:t>
                  </w:r>
                </w:p>
              </w:tc>
              <w:tc>
                <w:tcPr>
                  <w:tcW w:w="857" w:type="pct"/>
                  <w:vAlign w:val="center"/>
                </w:tcPr>
                <w:p w14:paraId="3054969F">
                  <w:pPr>
                    <w:autoSpaceDE w:val="0"/>
                    <w:autoSpaceDN w:val="0"/>
                    <w:adjustRightInd w:val="0"/>
                    <w:snapToGrid w:val="0"/>
                    <w:jc w:val="center"/>
                    <w:rPr>
                      <w:rFonts w:hint="eastAsia"/>
                      <w:szCs w:val="21"/>
                    </w:rPr>
                  </w:pPr>
                  <w:r>
                    <w:rPr>
                      <w:rFonts w:hint="eastAsia"/>
                      <w:szCs w:val="21"/>
                      <w:lang w:val="en-US" w:eastAsia="zh-CN"/>
                    </w:rPr>
                    <w:t>34.7</w:t>
                  </w:r>
                  <w:r>
                    <w:rPr>
                      <w:rFonts w:hint="eastAsia"/>
                      <w:szCs w:val="21"/>
                    </w:rPr>
                    <w:t>m</w:t>
                  </w:r>
                  <w:r>
                    <w:rPr>
                      <w:rFonts w:hint="eastAsia"/>
                      <w:szCs w:val="21"/>
                      <w:vertAlign w:val="superscript"/>
                    </w:rPr>
                    <w:t>2</w:t>
                  </w:r>
                </w:p>
              </w:tc>
              <w:tc>
                <w:tcPr>
                  <w:tcW w:w="535" w:type="pct"/>
                  <w:vAlign w:val="center"/>
                </w:tcPr>
                <w:p w14:paraId="18626AD4">
                  <w:pPr>
                    <w:spacing w:line="240" w:lineRule="auto"/>
                    <w:jc w:val="center"/>
                    <w:rPr>
                      <w:rFonts w:hint="eastAsia"/>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69A0AD50">
                  <w:pPr>
                    <w:spacing w:line="240" w:lineRule="auto"/>
                    <w:jc w:val="center"/>
                    <w:rPr>
                      <w:rFonts w:hint="default"/>
                      <w:szCs w:val="21"/>
                      <w:lang w:val="en-US"/>
                    </w:rPr>
                  </w:pPr>
                  <w:r>
                    <w:rPr>
                      <w:rFonts w:hint="eastAsia"/>
                      <w:szCs w:val="21"/>
                      <w:lang w:val="en-US" w:eastAsia="zh-CN"/>
                    </w:rPr>
                    <w:t>200</w:t>
                  </w:r>
                </w:p>
              </w:tc>
              <w:tc>
                <w:tcPr>
                  <w:tcW w:w="848" w:type="pct"/>
                  <w:vAlign w:val="center"/>
                </w:tcPr>
                <w:p w14:paraId="257B23B4">
                  <w:pPr>
                    <w:spacing w:line="240" w:lineRule="auto"/>
                    <w:jc w:val="center"/>
                    <w:rPr>
                      <w:rFonts w:hint="default"/>
                      <w:szCs w:val="21"/>
                      <w:lang w:val="en-US"/>
                    </w:rPr>
                  </w:pPr>
                  <w:r>
                    <w:rPr>
                      <w:rFonts w:hint="eastAsia"/>
                      <w:szCs w:val="21"/>
                      <w:lang w:val="en-US" w:eastAsia="zh-CN"/>
                    </w:rPr>
                    <w:t>18576</w:t>
                  </w:r>
                </w:p>
              </w:tc>
            </w:tr>
            <w:tr w14:paraId="52C3B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67172C84">
                  <w:pPr>
                    <w:spacing w:line="240" w:lineRule="auto"/>
                    <w:jc w:val="center"/>
                    <w:rPr>
                      <w:szCs w:val="21"/>
                    </w:rPr>
                  </w:pPr>
                </w:p>
              </w:tc>
              <w:tc>
                <w:tcPr>
                  <w:tcW w:w="872" w:type="pct"/>
                  <w:vAlign w:val="center"/>
                </w:tcPr>
                <w:p w14:paraId="70FEC855">
                  <w:pPr>
                    <w:autoSpaceDE w:val="0"/>
                    <w:autoSpaceDN w:val="0"/>
                    <w:adjustRightInd w:val="0"/>
                    <w:snapToGrid w:val="0"/>
                    <w:jc w:val="center"/>
                    <w:rPr>
                      <w:rFonts w:hint="eastAsia"/>
                      <w:szCs w:val="21"/>
                      <w:lang w:val="en-US" w:eastAsia="zh-CN"/>
                    </w:rPr>
                  </w:pPr>
                  <w:r>
                    <w:rPr>
                      <w:rFonts w:hint="eastAsia"/>
                      <w:sz w:val="21"/>
                      <w:szCs w:val="21"/>
                      <w:lang w:val="en-US" w:eastAsia="zh-CN"/>
                    </w:rPr>
                    <w:t>底漆</w:t>
                  </w:r>
                  <w:r>
                    <w:rPr>
                      <w:rFonts w:hint="eastAsia"/>
                      <w:sz w:val="21"/>
                      <w:szCs w:val="21"/>
                    </w:rPr>
                    <w:t>喷</w:t>
                  </w:r>
                  <w:r>
                    <w:rPr>
                      <w:rFonts w:hint="eastAsia"/>
                      <w:sz w:val="21"/>
                      <w:szCs w:val="21"/>
                      <w:lang w:val="en-US" w:eastAsia="zh-CN"/>
                    </w:rPr>
                    <w:t>涂室</w:t>
                  </w:r>
                </w:p>
              </w:tc>
              <w:tc>
                <w:tcPr>
                  <w:tcW w:w="554" w:type="pct"/>
                  <w:vAlign w:val="center"/>
                </w:tcPr>
                <w:p w14:paraId="29E87784">
                  <w:pPr>
                    <w:autoSpaceDE w:val="0"/>
                    <w:autoSpaceDN w:val="0"/>
                    <w:adjustRightInd w:val="0"/>
                    <w:snapToGrid w:val="0"/>
                    <w:jc w:val="center"/>
                    <w:rPr>
                      <w:rFonts w:hint="eastAsia"/>
                      <w:szCs w:val="21"/>
                    </w:rPr>
                  </w:pPr>
                  <w:r>
                    <w:rPr>
                      <w:rFonts w:hint="eastAsia"/>
                      <w:szCs w:val="21"/>
                      <w:lang w:val="en-US" w:eastAsia="zh-CN"/>
                    </w:rPr>
                    <w:t>1</w:t>
                  </w:r>
                </w:p>
              </w:tc>
              <w:tc>
                <w:tcPr>
                  <w:tcW w:w="857" w:type="pct"/>
                  <w:vAlign w:val="center"/>
                </w:tcPr>
                <w:p w14:paraId="7FB5E51E">
                  <w:pPr>
                    <w:autoSpaceDE w:val="0"/>
                    <w:autoSpaceDN w:val="0"/>
                    <w:adjustRightInd w:val="0"/>
                    <w:snapToGrid w:val="0"/>
                    <w:jc w:val="center"/>
                    <w:rPr>
                      <w:rFonts w:hint="eastAsia"/>
                      <w:szCs w:val="21"/>
                    </w:rPr>
                  </w:pPr>
                  <w:r>
                    <w:rPr>
                      <w:rFonts w:hint="eastAsia"/>
                      <w:szCs w:val="21"/>
                      <w:lang w:val="en-US" w:eastAsia="zh-CN"/>
                    </w:rPr>
                    <w:t>23.2</w:t>
                  </w:r>
                  <w:r>
                    <w:rPr>
                      <w:rFonts w:hint="eastAsia"/>
                      <w:szCs w:val="21"/>
                    </w:rPr>
                    <w:t>m</w:t>
                  </w:r>
                  <w:r>
                    <w:rPr>
                      <w:rFonts w:hint="eastAsia"/>
                      <w:szCs w:val="21"/>
                      <w:vertAlign w:val="superscript"/>
                    </w:rPr>
                    <w:t>2</w:t>
                  </w:r>
                </w:p>
              </w:tc>
              <w:tc>
                <w:tcPr>
                  <w:tcW w:w="535" w:type="pct"/>
                  <w:vAlign w:val="center"/>
                </w:tcPr>
                <w:p w14:paraId="7983B20B">
                  <w:pPr>
                    <w:spacing w:line="240" w:lineRule="auto"/>
                    <w:jc w:val="center"/>
                    <w:rPr>
                      <w:rFonts w:hint="eastAsia"/>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1A3191B9">
                  <w:pPr>
                    <w:spacing w:line="240" w:lineRule="auto"/>
                    <w:jc w:val="center"/>
                    <w:rPr>
                      <w:rFonts w:hint="eastAsia"/>
                      <w:szCs w:val="21"/>
                    </w:rPr>
                  </w:pPr>
                  <w:r>
                    <w:rPr>
                      <w:rFonts w:hint="eastAsia"/>
                      <w:szCs w:val="21"/>
                      <w:lang w:val="en-US" w:eastAsia="zh-CN"/>
                    </w:rPr>
                    <w:t>300</w:t>
                  </w:r>
                </w:p>
              </w:tc>
              <w:tc>
                <w:tcPr>
                  <w:tcW w:w="848" w:type="pct"/>
                  <w:vAlign w:val="center"/>
                </w:tcPr>
                <w:p w14:paraId="08C71FDF">
                  <w:pPr>
                    <w:spacing w:line="240" w:lineRule="auto"/>
                    <w:jc w:val="center"/>
                    <w:rPr>
                      <w:rFonts w:hint="eastAsia"/>
                      <w:szCs w:val="21"/>
                    </w:rPr>
                  </w:pPr>
                  <w:r>
                    <w:rPr>
                      <w:rFonts w:hint="eastAsia"/>
                      <w:szCs w:val="21"/>
                      <w:lang w:val="en-US" w:eastAsia="zh-CN"/>
                    </w:rPr>
                    <w:t>18792</w:t>
                  </w:r>
                </w:p>
              </w:tc>
            </w:tr>
            <w:tr w14:paraId="4A468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16C821AA">
                  <w:pPr>
                    <w:spacing w:line="240" w:lineRule="auto"/>
                    <w:jc w:val="center"/>
                    <w:rPr>
                      <w:szCs w:val="21"/>
                    </w:rPr>
                  </w:pPr>
                </w:p>
              </w:tc>
              <w:tc>
                <w:tcPr>
                  <w:tcW w:w="872" w:type="pct"/>
                  <w:vAlign w:val="center"/>
                </w:tcPr>
                <w:p w14:paraId="58E792E9">
                  <w:pPr>
                    <w:autoSpaceDE w:val="0"/>
                    <w:autoSpaceDN w:val="0"/>
                    <w:adjustRightInd w:val="0"/>
                    <w:snapToGrid w:val="0"/>
                    <w:jc w:val="center"/>
                    <w:rPr>
                      <w:rFonts w:hint="eastAsia"/>
                      <w:szCs w:val="21"/>
                      <w:lang w:val="en-US" w:eastAsia="zh-CN"/>
                    </w:rPr>
                  </w:pPr>
                  <w:r>
                    <w:rPr>
                      <w:rFonts w:hint="eastAsia"/>
                      <w:sz w:val="21"/>
                      <w:szCs w:val="21"/>
                      <w:lang w:val="en-US" w:eastAsia="zh-CN"/>
                    </w:rPr>
                    <w:t>面漆</w:t>
                  </w:r>
                  <w:r>
                    <w:rPr>
                      <w:rFonts w:hint="eastAsia"/>
                      <w:sz w:val="21"/>
                      <w:szCs w:val="21"/>
                    </w:rPr>
                    <w:t>喷</w:t>
                  </w:r>
                  <w:r>
                    <w:rPr>
                      <w:rFonts w:hint="eastAsia"/>
                      <w:sz w:val="21"/>
                      <w:szCs w:val="21"/>
                      <w:lang w:val="en-US" w:eastAsia="zh-CN"/>
                    </w:rPr>
                    <w:t>涂室</w:t>
                  </w:r>
                </w:p>
              </w:tc>
              <w:tc>
                <w:tcPr>
                  <w:tcW w:w="554" w:type="pct"/>
                  <w:vAlign w:val="center"/>
                </w:tcPr>
                <w:p w14:paraId="60D009EC">
                  <w:pPr>
                    <w:autoSpaceDE w:val="0"/>
                    <w:autoSpaceDN w:val="0"/>
                    <w:adjustRightInd w:val="0"/>
                    <w:snapToGrid w:val="0"/>
                    <w:jc w:val="center"/>
                    <w:rPr>
                      <w:rFonts w:hint="eastAsia"/>
                      <w:szCs w:val="21"/>
                    </w:rPr>
                  </w:pPr>
                  <w:r>
                    <w:rPr>
                      <w:rFonts w:hint="eastAsia"/>
                      <w:szCs w:val="21"/>
                      <w:lang w:val="en-US" w:eastAsia="zh-CN"/>
                    </w:rPr>
                    <w:t>2</w:t>
                  </w:r>
                </w:p>
              </w:tc>
              <w:tc>
                <w:tcPr>
                  <w:tcW w:w="857" w:type="pct"/>
                  <w:vAlign w:val="center"/>
                </w:tcPr>
                <w:p w14:paraId="57A66CCC">
                  <w:pPr>
                    <w:autoSpaceDE w:val="0"/>
                    <w:autoSpaceDN w:val="0"/>
                    <w:adjustRightInd w:val="0"/>
                    <w:snapToGrid w:val="0"/>
                    <w:jc w:val="center"/>
                    <w:rPr>
                      <w:rFonts w:hint="eastAsia"/>
                      <w:szCs w:val="21"/>
                    </w:rPr>
                  </w:pPr>
                  <w:r>
                    <w:rPr>
                      <w:rFonts w:hint="eastAsia"/>
                      <w:szCs w:val="21"/>
                      <w:lang w:val="en-US" w:eastAsia="zh-CN"/>
                    </w:rPr>
                    <w:t>23.2</w:t>
                  </w:r>
                  <w:r>
                    <w:rPr>
                      <w:rFonts w:hint="eastAsia"/>
                      <w:szCs w:val="21"/>
                    </w:rPr>
                    <w:t>m</w:t>
                  </w:r>
                  <w:r>
                    <w:rPr>
                      <w:rFonts w:hint="eastAsia"/>
                      <w:szCs w:val="21"/>
                      <w:vertAlign w:val="superscript"/>
                    </w:rPr>
                    <w:t>2</w:t>
                  </w:r>
                </w:p>
              </w:tc>
              <w:tc>
                <w:tcPr>
                  <w:tcW w:w="535" w:type="pct"/>
                  <w:vAlign w:val="center"/>
                </w:tcPr>
                <w:p w14:paraId="30973C7F">
                  <w:pPr>
                    <w:spacing w:line="240" w:lineRule="auto"/>
                    <w:jc w:val="center"/>
                    <w:rPr>
                      <w:rFonts w:hint="eastAsia"/>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63FF97CB">
                  <w:pPr>
                    <w:spacing w:line="240" w:lineRule="auto"/>
                    <w:jc w:val="center"/>
                    <w:rPr>
                      <w:rFonts w:hint="eastAsia"/>
                      <w:szCs w:val="21"/>
                    </w:rPr>
                  </w:pPr>
                  <w:r>
                    <w:rPr>
                      <w:rFonts w:hint="eastAsia"/>
                      <w:szCs w:val="21"/>
                      <w:lang w:val="en-US" w:eastAsia="zh-CN"/>
                    </w:rPr>
                    <w:t>300</w:t>
                  </w:r>
                </w:p>
              </w:tc>
              <w:tc>
                <w:tcPr>
                  <w:tcW w:w="848" w:type="pct"/>
                  <w:vAlign w:val="center"/>
                </w:tcPr>
                <w:p w14:paraId="5F83442E">
                  <w:pPr>
                    <w:spacing w:line="240" w:lineRule="auto"/>
                    <w:jc w:val="center"/>
                    <w:rPr>
                      <w:rFonts w:hint="eastAsia"/>
                      <w:szCs w:val="21"/>
                    </w:rPr>
                  </w:pPr>
                  <w:r>
                    <w:rPr>
                      <w:rFonts w:hint="eastAsia"/>
                      <w:szCs w:val="21"/>
                      <w:lang w:val="en-US" w:eastAsia="zh-CN"/>
                    </w:rPr>
                    <w:t>18792</w:t>
                  </w:r>
                </w:p>
              </w:tc>
            </w:tr>
            <w:tr w14:paraId="0E063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5981FBBE">
                  <w:pPr>
                    <w:spacing w:line="240" w:lineRule="auto"/>
                    <w:jc w:val="center"/>
                    <w:rPr>
                      <w:szCs w:val="21"/>
                    </w:rPr>
                  </w:pPr>
                </w:p>
              </w:tc>
              <w:tc>
                <w:tcPr>
                  <w:tcW w:w="872" w:type="pct"/>
                  <w:vAlign w:val="center"/>
                </w:tcPr>
                <w:p w14:paraId="09D093A1">
                  <w:pPr>
                    <w:autoSpaceDE w:val="0"/>
                    <w:autoSpaceDN w:val="0"/>
                    <w:adjustRightInd w:val="0"/>
                    <w:snapToGrid w:val="0"/>
                    <w:jc w:val="center"/>
                    <w:rPr>
                      <w:rFonts w:hint="eastAsia"/>
                      <w:szCs w:val="21"/>
                      <w:lang w:val="en-US" w:eastAsia="zh-CN"/>
                    </w:rPr>
                  </w:pPr>
                  <w:r>
                    <w:rPr>
                      <w:rFonts w:hint="eastAsia"/>
                      <w:sz w:val="21"/>
                      <w:szCs w:val="21"/>
                      <w:lang w:val="en-US" w:eastAsia="zh-CN"/>
                    </w:rPr>
                    <w:t>清漆</w:t>
                  </w:r>
                  <w:r>
                    <w:rPr>
                      <w:rFonts w:hint="eastAsia"/>
                      <w:sz w:val="21"/>
                      <w:szCs w:val="21"/>
                    </w:rPr>
                    <w:t>喷</w:t>
                  </w:r>
                  <w:r>
                    <w:rPr>
                      <w:rFonts w:hint="eastAsia"/>
                      <w:sz w:val="21"/>
                      <w:szCs w:val="21"/>
                      <w:lang w:val="en-US" w:eastAsia="zh-CN"/>
                    </w:rPr>
                    <w:t>涂室</w:t>
                  </w:r>
                </w:p>
              </w:tc>
              <w:tc>
                <w:tcPr>
                  <w:tcW w:w="554" w:type="pct"/>
                  <w:vAlign w:val="center"/>
                </w:tcPr>
                <w:p w14:paraId="62542C33">
                  <w:pPr>
                    <w:autoSpaceDE w:val="0"/>
                    <w:autoSpaceDN w:val="0"/>
                    <w:adjustRightInd w:val="0"/>
                    <w:snapToGrid w:val="0"/>
                    <w:jc w:val="center"/>
                    <w:rPr>
                      <w:rFonts w:hint="eastAsia"/>
                      <w:szCs w:val="21"/>
                    </w:rPr>
                  </w:pPr>
                  <w:r>
                    <w:rPr>
                      <w:rFonts w:hint="eastAsia"/>
                      <w:szCs w:val="21"/>
                      <w:lang w:val="en-US" w:eastAsia="zh-CN"/>
                    </w:rPr>
                    <w:t>2</w:t>
                  </w:r>
                </w:p>
              </w:tc>
              <w:tc>
                <w:tcPr>
                  <w:tcW w:w="857" w:type="pct"/>
                  <w:vAlign w:val="center"/>
                </w:tcPr>
                <w:p w14:paraId="519D7112">
                  <w:pPr>
                    <w:autoSpaceDE w:val="0"/>
                    <w:autoSpaceDN w:val="0"/>
                    <w:adjustRightInd w:val="0"/>
                    <w:snapToGrid w:val="0"/>
                    <w:jc w:val="center"/>
                    <w:rPr>
                      <w:rFonts w:hint="eastAsia"/>
                      <w:szCs w:val="21"/>
                    </w:rPr>
                  </w:pPr>
                  <w:r>
                    <w:rPr>
                      <w:rFonts w:hint="eastAsia"/>
                      <w:szCs w:val="21"/>
                      <w:lang w:val="en-US" w:eastAsia="zh-CN"/>
                    </w:rPr>
                    <w:t>23.2</w:t>
                  </w:r>
                  <w:r>
                    <w:rPr>
                      <w:rFonts w:hint="eastAsia"/>
                      <w:szCs w:val="21"/>
                    </w:rPr>
                    <w:t>m</w:t>
                  </w:r>
                  <w:r>
                    <w:rPr>
                      <w:rFonts w:hint="eastAsia"/>
                      <w:szCs w:val="21"/>
                      <w:vertAlign w:val="superscript"/>
                    </w:rPr>
                    <w:t>2</w:t>
                  </w:r>
                </w:p>
              </w:tc>
              <w:tc>
                <w:tcPr>
                  <w:tcW w:w="535" w:type="pct"/>
                  <w:vAlign w:val="center"/>
                </w:tcPr>
                <w:p w14:paraId="2A936143">
                  <w:pPr>
                    <w:spacing w:line="240" w:lineRule="auto"/>
                    <w:jc w:val="center"/>
                    <w:rPr>
                      <w:rFonts w:hint="eastAsia"/>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7A369D12">
                  <w:pPr>
                    <w:spacing w:line="240" w:lineRule="auto"/>
                    <w:jc w:val="center"/>
                    <w:rPr>
                      <w:rFonts w:hint="eastAsia"/>
                      <w:szCs w:val="21"/>
                    </w:rPr>
                  </w:pPr>
                  <w:r>
                    <w:rPr>
                      <w:rFonts w:hint="eastAsia"/>
                      <w:szCs w:val="21"/>
                      <w:lang w:val="en-US" w:eastAsia="zh-CN"/>
                    </w:rPr>
                    <w:t>300</w:t>
                  </w:r>
                </w:p>
              </w:tc>
              <w:tc>
                <w:tcPr>
                  <w:tcW w:w="848" w:type="pct"/>
                  <w:vAlign w:val="center"/>
                </w:tcPr>
                <w:p w14:paraId="59EA88B8">
                  <w:pPr>
                    <w:spacing w:line="240" w:lineRule="auto"/>
                    <w:jc w:val="center"/>
                    <w:rPr>
                      <w:rFonts w:hint="eastAsia"/>
                      <w:szCs w:val="21"/>
                    </w:rPr>
                  </w:pPr>
                  <w:r>
                    <w:rPr>
                      <w:rFonts w:hint="eastAsia"/>
                      <w:szCs w:val="21"/>
                      <w:lang w:val="en-US" w:eastAsia="zh-CN"/>
                    </w:rPr>
                    <w:t>18792</w:t>
                  </w:r>
                </w:p>
              </w:tc>
            </w:tr>
            <w:tr w14:paraId="01DF4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5F35EDC6">
                  <w:pPr>
                    <w:spacing w:line="240" w:lineRule="auto"/>
                    <w:jc w:val="center"/>
                    <w:rPr>
                      <w:szCs w:val="21"/>
                    </w:rPr>
                  </w:pPr>
                </w:p>
              </w:tc>
              <w:tc>
                <w:tcPr>
                  <w:tcW w:w="872" w:type="pct"/>
                  <w:vAlign w:val="center"/>
                </w:tcPr>
                <w:p w14:paraId="52708D11">
                  <w:pPr>
                    <w:autoSpaceDE w:val="0"/>
                    <w:autoSpaceDN w:val="0"/>
                    <w:adjustRightInd w:val="0"/>
                    <w:snapToGrid w:val="0"/>
                    <w:jc w:val="center"/>
                    <w:rPr>
                      <w:rFonts w:hint="eastAsia"/>
                      <w:szCs w:val="21"/>
                      <w:lang w:val="en-US" w:eastAsia="zh-CN"/>
                    </w:rPr>
                  </w:pPr>
                  <w:r>
                    <w:rPr>
                      <w:rFonts w:hint="eastAsia"/>
                      <w:szCs w:val="21"/>
                      <w:lang w:val="en-US" w:eastAsia="zh-CN"/>
                    </w:rPr>
                    <w:t>调漆室</w:t>
                  </w:r>
                </w:p>
              </w:tc>
              <w:tc>
                <w:tcPr>
                  <w:tcW w:w="554" w:type="pct"/>
                  <w:vAlign w:val="center"/>
                </w:tcPr>
                <w:p w14:paraId="3A71EBD0">
                  <w:pPr>
                    <w:autoSpaceDE w:val="0"/>
                    <w:autoSpaceDN w:val="0"/>
                    <w:adjustRightInd w:val="0"/>
                    <w:snapToGrid w:val="0"/>
                    <w:jc w:val="center"/>
                    <w:rPr>
                      <w:rFonts w:hint="eastAsia"/>
                      <w:szCs w:val="21"/>
                    </w:rPr>
                  </w:pPr>
                  <w:r>
                    <w:rPr>
                      <w:rFonts w:hint="eastAsia"/>
                      <w:szCs w:val="21"/>
                      <w:lang w:val="en-US" w:eastAsia="zh-CN"/>
                    </w:rPr>
                    <w:t>2</w:t>
                  </w:r>
                </w:p>
              </w:tc>
              <w:tc>
                <w:tcPr>
                  <w:tcW w:w="857" w:type="pct"/>
                  <w:vAlign w:val="center"/>
                </w:tcPr>
                <w:p w14:paraId="0AB8B441">
                  <w:pPr>
                    <w:autoSpaceDE w:val="0"/>
                    <w:autoSpaceDN w:val="0"/>
                    <w:adjustRightInd w:val="0"/>
                    <w:snapToGrid w:val="0"/>
                    <w:jc w:val="center"/>
                    <w:rPr>
                      <w:rFonts w:hint="eastAsia"/>
                      <w:szCs w:val="21"/>
                    </w:rPr>
                  </w:pPr>
                  <w:r>
                    <w:rPr>
                      <w:rFonts w:hint="eastAsia"/>
                      <w:szCs w:val="21"/>
                      <w:lang w:val="en-US" w:eastAsia="zh-CN"/>
                    </w:rPr>
                    <w:t>14.5</w:t>
                  </w:r>
                  <w:r>
                    <w:rPr>
                      <w:rFonts w:hint="eastAsia"/>
                      <w:szCs w:val="21"/>
                    </w:rPr>
                    <w:t>m</w:t>
                  </w:r>
                  <w:r>
                    <w:rPr>
                      <w:rFonts w:hint="eastAsia"/>
                      <w:szCs w:val="21"/>
                      <w:vertAlign w:val="superscript"/>
                    </w:rPr>
                    <w:t>2</w:t>
                  </w:r>
                </w:p>
              </w:tc>
              <w:tc>
                <w:tcPr>
                  <w:tcW w:w="535" w:type="pct"/>
                  <w:vAlign w:val="center"/>
                </w:tcPr>
                <w:p w14:paraId="7A280F00">
                  <w:pPr>
                    <w:spacing w:line="240" w:lineRule="auto"/>
                    <w:jc w:val="center"/>
                    <w:rPr>
                      <w:rFonts w:hint="eastAsia"/>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75A3213F">
                  <w:pPr>
                    <w:spacing w:line="240" w:lineRule="auto"/>
                    <w:jc w:val="center"/>
                    <w:rPr>
                      <w:rFonts w:hint="default" w:eastAsia="宋体"/>
                      <w:szCs w:val="21"/>
                      <w:lang w:val="en-US" w:eastAsia="zh-CN"/>
                    </w:rPr>
                  </w:pPr>
                  <w:r>
                    <w:rPr>
                      <w:rFonts w:hint="eastAsia"/>
                      <w:szCs w:val="21"/>
                      <w:lang w:val="en-US" w:eastAsia="zh-CN"/>
                    </w:rPr>
                    <w:t>20</w:t>
                  </w:r>
                </w:p>
              </w:tc>
              <w:tc>
                <w:tcPr>
                  <w:tcW w:w="848" w:type="pct"/>
                  <w:vAlign w:val="center"/>
                </w:tcPr>
                <w:p w14:paraId="77E6EB75">
                  <w:pPr>
                    <w:tabs>
                      <w:tab w:val="left" w:pos="456"/>
                    </w:tabs>
                    <w:spacing w:line="240" w:lineRule="auto"/>
                    <w:jc w:val="center"/>
                    <w:rPr>
                      <w:rFonts w:hint="eastAsia" w:eastAsia="宋体"/>
                      <w:szCs w:val="21"/>
                      <w:lang w:eastAsia="zh-CN"/>
                    </w:rPr>
                  </w:pPr>
                  <w:r>
                    <w:rPr>
                      <w:rFonts w:hint="eastAsia"/>
                      <w:szCs w:val="21"/>
                      <w:lang w:val="en-US" w:eastAsia="zh-CN"/>
                    </w:rPr>
                    <w:t>783</w:t>
                  </w:r>
                </w:p>
              </w:tc>
            </w:tr>
            <w:tr w14:paraId="2E467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4F2337B9">
                  <w:pPr>
                    <w:spacing w:line="240" w:lineRule="auto"/>
                    <w:jc w:val="center"/>
                    <w:rPr>
                      <w:szCs w:val="21"/>
                    </w:rPr>
                  </w:pPr>
                </w:p>
              </w:tc>
              <w:tc>
                <w:tcPr>
                  <w:tcW w:w="872" w:type="pct"/>
                  <w:vAlign w:val="center"/>
                </w:tcPr>
                <w:p w14:paraId="71B93D77">
                  <w:pPr>
                    <w:autoSpaceDE w:val="0"/>
                    <w:autoSpaceDN w:val="0"/>
                    <w:adjustRightInd w:val="0"/>
                    <w:snapToGrid w:val="0"/>
                    <w:jc w:val="center"/>
                    <w:rPr>
                      <w:rFonts w:hint="eastAsia"/>
                      <w:szCs w:val="21"/>
                      <w:lang w:val="en-US" w:eastAsia="zh-CN"/>
                    </w:rPr>
                  </w:pPr>
                  <w:r>
                    <w:rPr>
                      <w:rFonts w:hint="eastAsia"/>
                      <w:szCs w:val="21"/>
                      <w:lang w:val="en-US" w:eastAsia="zh-CN"/>
                    </w:rPr>
                    <w:t>流平室</w:t>
                  </w:r>
                </w:p>
              </w:tc>
              <w:tc>
                <w:tcPr>
                  <w:tcW w:w="554" w:type="pct"/>
                  <w:vAlign w:val="center"/>
                </w:tcPr>
                <w:p w14:paraId="61D74685">
                  <w:pPr>
                    <w:autoSpaceDE w:val="0"/>
                    <w:autoSpaceDN w:val="0"/>
                    <w:adjustRightInd w:val="0"/>
                    <w:snapToGrid w:val="0"/>
                    <w:jc w:val="center"/>
                    <w:rPr>
                      <w:rFonts w:hint="eastAsia"/>
                      <w:szCs w:val="21"/>
                    </w:rPr>
                  </w:pPr>
                  <w:r>
                    <w:rPr>
                      <w:rFonts w:hint="eastAsia"/>
                      <w:szCs w:val="21"/>
                      <w:lang w:val="en-US" w:eastAsia="zh-CN"/>
                    </w:rPr>
                    <w:t>1</w:t>
                  </w:r>
                </w:p>
              </w:tc>
              <w:tc>
                <w:tcPr>
                  <w:tcW w:w="857" w:type="pct"/>
                  <w:vAlign w:val="center"/>
                </w:tcPr>
                <w:p w14:paraId="1BFA6C19">
                  <w:pPr>
                    <w:autoSpaceDE w:val="0"/>
                    <w:autoSpaceDN w:val="0"/>
                    <w:adjustRightInd w:val="0"/>
                    <w:snapToGrid w:val="0"/>
                    <w:jc w:val="center"/>
                    <w:rPr>
                      <w:rFonts w:hint="eastAsia"/>
                      <w:szCs w:val="21"/>
                    </w:rPr>
                  </w:pPr>
                  <w:r>
                    <w:rPr>
                      <w:rFonts w:hint="eastAsia"/>
                      <w:szCs w:val="21"/>
                      <w:lang w:val="en-US" w:eastAsia="zh-CN"/>
                    </w:rPr>
                    <w:t>17.5</w:t>
                  </w:r>
                  <w:r>
                    <w:rPr>
                      <w:rFonts w:hint="eastAsia"/>
                      <w:szCs w:val="21"/>
                    </w:rPr>
                    <w:t>m</w:t>
                  </w:r>
                  <w:r>
                    <w:rPr>
                      <w:rFonts w:hint="eastAsia"/>
                      <w:szCs w:val="21"/>
                      <w:vertAlign w:val="superscript"/>
                    </w:rPr>
                    <w:t>2</w:t>
                  </w:r>
                </w:p>
              </w:tc>
              <w:tc>
                <w:tcPr>
                  <w:tcW w:w="535" w:type="pct"/>
                  <w:vAlign w:val="center"/>
                </w:tcPr>
                <w:p w14:paraId="76D2E98A">
                  <w:pPr>
                    <w:spacing w:line="240" w:lineRule="auto"/>
                    <w:jc w:val="center"/>
                    <w:rPr>
                      <w:rFonts w:hint="eastAsia"/>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0C8BE8CA">
                  <w:pPr>
                    <w:spacing w:line="240" w:lineRule="auto"/>
                    <w:jc w:val="center"/>
                    <w:rPr>
                      <w:rFonts w:hint="eastAsia"/>
                      <w:szCs w:val="21"/>
                    </w:rPr>
                  </w:pPr>
                  <w:r>
                    <w:rPr>
                      <w:rFonts w:hint="eastAsia"/>
                      <w:szCs w:val="21"/>
                      <w:lang w:val="en-US" w:eastAsia="zh-CN"/>
                    </w:rPr>
                    <w:t>30</w:t>
                  </w:r>
                </w:p>
              </w:tc>
              <w:tc>
                <w:tcPr>
                  <w:tcW w:w="848" w:type="pct"/>
                  <w:vAlign w:val="center"/>
                </w:tcPr>
                <w:p w14:paraId="782AE761">
                  <w:pPr>
                    <w:spacing w:line="240" w:lineRule="auto"/>
                    <w:jc w:val="center"/>
                    <w:rPr>
                      <w:rFonts w:hint="eastAsia"/>
                      <w:szCs w:val="21"/>
                    </w:rPr>
                  </w:pPr>
                  <w:r>
                    <w:rPr>
                      <w:rFonts w:hint="eastAsia"/>
                      <w:szCs w:val="21"/>
                      <w:lang w:val="en-US" w:eastAsia="zh-CN"/>
                    </w:rPr>
                    <w:t>1417.5</w:t>
                  </w:r>
                </w:p>
              </w:tc>
            </w:tr>
            <w:tr w14:paraId="0CA7E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3FD2E0EF">
                  <w:pPr>
                    <w:spacing w:line="240" w:lineRule="auto"/>
                    <w:jc w:val="center"/>
                    <w:rPr>
                      <w:szCs w:val="21"/>
                    </w:rPr>
                  </w:pPr>
                </w:p>
              </w:tc>
              <w:tc>
                <w:tcPr>
                  <w:tcW w:w="872" w:type="pct"/>
                  <w:vAlign w:val="center"/>
                </w:tcPr>
                <w:p w14:paraId="4BCD4121">
                  <w:pPr>
                    <w:autoSpaceDE w:val="0"/>
                    <w:autoSpaceDN w:val="0"/>
                    <w:adjustRightInd w:val="0"/>
                    <w:snapToGrid w:val="0"/>
                    <w:jc w:val="center"/>
                    <w:rPr>
                      <w:rFonts w:hint="eastAsia"/>
                      <w:szCs w:val="21"/>
                      <w:lang w:val="en-US" w:eastAsia="zh-CN"/>
                    </w:rPr>
                  </w:pPr>
                  <w:r>
                    <w:rPr>
                      <w:rFonts w:hint="eastAsia"/>
                      <w:lang w:val="en-US" w:eastAsia="zh-CN"/>
                    </w:rPr>
                    <w:t>烘干通道</w:t>
                  </w:r>
                </w:p>
              </w:tc>
              <w:tc>
                <w:tcPr>
                  <w:tcW w:w="554" w:type="pct"/>
                  <w:vAlign w:val="center"/>
                </w:tcPr>
                <w:p w14:paraId="1B3C202F">
                  <w:pPr>
                    <w:autoSpaceDE w:val="0"/>
                    <w:autoSpaceDN w:val="0"/>
                    <w:adjustRightInd w:val="0"/>
                    <w:snapToGrid w:val="0"/>
                    <w:jc w:val="center"/>
                    <w:rPr>
                      <w:rFonts w:hint="eastAsia"/>
                      <w:szCs w:val="21"/>
                    </w:rPr>
                  </w:pPr>
                  <w:r>
                    <w:rPr>
                      <w:rFonts w:hint="eastAsia"/>
                      <w:szCs w:val="21"/>
                      <w:lang w:val="en-US" w:eastAsia="zh-CN"/>
                    </w:rPr>
                    <w:t>1</w:t>
                  </w:r>
                </w:p>
              </w:tc>
              <w:tc>
                <w:tcPr>
                  <w:tcW w:w="857" w:type="pct"/>
                  <w:vAlign w:val="center"/>
                </w:tcPr>
                <w:p w14:paraId="4EF336D7">
                  <w:pPr>
                    <w:autoSpaceDE w:val="0"/>
                    <w:autoSpaceDN w:val="0"/>
                    <w:adjustRightInd w:val="0"/>
                    <w:snapToGrid w:val="0"/>
                    <w:jc w:val="center"/>
                    <w:rPr>
                      <w:rFonts w:hint="eastAsia"/>
                      <w:szCs w:val="21"/>
                    </w:rPr>
                  </w:pPr>
                  <w:r>
                    <w:rPr>
                      <w:rFonts w:hint="eastAsia"/>
                      <w:szCs w:val="21"/>
                      <w:lang w:val="en-US" w:eastAsia="zh-CN"/>
                    </w:rPr>
                    <w:t>37.5</w:t>
                  </w:r>
                  <w:r>
                    <w:rPr>
                      <w:rFonts w:hint="eastAsia"/>
                      <w:szCs w:val="21"/>
                    </w:rPr>
                    <w:t>m</w:t>
                  </w:r>
                  <w:r>
                    <w:rPr>
                      <w:rFonts w:hint="eastAsia"/>
                      <w:szCs w:val="21"/>
                      <w:vertAlign w:val="superscript"/>
                    </w:rPr>
                    <w:t>2</w:t>
                  </w:r>
                </w:p>
              </w:tc>
              <w:tc>
                <w:tcPr>
                  <w:tcW w:w="535" w:type="pct"/>
                  <w:vAlign w:val="center"/>
                </w:tcPr>
                <w:p w14:paraId="275FF3D1">
                  <w:pPr>
                    <w:spacing w:line="240" w:lineRule="auto"/>
                    <w:jc w:val="center"/>
                    <w:rPr>
                      <w:rFonts w:hint="eastAsia"/>
                      <w:szCs w:val="21"/>
                    </w:rPr>
                  </w:pPr>
                  <w:r>
                    <w:rPr>
                      <w:rFonts w:hint="eastAsia"/>
                      <w:szCs w:val="21"/>
                      <w:lang w:val="en-US" w:eastAsia="zh-CN"/>
                    </w:rPr>
                    <w:t>0.5</w:t>
                  </w:r>
                  <w:r>
                    <w:rPr>
                      <w:rFonts w:hint="eastAsia"/>
                      <w:szCs w:val="21"/>
                    </w:rPr>
                    <w:t>m</w:t>
                  </w:r>
                </w:p>
              </w:tc>
              <w:tc>
                <w:tcPr>
                  <w:tcW w:w="800" w:type="pct"/>
                  <w:vAlign w:val="center"/>
                </w:tcPr>
                <w:p w14:paraId="0E5C9B80">
                  <w:pPr>
                    <w:spacing w:line="240" w:lineRule="auto"/>
                    <w:jc w:val="center"/>
                    <w:rPr>
                      <w:rFonts w:hint="eastAsia"/>
                      <w:szCs w:val="21"/>
                    </w:rPr>
                  </w:pPr>
                  <w:r>
                    <w:rPr>
                      <w:rFonts w:hint="eastAsia"/>
                      <w:szCs w:val="21"/>
                      <w:lang w:val="en-US" w:eastAsia="zh-CN"/>
                    </w:rPr>
                    <w:t>120</w:t>
                  </w:r>
                </w:p>
              </w:tc>
              <w:tc>
                <w:tcPr>
                  <w:tcW w:w="848" w:type="pct"/>
                  <w:vAlign w:val="center"/>
                </w:tcPr>
                <w:p w14:paraId="063F7139">
                  <w:pPr>
                    <w:spacing w:line="240" w:lineRule="auto"/>
                    <w:jc w:val="center"/>
                    <w:rPr>
                      <w:rFonts w:hint="eastAsia"/>
                      <w:szCs w:val="21"/>
                    </w:rPr>
                  </w:pPr>
                  <w:r>
                    <w:rPr>
                      <w:rFonts w:hint="eastAsia"/>
                      <w:szCs w:val="21"/>
                      <w:lang w:val="en-US" w:eastAsia="zh-CN"/>
                    </w:rPr>
                    <w:t>2250</w:t>
                  </w:r>
                </w:p>
              </w:tc>
            </w:tr>
            <w:tr w14:paraId="5E060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restart"/>
                  <w:vAlign w:val="center"/>
                </w:tcPr>
                <w:p w14:paraId="51482A6B">
                  <w:pPr>
                    <w:spacing w:line="240" w:lineRule="auto"/>
                    <w:jc w:val="center"/>
                    <w:rPr>
                      <w:szCs w:val="21"/>
                    </w:rPr>
                  </w:pPr>
                  <w:r>
                    <w:rPr>
                      <w:rFonts w:hint="eastAsia"/>
                      <w:szCs w:val="21"/>
                      <w:lang w:val="en-US" w:eastAsia="zh-CN"/>
                    </w:rPr>
                    <w:t>3#喷涂生产线</w:t>
                  </w:r>
                </w:p>
              </w:tc>
              <w:tc>
                <w:tcPr>
                  <w:tcW w:w="872" w:type="pct"/>
                  <w:vAlign w:val="center"/>
                </w:tcPr>
                <w:p w14:paraId="53CCAFB0">
                  <w:pPr>
                    <w:autoSpaceDE w:val="0"/>
                    <w:autoSpaceDN w:val="0"/>
                    <w:adjustRightInd w:val="0"/>
                    <w:snapToGrid w:val="0"/>
                    <w:jc w:val="center"/>
                    <w:rPr>
                      <w:rFonts w:hint="eastAsia"/>
                      <w:szCs w:val="21"/>
                      <w:lang w:val="en-US" w:eastAsia="zh-CN"/>
                    </w:rPr>
                  </w:pPr>
                  <w:r>
                    <w:rPr>
                      <w:rFonts w:hint="eastAsia"/>
                      <w:szCs w:val="21"/>
                      <w:lang w:val="en-US" w:eastAsia="zh-CN"/>
                    </w:rPr>
                    <w:t>喷漆室</w:t>
                  </w:r>
                </w:p>
              </w:tc>
              <w:tc>
                <w:tcPr>
                  <w:tcW w:w="554" w:type="pct"/>
                  <w:vAlign w:val="center"/>
                </w:tcPr>
                <w:p w14:paraId="3575E9D0">
                  <w:pPr>
                    <w:autoSpaceDE w:val="0"/>
                    <w:autoSpaceDN w:val="0"/>
                    <w:adjustRightInd w:val="0"/>
                    <w:snapToGrid w:val="0"/>
                    <w:jc w:val="center"/>
                    <w:rPr>
                      <w:rFonts w:hint="eastAsia"/>
                      <w:szCs w:val="21"/>
                      <w:lang w:val="en-US" w:eastAsia="zh-CN"/>
                    </w:rPr>
                  </w:pPr>
                  <w:r>
                    <w:rPr>
                      <w:rFonts w:hint="eastAsia"/>
                      <w:szCs w:val="21"/>
                      <w:lang w:val="en-US" w:eastAsia="zh-CN"/>
                    </w:rPr>
                    <w:t>3</w:t>
                  </w:r>
                </w:p>
              </w:tc>
              <w:tc>
                <w:tcPr>
                  <w:tcW w:w="857" w:type="pct"/>
                  <w:vAlign w:val="center"/>
                </w:tcPr>
                <w:p w14:paraId="4FA3B5DB">
                  <w:pPr>
                    <w:autoSpaceDE w:val="0"/>
                    <w:autoSpaceDN w:val="0"/>
                    <w:adjustRightInd w:val="0"/>
                    <w:snapToGrid w:val="0"/>
                    <w:jc w:val="center"/>
                    <w:rPr>
                      <w:rFonts w:hint="eastAsia"/>
                      <w:szCs w:val="21"/>
                      <w:lang w:val="en-US" w:eastAsia="zh-CN"/>
                    </w:rPr>
                  </w:pPr>
                  <w:r>
                    <w:rPr>
                      <w:rFonts w:hint="eastAsia"/>
                      <w:szCs w:val="21"/>
                      <w:lang w:val="en-US" w:eastAsia="zh-CN"/>
                    </w:rPr>
                    <w:t>23.2</w:t>
                  </w:r>
                  <w:r>
                    <w:rPr>
                      <w:rFonts w:hint="eastAsia"/>
                      <w:szCs w:val="21"/>
                    </w:rPr>
                    <w:t>m</w:t>
                  </w:r>
                  <w:r>
                    <w:rPr>
                      <w:rFonts w:hint="eastAsia"/>
                      <w:szCs w:val="21"/>
                      <w:vertAlign w:val="superscript"/>
                    </w:rPr>
                    <w:t>2</w:t>
                  </w:r>
                </w:p>
              </w:tc>
              <w:tc>
                <w:tcPr>
                  <w:tcW w:w="535" w:type="pct"/>
                  <w:vAlign w:val="center"/>
                </w:tcPr>
                <w:p w14:paraId="36DA1B6E">
                  <w:pPr>
                    <w:spacing w:line="240" w:lineRule="auto"/>
                    <w:jc w:val="center"/>
                    <w:rPr>
                      <w:rFonts w:hint="eastAsia"/>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2DD137FD">
                  <w:pPr>
                    <w:spacing w:line="240" w:lineRule="auto"/>
                    <w:jc w:val="center"/>
                    <w:rPr>
                      <w:rFonts w:hint="eastAsia"/>
                      <w:szCs w:val="21"/>
                    </w:rPr>
                  </w:pPr>
                  <w:r>
                    <w:rPr>
                      <w:rFonts w:hint="eastAsia"/>
                      <w:szCs w:val="21"/>
                      <w:lang w:val="en-US" w:eastAsia="zh-CN"/>
                    </w:rPr>
                    <w:t>300</w:t>
                  </w:r>
                </w:p>
              </w:tc>
              <w:tc>
                <w:tcPr>
                  <w:tcW w:w="848" w:type="pct"/>
                  <w:vAlign w:val="center"/>
                </w:tcPr>
                <w:p w14:paraId="6E648D22">
                  <w:pPr>
                    <w:spacing w:line="240" w:lineRule="auto"/>
                    <w:jc w:val="center"/>
                    <w:rPr>
                      <w:rFonts w:hint="eastAsia"/>
                      <w:szCs w:val="21"/>
                    </w:rPr>
                  </w:pPr>
                  <w:r>
                    <w:rPr>
                      <w:rFonts w:hint="eastAsia"/>
                      <w:szCs w:val="21"/>
                      <w:lang w:val="en-US" w:eastAsia="zh-CN"/>
                    </w:rPr>
                    <w:t>18792</w:t>
                  </w:r>
                </w:p>
              </w:tc>
            </w:tr>
            <w:tr w14:paraId="13219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6B9C2DD4">
                  <w:pPr>
                    <w:spacing w:line="240" w:lineRule="auto"/>
                    <w:jc w:val="center"/>
                    <w:rPr>
                      <w:szCs w:val="21"/>
                    </w:rPr>
                  </w:pPr>
                </w:p>
              </w:tc>
              <w:tc>
                <w:tcPr>
                  <w:tcW w:w="872" w:type="pct"/>
                  <w:vAlign w:val="center"/>
                </w:tcPr>
                <w:p w14:paraId="6FC2C22F">
                  <w:pPr>
                    <w:autoSpaceDE w:val="0"/>
                    <w:autoSpaceDN w:val="0"/>
                    <w:adjustRightInd w:val="0"/>
                    <w:snapToGrid w:val="0"/>
                    <w:jc w:val="center"/>
                    <w:rPr>
                      <w:rFonts w:hint="eastAsia"/>
                      <w:szCs w:val="21"/>
                      <w:lang w:val="en-US" w:eastAsia="zh-CN"/>
                    </w:rPr>
                  </w:pPr>
                  <w:r>
                    <w:rPr>
                      <w:rFonts w:hint="eastAsia"/>
                      <w:szCs w:val="21"/>
                      <w:lang w:val="en-US" w:eastAsia="zh-CN"/>
                    </w:rPr>
                    <w:t>流平室</w:t>
                  </w:r>
                </w:p>
              </w:tc>
              <w:tc>
                <w:tcPr>
                  <w:tcW w:w="554" w:type="pct"/>
                  <w:vAlign w:val="center"/>
                </w:tcPr>
                <w:p w14:paraId="0FD684CB">
                  <w:pPr>
                    <w:autoSpaceDE w:val="0"/>
                    <w:autoSpaceDN w:val="0"/>
                    <w:adjustRightInd w:val="0"/>
                    <w:snapToGrid w:val="0"/>
                    <w:jc w:val="center"/>
                    <w:rPr>
                      <w:rFonts w:hint="eastAsia"/>
                      <w:szCs w:val="21"/>
                      <w:lang w:val="en-US" w:eastAsia="zh-CN"/>
                    </w:rPr>
                  </w:pPr>
                  <w:r>
                    <w:rPr>
                      <w:rFonts w:hint="eastAsia"/>
                      <w:szCs w:val="21"/>
                      <w:lang w:val="en-US" w:eastAsia="zh-CN"/>
                    </w:rPr>
                    <w:t>1</w:t>
                  </w:r>
                </w:p>
              </w:tc>
              <w:tc>
                <w:tcPr>
                  <w:tcW w:w="857" w:type="pct"/>
                  <w:vAlign w:val="center"/>
                </w:tcPr>
                <w:p w14:paraId="20424978">
                  <w:pPr>
                    <w:autoSpaceDE w:val="0"/>
                    <w:autoSpaceDN w:val="0"/>
                    <w:adjustRightInd w:val="0"/>
                    <w:snapToGrid w:val="0"/>
                    <w:jc w:val="center"/>
                    <w:rPr>
                      <w:rFonts w:hint="eastAsia"/>
                      <w:szCs w:val="21"/>
                      <w:lang w:val="en-US" w:eastAsia="zh-CN"/>
                    </w:rPr>
                  </w:pPr>
                  <w:r>
                    <w:rPr>
                      <w:rFonts w:hint="eastAsia"/>
                      <w:szCs w:val="21"/>
                      <w:lang w:val="en-US" w:eastAsia="zh-CN"/>
                    </w:rPr>
                    <w:t>17.5</w:t>
                  </w:r>
                  <w:r>
                    <w:rPr>
                      <w:rFonts w:hint="eastAsia"/>
                      <w:szCs w:val="21"/>
                    </w:rPr>
                    <w:t>m</w:t>
                  </w:r>
                  <w:r>
                    <w:rPr>
                      <w:rFonts w:hint="eastAsia"/>
                      <w:szCs w:val="21"/>
                      <w:vertAlign w:val="superscript"/>
                    </w:rPr>
                    <w:t>2</w:t>
                  </w:r>
                </w:p>
              </w:tc>
              <w:tc>
                <w:tcPr>
                  <w:tcW w:w="535" w:type="pct"/>
                  <w:vAlign w:val="center"/>
                </w:tcPr>
                <w:p w14:paraId="552511E7">
                  <w:pPr>
                    <w:spacing w:line="240" w:lineRule="auto"/>
                    <w:jc w:val="center"/>
                    <w:rPr>
                      <w:rFonts w:hint="eastAsia"/>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6E5C5AE7">
                  <w:pPr>
                    <w:spacing w:line="240" w:lineRule="auto"/>
                    <w:jc w:val="center"/>
                    <w:rPr>
                      <w:rFonts w:hint="eastAsia"/>
                      <w:szCs w:val="21"/>
                    </w:rPr>
                  </w:pPr>
                  <w:r>
                    <w:rPr>
                      <w:rFonts w:hint="eastAsia"/>
                      <w:szCs w:val="21"/>
                      <w:lang w:val="en-US" w:eastAsia="zh-CN"/>
                    </w:rPr>
                    <w:t>30</w:t>
                  </w:r>
                </w:p>
              </w:tc>
              <w:tc>
                <w:tcPr>
                  <w:tcW w:w="848" w:type="pct"/>
                  <w:vAlign w:val="center"/>
                </w:tcPr>
                <w:p w14:paraId="1B9E6D44">
                  <w:pPr>
                    <w:spacing w:line="240" w:lineRule="auto"/>
                    <w:jc w:val="center"/>
                    <w:rPr>
                      <w:rFonts w:hint="eastAsia"/>
                      <w:szCs w:val="21"/>
                    </w:rPr>
                  </w:pPr>
                  <w:r>
                    <w:rPr>
                      <w:rFonts w:hint="eastAsia"/>
                      <w:szCs w:val="21"/>
                      <w:lang w:val="en-US" w:eastAsia="zh-CN"/>
                    </w:rPr>
                    <w:t>1417.5</w:t>
                  </w:r>
                </w:p>
              </w:tc>
            </w:tr>
            <w:tr w14:paraId="56FB6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003E20D8">
                  <w:pPr>
                    <w:spacing w:line="240" w:lineRule="auto"/>
                    <w:jc w:val="center"/>
                    <w:rPr>
                      <w:szCs w:val="21"/>
                    </w:rPr>
                  </w:pPr>
                </w:p>
              </w:tc>
              <w:tc>
                <w:tcPr>
                  <w:tcW w:w="872" w:type="pct"/>
                  <w:vAlign w:val="center"/>
                </w:tcPr>
                <w:p w14:paraId="22ED5D61">
                  <w:pPr>
                    <w:autoSpaceDE w:val="0"/>
                    <w:autoSpaceDN w:val="0"/>
                    <w:adjustRightInd w:val="0"/>
                    <w:snapToGrid w:val="0"/>
                    <w:jc w:val="center"/>
                    <w:rPr>
                      <w:rFonts w:hint="eastAsia"/>
                      <w:szCs w:val="21"/>
                      <w:lang w:val="en-US" w:eastAsia="zh-CN"/>
                    </w:rPr>
                  </w:pPr>
                  <w:r>
                    <w:rPr>
                      <w:rFonts w:hint="eastAsia"/>
                      <w:lang w:val="en-US" w:eastAsia="zh-CN"/>
                    </w:rPr>
                    <w:t>烘干通道</w:t>
                  </w:r>
                </w:p>
              </w:tc>
              <w:tc>
                <w:tcPr>
                  <w:tcW w:w="554" w:type="pct"/>
                  <w:vAlign w:val="center"/>
                </w:tcPr>
                <w:p w14:paraId="3E60FB23">
                  <w:pPr>
                    <w:autoSpaceDE w:val="0"/>
                    <w:autoSpaceDN w:val="0"/>
                    <w:adjustRightInd w:val="0"/>
                    <w:snapToGrid w:val="0"/>
                    <w:jc w:val="center"/>
                    <w:rPr>
                      <w:rFonts w:hint="eastAsia"/>
                      <w:szCs w:val="21"/>
                      <w:lang w:val="en-US" w:eastAsia="zh-CN"/>
                    </w:rPr>
                  </w:pPr>
                  <w:r>
                    <w:rPr>
                      <w:rFonts w:hint="eastAsia"/>
                      <w:szCs w:val="21"/>
                      <w:lang w:val="en-US" w:eastAsia="zh-CN"/>
                    </w:rPr>
                    <w:t>1</w:t>
                  </w:r>
                </w:p>
              </w:tc>
              <w:tc>
                <w:tcPr>
                  <w:tcW w:w="857" w:type="pct"/>
                  <w:vAlign w:val="center"/>
                </w:tcPr>
                <w:p w14:paraId="0259CD62">
                  <w:pPr>
                    <w:autoSpaceDE w:val="0"/>
                    <w:autoSpaceDN w:val="0"/>
                    <w:adjustRightInd w:val="0"/>
                    <w:snapToGrid w:val="0"/>
                    <w:jc w:val="center"/>
                    <w:rPr>
                      <w:rFonts w:hint="eastAsia"/>
                      <w:szCs w:val="21"/>
                      <w:lang w:val="en-US" w:eastAsia="zh-CN"/>
                    </w:rPr>
                  </w:pPr>
                  <w:r>
                    <w:rPr>
                      <w:rFonts w:hint="eastAsia"/>
                      <w:szCs w:val="21"/>
                      <w:lang w:val="en-US" w:eastAsia="zh-CN"/>
                    </w:rPr>
                    <w:t>37.5</w:t>
                  </w:r>
                  <w:r>
                    <w:rPr>
                      <w:rFonts w:hint="eastAsia"/>
                      <w:szCs w:val="21"/>
                    </w:rPr>
                    <w:t>m</w:t>
                  </w:r>
                  <w:r>
                    <w:rPr>
                      <w:rFonts w:hint="eastAsia"/>
                      <w:szCs w:val="21"/>
                      <w:vertAlign w:val="superscript"/>
                    </w:rPr>
                    <w:t>2</w:t>
                  </w:r>
                </w:p>
              </w:tc>
              <w:tc>
                <w:tcPr>
                  <w:tcW w:w="535" w:type="pct"/>
                  <w:vAlign w:val="center"/>
                </w:tcPr>
                <w:p w14:paraId="54765D22">
                  <w:pPr>
                    <w:spacing w:line="240" w:lineRule="auto"/>
                    <w:jc w:val="center"/>
                    <w:rPr>
                      <w:rFonts w:hint="eastAsia"/>
                      <w:szCs w:val="21"/>
                    </w:rPr>
                  </w:pPr>
                  <w:r>
                    <w:rPr>
                      <w:rFonts w:hint="eastAsia"/>
                      <w:szCs w:val="21"/>
                      <w:lang w:val="en-US" w:eastAsia="zh-CN"/>
                    </w:rPr>
                    <w:t>0.5</w:t>
                  </w:r>
                  <w:r>
                    <w:rPr>
                      <w:rFonts w:hint="eastAsia"/>
                      <w:szCs w:val="21"/>
                    </w:rPr>
                    <w:t>m</w:t>
                  </w:r>
                </w:p>
              </w:tc>
              <w:tc>
                <w:tcPr>
                  <w:tcW w:w="800" w:type="pct"/>
                  <w:vAlign w:val="center"/>
                </w:tcPr>
                <w:p w14:paraId="04560ADC">
                  <w:pPr>
                    <w:spacing w:line="240" w:lineRule="auto"/>
                    <w:jc w:val="center"/>
                    <w:rPr>
                      <w:rFonts w:hint="eastAsia"/>
                      <w:szCs w:val="21"/>
                    </w:rPr>
                  </w:pPr>
                  <w:r>
                    <w:rPr>
                      <w:rFonts w:hint="eastAsia"/>
                      <w:szCs w:val="21"/>
                      <w:lang w:val="en-US" w:eastAsia="zh-CN"/>
                    </w:rPr>
                    <w:t>120</w:t>
                  </w:r>
                </w:p>
              </w:tc>
              <w:tc>
                <w:tcPr>
                  <w:tcW w:w="848" w:type="pct"/>
                  <w:vAlign w:val="center"/>
                </w:tcPr>
                <w:p w14:paraId="6E70ECBB">
                  <w:pPr>
                    <w:spacing w:line="240" w:lineRule="auto"/>
                    <w:jc w:val="center"/>
                    <w:rPr>
                      <w:rFonts w:hint="eastAsia"/>
                      <w:szCs w:val="21"/>
                    </w:rPr>
                  </w:pPr>
                  <w:r>
                    <w:rPr>
                      <w:rFonts w:hint="eastAsia"/>
                      <w:szCs w:val="21"/>
                      <w:lang w:val="en-US" w:eastAsia="zh-CN"/>
                    </w:rPr>
                    <w:t>2250</w:t>
                  </w:r>
                </w:p>
              </w:tc>
            </w:tr>
            <w:tr w14:paraId="2E900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restart"/>
                  <w:vAlign w:val="center"/>
                </w:tcPr>
                <w:p w14:paraId="4B808078">
                  <w:pPr>
                    <w:spacing w:line="240" w:lineRule="auto"/>
                    <w:jc w:val="center"/>
                    <w:rPr>
                      <w:szCs w:val="21"/>
                    </w:rPr>
                  </w:pPr>
                  <w:r>
                    <w:rPr>
                      <w:rFonts w:hint="eastAsia"/>
                      <w:szCs w:val="21"/>
                      <w:lang w:val="en-US" w:eastAsia="zh-CN"/>
                    </w:rPr>
                    <w:t>4#喷涂生产线</w:t>
                  </w:r>
                </w:p>
              </w:tc>
              <w:tc>
                <w:tcPr>
                  <w:tcW w:w="872" w:type="pct"/>
                  <w:vAlign w:val="center"/>
                </w:tcPr>
                <w:p w14:paraId="10406DBE">
                  <w:pPr>
                    <w:autoSpaceDE w:val="0"/>
                    <w:autoSpaceDN w:val="0"/>
                    <w:adjustRightInd w:val="0"/>
                    <w:snapToGrid w:val="0"/>
                    <w:jc w:val="center"/>
                    <w:rPr>
                      <w:rFonts w:hint="eastAsia"/>
                      <w:szCs w:val="21"/>
                      <w:lang w:val="en-US" w:eastAsia="zh-CN"/>
                    </w:rPr>
                  </w:pPr>
                  <w:r>
                    <w:rPr>
                      <w:rFonts w:hint="eastAsia"/>
                      <w:szCs w:val="21"/>
                      <w:lang w:val="en-US" w:eastAsia="zh-CN"/>
                    </w:rPr>
                    <w:t>喷漆室</w:t>
                  </w:r>
                </w:p>
              </w:tc>
              <w:tc>
                <w:tcPr>
                  <w:tcW w:w="554" w:type="pct"/>
                  <w:vAlign w:val="center"/>
                </w:tcPr>
                <w:p w14:paraId="6E4C207A">
                  <w:pPr>
                    <w:autoSpaceDE w:val="0"/>
                    <w:autoSpaceDN w:val="0"/>
                    <w:adjustRightInd w:val="0"/>
                    <w:snapToGrid w:val="0"/>
                    <w:jc w:val="center"/>
                    <w:rPr>
                      <w:rFonts w:hint="eastAsia"/>
                      <w:szCs w:val="21"/>
                      <w:lang w:val="en-US" w:eastAsia="zh-CN"/>
                    </w:rPr>
                  </w:pPr>
                  <w:r>
                    <w:rPr>
                      <w:rFonts w:hint="eastAsia"/>
                      <w:szCs w:val="21"/>
                      <w:lang w:val="en-US" w:eastAsia="zh-CN"/>
                    </w:rPr>
                    <w:t>3</w:t>
                  </w:r>
                </w:p>
              </w:tc>
              <w:tc>
                <w:tcPr>
                  <w:tcW w:w="857" w:type="pct"/>
                  <w:vAlign w:val="center"/>
                </w:tcPr>
                <w:p w14:paraId="3D3EF905">
                  <w:pPr>
                    <w:autoSpaceDE w:val="0"/>
                    <w:autoSpaceDN w:val="0"/>
                    <w:adjustRightInd w:val="0"/>
                    <w:snapToGrid w:val="0"/>
                    <w:jc w:val="center"/>
                    <w:rPr>
                      <w:rFonts w:hint="eastAsia"/>
                      <w:szCs w:val="21"/>
                      <w:lang w:val="en-US" w:eastAsia="zh-CN"/>
                    </w:rPr>
                  </w:pPr>
                  <w:r>
                    <w:rPr>
                      <w:rFonts w:hint="eastAsia"/>
                      <w:szCs w:val="21"/>
                      <w:lang w:val="en-US" w:eastAsia="zh-CN"/>
                    </w:rPr>
                    <w:t>23.2</w:t>
                  </w:r>
                  <w:r>
                    <w:rPr>
                      <w:rFonts w:hint="eastAsia"/>
                      <w:szCs w:val="21"/>
                    </w:rPr>
                    <w:t>m</w:t>
                  </w:r>
                  <w:r>
                    <w:rPr>
                      <w:rFonts w:hint="eastAsia"/>
                      <w:szCs w:val="21"/>
                      <w:vertAlign w:val="superscript"/>
                    </w:rPr>
                    <w:t>2</w:t>
                  </w:r>
                </w:p>
              </w:tc>
              <w:tc>
                <w:tcPr>
                  <w:tcW w:w="535" w:type="pct"/>
                  <w:vAlign w:val="center"/>
                </w:tcPr>
                <w:p w14:paraId="09531920">
                  <w:pPr>
                    <w:spacing w:line="240" w:lineRule="auto"/>
                    <w:jc w:val="center"/>
                    <w:rPr>
                      <w:rFonts w:hint="eastAsia"/>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5047D1E8">
                  <w:pPr>
                    <w:spacing w:line="240" w:lineRule="auto"/>
                    <w:jc w:val="center"/>
                    <w:rPr>
                      <w:rFonts w:hint="eastAsia"/>
                      <w:szCs w:val="21"/>
                    </w:rPr>
                  </w:pPr>
                  <w:r>
                    <w:rPr>
                      <w:rFonts w:hint="eastAsia"/>
                      <w:szCs w:val="21"/>
                      <w:lang w:val="en-US" w:eastAsia="zh-CN"/>
                    </w:rPr>
                    <w:t>300</w:t>
                  </w:r>
                </w:p>
              </w:tc>
              <w:tc>
                <w:tcPr>
                  <w:tcW w:w="848" w:type="pct"/>
                  <w:vAlign w:val="center"/>
                </w:tcPr>
                <w:p w14:paraId="63AE4DFF">
                  <w:pPr>
                    <w:spacing w:line="240" w:lineRule="auto"/>
                    <w:jc w:val="center"/>
                    <w:rPr>
                      <w:rFonts w:hint="eastAsia"/>
                      <w:szCs w:val="21"/>
                    </w:rPr>
                  </w:pPr>
                  <w:r>
                    <w:rPr>
                      <w:rFonts w:hint="eastAsia"/>
                      <w:szCs w:val="21"/>
                      <w:lang w:val="en-US" w:eastAsia="zh-CN"/>
                    </w:rPr>
                    <w:t>18792</w:t>
                  </w:r>
                </w:p>
              </w:tc>
            </w:tr>
            <w:tr w14:paraId="575D3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5E1390D4">
                  <w:pPr>
                    <w:spacing w:line="240" w:lineRule="auto"/>
                    <w:jc w:val="center"/>
                    <w:rPr>
                      <w:szCs w:val="21"/>
                    </w:rPr>
                  </w:pPr>
                </w:p>
              </w:tc>
              <w:tc>
                <w:tcPr>
                  <w:tcW w:w="872" w:type="pct"/>
                  <w:vAlign w:val="center"/>
                </w:tcPr>
                <w:p w14:paraId="3EC537DA">
                  <w:pPr>
                    <w:autoSpaceDE w:val="0"/>
                    <w:autoSpaceDN w:val="0"/>
                    <w:adjustRightInd w:val="0"/>
                    <w:snapToGrid w:val="0"/>
                    <w:jc w:val="center"/>
                    <w:rPr>
                      <w:rFonts w:hint="eastAsia"/>
                      <w:szCs w:val="21"/>
                      <w:lang w:val="en-US" w:eastAsia="zh-CN"/>
                    </w:rPr>
                  </w:pPr>
                  <w:r>
                    <w:rPr>
                      <w:rFonts w:hint="eastAsia"/>
                      <w:szCs w:val="21"/>
                      <w:lang w:val="en-US" w:eastAsia="zh-CN"/>
                    </w:rPr>
                    <w:t>流平室</w:t>
                  </w:r>
                </w:p>
              </w:tc>
              <w:tc>
                <w:tcPr>
                  <w:tcW w:w="554" w:type="pct"/>
                  <w:vAlign w:val="center"/>
                </w:tcPr>
                <w:p w14:paraId="6E92523F">
                  <w:pPr>
                    <w:autoSpaceDE w:val="0"/>
                    <w:autoSpaceDN w:val="0"/>
                    <w:adjustRightInd w:val="0"/>
                    <w:snapToGrid w:val="0"/>
                    <w:jc w:val="center"/>
                    <w:rPr>
                      <w:rFonts w:hint="eastAsia"/>
                      <w:szCs w:val="21"/>
                      <w:lang w:val="en-US" w:eastAsia="zh-CN"/>
                    </w:rPr>
                  </w:pPr>
                  <w:r>
                    <w:rPr>
                      <w:rFonts w:hint="eastAsia"/>
                      <w:szCs w:val="21"/>
                      <w:lang w:val="en-US" w:eastAsia="zh-CN"/>
                    </w:rPr>
                    <w:t>1</w:t>
                  </w:r>
                </w:p>
              </w:tc>
              <w:tc>
                <w:tcPr>
                  <w:tcW w:w="857" w:type="pct"/>
                  <w:vAlign w:val="center"/>
                </w:tcPr>
                <w:p w14:paraId="141631A4">
                  <w:pPr>
                    <w:autoSpaceDE w:val="0"/>
                    <w:autoSpaceDN w:val="0"/>
                    <w:adjustRightInd w:val="0"/>
                    <w:snapToGrid w:val="0"/>
                    <w:jc w:val="center"/>
                    <w:rPr>
                      <w:rFonts w:hint="eastAsia"/>
                      <w:szCs w:val="21"/>
                      <w:lang w:val="en-US" w:eastAsia="zh-CN"/>
                    </w:rPr>
                  </w:pPr>
                  <w:r>
                    <w:rPr>
                      <w:rFonts w:hint="eastAsia"/>
                      <w:szCs w:val="21"/>
                      <w:lang w:val="en-US" w:eastAsia="zh-CN"/>
                    </w:rPr>
                    <w:t>17.5</w:t>
                  </w:r>
                  <w:r>
                    <w:rPr>
                      <w:rFonts w:hint="eastAsia"/>
                      <w:szCs w:val="21"/>
                    </w:rPr>
                    <w:t>m</w:t>
                  </w:r>
                  <w:r>
                    <w:rPr>
                      <w:rFonts w:hint="eastAsia"/>
                      <w:szCs w:val="21"/>
                      <w:vertAlign w:val="superscript"/>
                    </w:rPr>
                    <w:t>2</w:t>
                  </w:r>
                </w:p>
              </w:tc>
              <w:tc>
                <w:tcPr>
                  <w:tcW w:w="535" w:type="pct"/>
                  <w:vAlign w:val="center"/>
                </w:tcPr>
                <w:p w14:paraId="62F3F7A0">
                  <w:pPr>
                    <w:spacing w:line="240" w:lineRule="auto"/>
                    <w:jc w:val="center"/>
                    <w:rPr>
                      <w:rFonts w:hint="eastAsia"/>
                      <w:szCs w:val="21"/>
                    </w:rPr>
                  </w:pPr>
                  <w:r>
                    <w:rPr>
                      <w:rFonts w:hint="eastAsia"/>
                      <w:szCs w:val="21"/>
                    </w:rPr>
                    <w:t>2.</w:t>
                  </w:r>
                  <w:r>
                    <w:rPr>
                      <w:rFonts w:hint="eastAsia"/>
                      <w:szCs w:val="21"/>
                      <w:lang w:val="en-US" w:eastAsia="zh-CN"/>
                    </w:rPr>
                    <w:t>7</w:t>
                  </w:r>
                  <w:r>
                    <w:rPr>
                      <w:rFonts w:hint="eastAsia"/>
                      <w:szCs w:val="21"/>
                    </w:rPr>
                    <w:t>m</w:t>
                  </w:r>
                </w:p>
              </w:tc>
              <w:tc>
                <w:tcPr>
                  <w:tcW w:w="800" w:type="pct"/>
                  <w:vAlign w:val="center"/>
                </w:tcPr>
                <w:p w14:paraId="15A3A4E9">
                  <w:pPr>
                    <w:spacing w:line="240" w:lineRule="auto"/>
                    <w:jc w:val="center"/>
                    <w:rPr>
                      <w:rFonts w:hint="eastAsia"/>
                      <w:szCs w:val="21"/>
                    </w:rPr>
                  </w:pPr>
                  <w:r>
                    <w:rPr>
                      <w:rFonts w:hint="eastAsia"/>
                      <w:szCs w:val="21"/>
                      <w:lang w:val="en-US" w:eastAsia="zh-CN"/>
                    </w:rPr>
                    <w:t>30</w:t>
                  </w:r>
                </w:p>
              </w:tc>
              <w:tc>
                <w:tcPr>
                  <w:tcW w:w="848" w:type="pct"/>
                  <w:vAlign w:val="center"/>
                </w:tcPr>
                <w:p w14:paraId="764FB0ED">
                  <w:pPr>
                    <w:tabs>
                      <w:tab w:val="left" w:pos="384"/>
                    </w:tabs>
                    <w:spacing w:line="240" w:lineRule="auto"/>
                    <w:jc w:val="center"/>
                    <w:rPr>
                      <w:rFonts w:hint="eastAsia" w:eastAsia="宋体"/>
                      <w:szCs w:val="21"/>
                      <w:lang w:eastAsia="zh-CN"/>
                    </w:rPr>
                  </w:pPr>
                  <w:r>
                    <w:rPr>
                      <w:rFonts w:hint="eastAsia"/>
                      <w:szCs w:val="21"/>
                      <w:lang w:val="en-US" w:eastAsia="zh-CN"/>
                    </w:rPr>
                    <w:t>1417.5</w:t>
                  </w:r>
                </w:p>
              </w:tc>
            </w:tr>
            <w:tr w14:paraId="21EA6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2" w:type="pct"/>
                  <w:vMerge w:val="continue"/>
                  <w:vAlign w:val="center"/>
                </w:tcPr>
                <w:p w14:paraId="3FD3CD96">
                  <w:pPr>
                    <w:spacing w:line="240" w:lineRule="auto"/>
                    <w:jc w:val="center"/>
                    <w:rPr>
                      <w:szCs w:val="21"/>
                    </w:rPr>
                  </w:pPr>
                </w:p>
              </w:tc>
              <w:tc>
                <w:tcPr>
                  <w:tcW w:w="872" w:type="pct"/>
                  <w:vAlign w:val="center"/>
                </w:tcPr>
                <w:p w14:paraId="250A7640">
                  <w:pPr>
                    <w:autoSpaceDE w:val="0"/>
                    <w:autoSpaceDN w:val="0"/>
                    <w:adjustRightInd w:val="0"/>
                    <w:snapToGrid w:val="0"/>
                    <w:jc w:val="center"/>
                    <w:rPr>
                      <w:rFonts w:hint="eastAsia"/>
                      <w:szCs w:val="21"/>
                      <w:lang w:val="en-US" w:eastAsia="zh-CN"/>
                    </w:rPr>
                  </w:pPr>
                  <w:r>
                    <w:rPr>
                      <w:rFonts w:hint="eastAsia"/>
                      <w:lang w:val="en-US" w:eastAsia="zh-CN"/>
                    </w:rPr>
                    <w:t>烘干通道</w:t>
                  </w:r>
                </w:p>
              </w:tc>
              <w:tc>
                <w:tcPr>
                  <w:tcW w:w="554" w:type="pct"/>
                  <w:vAlign w:val="center"/>
                </w:tcPr>
                <w:p w14:paraId="2E13637A">
                  <w:pPr>
                    <w:autoSpaceDE w:val="0"/>
                    <w:autoSpaceDN w:val="0"/>
                    <w:adjustRightInd w:val="0"/>
                    <w:snapToGrid w:val="0"/>
                    <w:jc w:val="center"/>
                    <w:rPr>
                      <w:rFonts w:hint="eastAsia"/>
                      <w:szCs w:val="21"/>
                      <w:lang w:val="en-US" w:eastAsia="zh-CN"/>
                    </w:rPr>
                  </w:pPr>
                  <w:r>
                    <w:rPr>
                      <w:rFonts w:hint="eastAsia"/>
                      <w:szCs w:val="21"/>
                      <w:lang w:val="en-US" w:eastAsia="zh-CN"/>
                    </w:rPr>
                    <w:t>1</w:t>
                  </w:r>
                </w:p>
              </w:tc>
              <w:tc>
                <w:tcPr>
                  <w:tcW w:w="857" w:type="pct"/>
                  <w:vAlign w:val="center"/>
                </w:tcPr>
                <w:p w14:paraId="3E309F4B">
                  <w:pPr>
                    <w:autoSpaceDE w:val="0"/>
                    <w:autoSpaceDN w:val="0"/>
                    <w:adjustRightInd w:val="0"/>
                    <w:snapToGrid w:val="0"/>
                    <w:jc w:val="center"/>
                    <w:rPr>
                      <w:rFonts w:hint="eastAsia"/>
                      <w:szCs w:val="21"/>
                      <w:lang w:val="en-US" w:eastAsia="zh-CN"/>
                    </w:rPr>
                  </w:pPr>
                  <w:r>
                    <w:rPr>
                      <w:rFonts w:hint="eastAsia"/>
                      <w:szCs w:val="21"/>
                      <w:lang w:val="en-US" w:eastAsia="zh-CN"/>
                    </w:rPr>
                    <w:t>37.5</w:t>
                  </w:r>
                  <w:r>
                    <w:rPr>
                      <w:rFonts w:hint="eastAsia"/>
                      <w:szCs w:val="21"/>
                    </w:rPr>
                    <w:t>m</w:t>
                  </w:r>
                  <w:r>
                    <w:rPr>
                      <w:rFonts w:hint="eastAsia"/>
                      <w:szCs w:val="21"/>
                      <w:vertAlign w:val="superscript"/>
                    </w:rPr>
                    <w:t>2</w:t>
                  </w:r>
                </w:p>
              </w:tc>
              <w:tc>
                <w:tcPr>
                  <w:tcW w:w="535" w:type="pct"/>
                  <w:vAlign w:val="center"/>
                </w:tcPr>
                <w:p w14:paraId="0D975C9B">
                  <w:pPr>
                    <w:spacing w:line="240" w:lineRule="auto"/>
                    <w:jc w:val="center"/>
                    <w:rPr>
                      <w:rFonts w:hint="eastAsia"/>
                      <w:szCs w:val="21"/>
                    </w:rPr>
                  </w:pPr>
                  <w:r>
                    <w:rPr>
                      <w:rFonts w:hint="eastAsia"/>
                      <w:szCs w:val="21"/>
                      <w:lang w:val="en-US" w:eastAsia="zh-CN"/>
                    </w:rPr>
                    <w:t>0.5</w:t>
                  </w:r>
                  <w:r>
                    <w:rPr>
                      <w:rFonts w:hint="eastAsia"/>
                      <w:szCs w:val="21"/>
                    </w:rPr>
                    <w:t>m</w:t>
                  </w:r>
                </w:p>
              </w:tc>
              <w:tc>
                <w:tcPr>
                  <w:tcW w:w="800" w:type="pct"/>
                  <w:vAlign w:val="center"/>
                </w:tcPr>
                <w:p w14:paraId="32138406">
                  <w:pPr>
                    <w:spacing w:line="240" w:lineRule="auto"/>
                    <w:jc w:val="center"/>
                    <w:rPr>
                      <w:rFonts w:hint="eastAsia"/>
                      <w:szCs w:val="21"/>
                    </w:rPr>
                  </w:pPr>
                  <w:r>
                    <w:rPr>
                      <w:rFonts w:hint="eastAsia"/>
                      <w:szCs w:val="21"/>
                      <w:lang w:val="en-US" w:eastAsia="zh-CN"/>
                    </w:rPr>
                    <w:t>120</w:t>
                  </w:r>
                </w:p>
              </w:tc>
              <w:tc>
                <w:tcPr>
                  <w:tcW w:w="848" w:type="pct"/>
                  <w:vAlign w:val="center"/>
                </w:tcPr>
                <w:p w14:paraId="7C35D9E1">
                  <w:pPr>
                    <w:spacing w:line="240" w:lineRule="auto"/>
                    <w:jc w:val="center"/>
                    <w:rPr>
                      <w:rFonts w:hint="eastAsia"/>
                      <w:szCs w:val="21"/>
                    </w:rPr>
                  </w:pPr>
                  <w:r>
                    <w:rPr>
                      <w:rFonts w:hint="eastAsia"/>
                      <w:szCs w:val="21"/>
                      <w:lang w:val="en-US" w:eastAsia="zh-CN"/>
                    </w:rPr>
                    <w:t>2250</w:t>
                  </w:r>
                </w:p>
              </w:tc>
            </w:tr>
          </w:tbl>
          <w:p w14:paraId="3B39DC74">
            <w:pPr>
              <w:spacing w:line="360" w:lineRule="auto"/>
              <w:ind w:firstLine="420" w:firstLineChars="200"/>
              <w:rPr>
                <w:rFonts w:hint="default" w:eastAsia="宋体"/>
                <w:sz w:val="21"/>
                <w:szCs w:val="21"/>
                <w:lang w:val="en-US" w:eastAsia="zh-CN"/>
              </w:rPr>
            </w:pPr>
            <w:r>
              <w:rPr>
                <w:rFonts w:hint="eastAsia"/>
                <w:sz w:val="21"/>
                <w:szCs w:val="21"/>
                <w:lang w:val="en-US" w:eastAsia="zh-CN"/>
              </w:rPr>
              <w:t>注：除尘区域包括</w:t>
            </w:r>
            <w:r>
              <w:rPr>
                <w:rFonts w:hint="eastAsia"/>
                <w:lang w:val="en-US" w:eastAsia="zh-CN"/>
              </w:rPr>
              <w:t>人工干式除尘</w:t>
            </w:r>
          </w:p>
          <w:p w14:paraId="2F3CE384">
            <w:pPr>
              <w:spacing w:line="360" w:lineRule="auto"/>
              <w:ind w:firstLine="420" w:firstLineChars="200"/>
              <w:rPr>
                <w:sz w:val="21"/>
                <w:szCs w:val="21"/>
              </w:rPr>
            </w:pPr>
            <w:r>
              <w:rPr>
                <w:sz w:val="21"/>
                <w:szCs w:val="21"/>
              </w:rPr>
              <w:t>因此，由上表计算得知</w:t>
            </w:r>
            <w:r>
              <w:rPr>
                <w:rFonts w:hint="eastAsia"/>
                <w:sz w:val="21"/>
                <w:szCs w:val="21"/>
              </w:rPr>
              <w:t>：</w:t>
            </w:r>
          </w:p>
          <w:p w14:paraId="0B87EB1C">
            <w:pPr>
              <w:spacing w:line="360" w:lineRule="auto"/>
              <w:ind w:firstLine="420" w:firstLineChars="200"/>
              <w:rPr>
                <w:sz w:val="21"/>
                <w:szCs w:val="21"/>
              </w:rPr>
            </w:pPr>
            <w:r>
              <w:rPr>
                <w:sz w:val="21"/>
                <w:szCs w:val="21"/>
              </w:rPr>
              <w:t>本项目单个</w:t>
            </w:r>
            <w:r>
              <w:rPr>
                <w:rFonts w:hint="eastAsia"/>
                <w:sz w:val="21"/>
                <w:szCs w:val="21"/>
                <w:lang w:val="en-US" w:eastAsia="zh-CN"/>
              </w:rPr>
              <w:t>喷涂室</w:t>
            </w:r>
            <w:r>
              <w:rPr>
                <w:sz w:val="21"/>
                <w:szCs w:val="21"/>
              </w:rPr>
              <w:t>排风量为</w:t>
            </w:r>
            <w:r>
              <w:rPr>
                <w:rFonts w:hint="eastAsia"/>
                <w:szCs w:val="21"/>
                <w:lang w:val="en-US" w:eastAsia="zh-CN"/>
              </w:rPr>
              <w:t>18792</w:t>
            </w:r>
            <w:r>
              <w:rPr>
                <w:rFonts w:hint="eastAsia"/>
                <w:sz w:val="21"/>
                <w:szCs w:val="21"/>
              </w:rPr>
              <w:t>m</w:t>
            </w:r>
            <w:r>
              <w:rPr>
                <w:rFonts w:hint="eastAsia"/>
                <w:sz w:val="21"/>
                <w:szCs w:val="21"/>
                <w:vertAlign w:val="superscript"/>
              </w:rPr>
              <w:t>3</w:t>
            </w:r>
            <w:r>
              <w:rPr>
                <w:rFonts w:hint="eastAsia"/>
                <w:sz w:val="21"/>
                <w:szCs w:val="21"/>
              </w:rPr>
              <w:t>/h，设备商设计单个</w:t>
            </w:r>
            <w:r>
              <w:rPr>
                <w:rFonts w:hint="eastAsia"/>
                <w:sz w:val="21"/>
                <w:szCs w:val="21"/>
                <w:lang w:val="en-US" w:eastAsia="zh-CN"/>
              </w:rPr>
              <w:t>喷涂室</w:t>
            </w:r>
            <w:r>
              <w:rPr>
                <w:rFonts w:hint="eastAsia"/>
                <w:sz w:val="21"/>
                <w:szCs w:val="21"/>
              </w:rPr>
              <w:t>排风量为</w:t>
            </w:r>
            <w:r>
              <w:rPr>
                <w:rFonts w:hint="eastAsia"/>
                <w:sz w:val="21"/>
                <w:szCs w:val="21"/>
                <w:lang w:val="en-US" w:eastAsia="zh-CN"/>
              </w:rPr>
              <w:t>240</w:t>
            </w:r>
            <w:r>
              <w:rPr>
                <w:rFonts w:hint="eastAsia"/>
                <w:sz w:val="21"/>
                <w:szCs w:val="21"/>
              </w:rPr>
              <w:t>00m</w:t>
            </w:r>
            <w:r>
              <w:rPr>
                <w:rFonts w:hint="eastAsia"/>
                <w:sz w:val="21"/>
                <w:szCs w:val="21"/>
                <w:vertAlign w:val="superscript"/>
              </w:rPr>
              <w:t>3</w:t>
            </w:r>
            <w:r>
              <w:rPr>
                <w:rFonts w:hint="eastAsia"/>
                <w:sz w:val="21"/>
                <w:szCs w:val="21"/>
              </w:rPr>
              <w:t>/h，大于计算排风量。根据</w:t>
            </w:r>
            <w:r>
              <w:rPr>
                <w:rFonts w:hint="eastAsia"/>
                <w:sz w:val="21"/>
                <w:szCs w:val="21"/>
                <w:lang w:val="en-US" w:eastAsia="zh-CN"/>
              </w:rPr>
              <w:t>广瑞</w:t>
            </w:r>
            <w:r>
              <w:rPr>
                <w:rFonts w:hint="eastAsia"/>
                <w:sz w:val="21"/>
                <w:szCs w:val="21"/>
              </w:rPr>
              <w:t>公司对</w:t>
            </w:r>
            <w:r>
              <w:rPr>
                <w:rFonts w:hint="eastAsia"/>
                <w:sz w:val="21"/>
                <w:szCs w:val="21"/>
                <w:lang w:val="en-US" w:eastAsia="zh-CN"/>
              </w:rPr>
              <w:t>喷涂室</w:t>
            </w:r>
            <w:r>
              <w:rPr>
                <w:rFonts w:hint="eastAsia"/>
                <w:sz w:val="21"/>
                <w:szCs w:val="21"/>
              </w:rPr>
              <w:t>对工人健康</w:t>
            </w:r>
            <w:r>
              <w:rPr>
                <w:rFonts w:hint="eastAsia"/>
                <w:sz w:val="21"/>
                <w:szCs w:val="21"/>
                <w:lang w:val="en-US" w:eastAsia="zh-CN"/>
              </w:rPr>
              <w:t>的</w:t>
            </w:r>
            <w:r>
              <w:rPr>
                <w:rFonts w:hint="eastAsia"/>
                <w:sz w:val="21"/>
                <w:szCs w:val="21"/>
              </w:rPr>
              <w:t>要求以及风量损失，设计</w:t>
            </w:r>
            <w:r>
              <w:rPr>
                <w:rFonts w:hint="eastAsia"/>
                <w:sz w:val="21"/>
                <w:szCs w:val="21"/>
                <w:lang w:val="en-US" w:eastAsia="zh-CN"/>
              </w:rPr>
              <w:t>喷涂室</w:t>
            </w:r>
            <w:r>
              <w:rPr>
                <w:rFonts w:hint="eastAsia"/>
                <w:sz w:val="21"/>
                <w:szCs w:val="21"/>
              </w:rPr>
              <w:t>排风量合理。</w:t>
            </w:r>
          </w:p>
          <w:p w14:paraId="0AE29A24">
            <w:pPr>
              <w:spacing w:line="360" w:lineRule="auto"/>
              <w:ind w:firstLine="420" w:firstLineChars="200"/>
              <w:rPr>
                <w:sz w:val="21"/>
                <w:szCs w:val="21"/>
              </w:rPr>
            </w:pPr>
            <w:r>
              <w:rPr>
                <w:rFonts w:hint="eastAsia"/>
                <w:sz w:val="21"/>
                <w:szCs w:val="21"/>
              </w:rPr>
              <w:t>本项目单个</w:t>
            </w:r>
            <w:r>
              <w:rPr>
                <w:rFonts w:hint="eastAsia"/>
                <w:sz w:val="21"/>
                <w:szCs w:val="21"/>
                <w:lang w:val="en-US" w:eastAsia="zh-CN"/>
              </w:rPr>
              <w:t>调漆室</w:t>
            </w:r>
            <w:r>
              <w:rPr>
                <w:rFonts w:hint="eastAsia"/>
                <w:sz w:val="21"/>
                <w:szCs w:val="21"/>
              </w:rPr>
              <w:t>排风量为</w:t>
            </w:r>
            <w:r>
              <w:rPr>
                <w:rFonts w:hint="eastAsia"/>
                <w:szCs w:val="21"/>
                <w:lang w:val="en-US" w:eastAsia="zh-CN"/>
              </w:rPr>
              <w:t>783</w:t>
            </w:r>
            <w:r>
              <w:rPr>
                <w:rFonts w:hint="eastAsia"/>
                <w:sz w:val="21"/>
                <w:szCs w:val="21"/>
              </w:rPr>
              <w:t>m</w:t>
            </w:r>
            <w:r>
              <w:rPr>
                <w:rFonts w:hint="eastAsia"/>
                <w:sz w:val="21"/>
                <w:szCs w:val="21"/>
                <w:vertAlign w:val="superscript"/>
              </w:rPr>
              <w:t>3</w:t>
            </w:r>
            <w:r>
              <w:rPr>
                <w:rFonts w:hint="eastAsia"/>
                <w:sz w:val="21"/>
                <w:szCs w:val="21"/>
              </w:rPr>
              <w:t>/h，根据计算风量，考虑风量损失</w:t>
            </w:r>
            <w:r>
              <w:rPr>
                <w:rFonts w:hint="eastAsia"/>
                <w:sz w:val="21"/>
                <w:szCs w:val="21"/>
                <w:lang w:eastAsia="zh-CN"/>
              </w:rPr>
              <w:t>，</w:t>
            </w:r>
            <w:r>
              <w:rPr>
                <w:rFonts w:hint="eastAsia"/>
                <w:sz w:val="21"/>
                <w:szCs w:val="21"/>
              </w:rPr>
              <w:t>单个</w:t>
            </w:r>
            <w:r>
              <w:rPr>
                <w:rFonts w:hint="eastAsia"/>
                <w:sz w:val="21"/>
                <w:szCs w:val="21"/>
                <w:lang w:val="en-US" w:eastAsia="zh-CN"/>
              </w:rPr>
              <w:t>调漆室</w:t>
            </w:r>
            <w:r>
              <w:rPr>
                <w:rFonts w:hint="eastAsia"/>
                <w:sz w:val="21"/>
                <w:szCs w:val="21"/>
              </w:rPr>
              <w:t>排风量为</w:t>
            </w:r>
            <w:r>
              <w:rPr>
                <w:rFonts w:hint="eastAsia"/>
                <w:sz w:val="21"/>
                <w:szCs w:val="21"/>
                <w:lang w:val="en-US" w:eastAsia="zh-CN"/>
              </w:rPr>
              <w:t>1</w:t>
            </w:r>
            <w:r>
              <w:rPr>
                <w:rFonts w:hint="eastAsia"/>
                <w:sz w:val="21"/>
                <w:szCs w:val="21"/>
              </w:rPr>
              <w:t>000m</w:t>
            </w:r>
            <w:r>
              <w:rPr>
                <w:rFonts w:hint="eastAsia"/>
                <w:sz w:val="21"/>
                <w:szCs w:val="21"/>
                <w:vertAlign w:val="superscript"/>
              </w:rPr>
              <w:t>3</w:t>
            </w:r>
            <w:r>
              <w:rPr>
                <w:rFonts w:hint="eastAsia"/>
                <w:sz w:val="21"/>
                <w:szCs w:val="21"/>
              </w:rPr>
              <w:t>/h。</w:t>
            </w:r>
          </w:p>
          <w:p w14:paraId="42613F72">
            <w:pPr>
              <w:spacing w:line="360" w:lineRule="auto"/>
              <w:ind w:firstLine="420" w:firstLineChars="200"/>
              <w:rPr>
                <w:sz w:val="21"/>
                <w:szCs w:val="21"/>
              </w:rPr>
            </w:pPr>
            <w:r>
              <w:rPr>
                <w:rFonts w:hint="eastAsia"/>
                <w:sz w:val="21"/>
                <w:szCs w:val="21"/>
              </w:rPr>
              <w:t>本项目单个</w:t>
            </w:r>
            <w:r>
              <w:rPr>
                <w:rFonts w:hint="eastAsia"/>
                <w:sz w:val="21"/>
                <w:szCs w:val="21"/>
                <w:lang w:val="en-US" w:eastAsia="zh-CN"/>
              </w:rPr>
              <w:t>除尘区域（包括手工除尘室、火焰处理室、静电除尘室）</w:t>
            </w:r>
            <w:r>
              <w:rPr>
                <w:rFonts w:hint="eastAsia"/>
                <w:sz w:val="21"/>
                <w:szCs w:val="21"/>
              </w:rPr>
              <w:t>排风量为</w:t>
            </w:r>
            <w:r>
              <w:rPr>
                <w:rFonts w:hint="eastAsia"/>
                <w:szCs w:val="21"/>
                <w:lang w:val="en-US" w:eastAsia="zh-CN"/>
              </w:rPr>
              <w:t>18576</w:t>
            </w:r>
            <w:r>
              <w:rPr>
                <w:rFonts w:hint="eastAsia"/>
                <w:sz w:val="21"/>
                <w:szCs w:val="21"/>
              </w:rPr>
              <w:t>m</w:t>
            </w:r>
            <w:r>
              <w:rPr>
                <w:rFonts w:hint="eastAsia"/>
                <w:sz w:val="21"/>
                <w:szCs w:val="21"/>
                <w:vertAlign w:val="superscript"/>
              </w:rPr>
              <w:t>3</w:t>
            </w:r>
            <w:r>
              <w:rPr>
                <w:rFonts w:hint="eastAsia"/>
                <w:sz w:val="21"/>
                <w:szCs w:val="21"/>
              </w:rPr>
              <w:t>/h，根据计算风量，考虑风量损失</w:t>
            </w:r>
            <w:r>
              <w:rPr>
                <w:rFonts w:hint="eastAsia"/>
                <w:sz w:val="21"/>
                <w:szCs w:val="21"/>
                <w:lang w:eastAsia="zh-CN"/>
              </w:rPr>
              <w:t>，</w:t>
            </w:r>
            <w:r>
              <w:rPr>
                <w:rFonts w:hint="eastAsia"/>
                <w:sz w:val="21"/>
                <w:szCs w:val="21"/>
              </w:rPr>
              <w:t>单个</w:t>
            </w:r>
            <w:r>
              <w:rPr>
                <w:rFonts w:hint="eastAsia"/>
                <w:sz w:val="21"/>
                <w:szCs w:val="21"/>
                <w:lang w:val="en-US" w:eastAsia="zh-CN"/>
              </w:rPr>
              <w:t>除尘区域</w:t>
            </w:r>
            <w:r>
              <w:rPr>
                <w:rFonts w:hint="eastAsia"/>
                <w:sz w:val="21"/>
                <w:szCs w:val="21"/>
              </w:rPr>
              <w:t>排风量为</w:t>
            </w:r>
            <w:r>
              <w:rPr>
                <w:rFonts w:hint="eastAsia"/>
                <w:sz w:val="21"/>
                <w:szCs w:val="21"/>
                <w:lang w:val="en-US" w:eastAsia="zh-CN"/>
              </w:rPr>
              <w:t>186</w:t>
            </w:r>
            <w:r>
              <w:rPr>
                <w:rFonts w:hint="eastAsia"/>
                <w:sz w:val="21"/>
                <w:szCs w:val="21"/>
              </w:rPr>
              <w:t>00m</w:t>
            </w:r>
            <w:r>
              <w:rPr>
                <w:rFonts w:hint="eastAsia"/>
                <w:sz w:val="21"/>
                <w:szCs w:val="21"/>
                <w:vertAlign w:val="superscript"/>
              </w:rPr>
              <w:t>3</w:t>
            </w:r>
            <w:r>
              <w:rPr>
                <w:rFonts w:hint="eastAsia"/>
                <w:sz w:val="21"/>
                <w:szCs w:val="21"/>
              </w:rPr>
              <w:t>/h。</w:t>
            </w:r>
          </w:p>
          <w:p w14:paraId="30CDF182">
            <w:pPr>
              <w:spacing w:line="360" w:lineRule="auto"/>
              <w:ind w:firstLine="420"/>
              <w:rPr>
                <w:sz w:val="21"/>
                <w:szCs w:val="21"/>
              </w:rPr>
            </w:pPr>
            <w:r>
              <w:rPr>
                <w:sz w:val="21"/>
                <w:szCs w:val="21"/>
              </w:rPr>
              <w:t>本项目</w:t>
            </w:r>
            <w:r>
              <w:rPr>
                <w:rFonts w:hint="eastAsia"/>
                <w:sz w:val="21"/>
                <w:szCs w:val="21"/>
                <w:lang w:val="en-US" w:eastAsia="zh-CN"/>
              </w:rPr>
              <w:t>流平室、烘干通道</w:t>
            </w:r>
            <w:r>
              <w:rPr>
                <w:rFonts w:hint="eastAsia"/>
                <w:sz w:val="21"/>
                <w:szCs w:val="21"/>
              </w:rPr>
              <w:t>排风量分别为</w:t>
            </w:r>
            <w:r>
              <w:rPr>
                <w:rFonts w:hint="eastAsia"/>
                <w:szCs w:val="21"/>
                <w:lang w:val="en-US" w:eastAsia="zh-CN"/>
              </w:rPr>
              <w:t>1417.5</w:t>
            </w:r>
            <w:r>
              <w:rPr>
                <w:rFonts w:hint="eastAsia"/>
                <w:sz w:val="21"/>
                <w:szCs w:val="21"/>
              </w:rPr>
              <w:t>m</w:t>
            </w:r>
            <w:r>
              <w:rPr>
                <w:rFonts w:hint="eastAsia"/>
                <w:sz w:val="21"/>
                <w:szCs w:val="21"/>
                <w:vertAlign w:val="superscript"/>
              </w:rPr>
              <w:t>3</w:t>
            </w:r>
            <w:r>
              <w:rPr>
                <w:rFonts w:hint="eastAsia"/>
                <w:sz w:val="21"/>
                <w:szCs w:val="21"/>
              </w:rPr>
              <w:t>/h、</w:t>
            </w:r>
            <w:r>
              <w:rPr>
                <w:rFonts w:hint="eastAsia"/>
                <w:sz w:val="21"/>
                <w:szCs w:val="21"/>
                <w:lang w:val="en-US" w:eastAsia="zh-CN"/>
              </w:rPr>
              <w:t>2250</w:t>
            </w:r>
            <w:r>
              <w:rPr>
                <w:rFonts w:hint="eastAsia"/>
                <w:sz w:val="21"/>
                <w:szCs w:val="21"/>
              </w:rPr>
              <w:t>m</w:t>
            </w:r>
            <w:r>
              <w:rPr>
                <w:rFonts w:hint="eastAsia"/>
                <w:sz w:val="21"/>
                <w:szCs w:val="21"/>
                <w:vertAlign w:val="superscript"/>
              </w:rPr>
              <w:t>3</w:t>
            </w:r>
            <w:r>
              <w:rPr>
                <w:rFonts w:hint="eastAsia"/>
                <w:sz w:val="21"/>
                <w:szCs w:val="21"/>
              </w:rPr>
              <w:t>/h，根据计算风量，考虑风量损失，</w:t>
            </w:r>
            <w:r>
              <w:rPr>
                <w:rFonts w:hint="eastAsia"/>
                <w:sz w:val="21"/>
                <w:szCs w:val="21"/>
                <w:lang w:val="en-US" w:eastAsia="zh-CN"/>
              </w:rPr>
              <w:t>流平室、烘干通道</w:t>
            </w:r>
            <w:r>
              <w:rPr>
                <w:rFonts w:hint="eastAsia"/>
                <w:sz w:val="21"/>
                <w:szCs w:val="21"/>
              </w:rPr>
              <w:t>设计排风量分别为</w:t>
            </w:r>
            <w:r>
              <w:rPr>
                <w:rFonts w:hint="eastAsia"/>
                <w:sz w:val="21"/>
                <w:szCs w:val="21"/>
                <w:lang w:val="en-US" w:eastAsia="zh-CN"/>
              </w:rPr>
              <w:t>1500</w:t>
            </w:r>
            <w:r>
              <w:rPr>
                <w:rFonts w:hint="eastAsia"/>
                <w:sz w:val="21"/>
                <w:szCs w:val="21"/>
              </w:rPr>
              <w:t>m</w:t>
            </w:r>
            <w:r>
              <w:rPr>
                <w:rFonts w:hint="eastAsia"/>
                <w:sz w:val="21"/>
                <w:szCs w:val="21"/>
                <w:vertAlign w:val="superscript"/>
              </w:rPr>
              <w:t>3</w:t>
            </w:r>
            <w:r>
              <w:rPr>
                <w:rFonts w:hint="eastAsia"/>
                <w:sz w:val="21"/>
                <w:szCs w:val="21"/>
              </w:rPr>
              <w:t>/h、</w:t>
            </w:r>
            <w:r>
              <w:rPr>
                <w:rFonts w:hint="eastAsia"/>
                <w:sz w:val="21"/>
                <w:szCs w:val="21"/>
                <w:lang w:val="en-US" w:eastAsia="zh-CN"/>
              </w:rPr>
              <w:t>2300</w:t>
            </w:r>
            <w:r>
              <w:rPr>
                <w:rFonts w:hint="eastAsia"/>
                <w:sz w:val="21"/>
                <w:szCs w:val="21"/>
              </w:rPr>
              <w:t>m</w:t>
            </w:r>
            <w:r>
              <w:rPr>
                <w:rFonts w:hint="eastAsia"/>
                <w:sz w:val="21"/>
                <w:szCs w:val="21"/>
                <w:vertAlign w:val="superscript"/>
              </w:rPr>
              <w:t>3</w:t>
            </w:r>
            <w:r>
              <w:rPr>
                <w:rFonts w:hint="eastAsia"/>
                <w:sz w:val="21"/>
                <w:szCs w:val="21"/>
              </w:rPr>
              <w:t>/h。</w:t>
            </w:r>
          </w:p>
          <w:p w14:paraId="4B433ECC">
            <w:pPr>
              <w:autoSpaceDE w:val="0"/>
              <w:autoSpaceDN w:val="0"/>
              <w:spacing w:line="360" w:lineRule="auto"/>
              <w:ind w:firstLine="420" w:firstLineChars="200"/>
              <w:rPr>
                <w:sz w:val="21"/>
                <w:szCs w:val="21"/>
              </w:rPr>
            </w:pPr>
            <w:r>
              <w:rPr>
                <w:rFonts w:hint="eastAsia"/>
                <w:sz w:val="21"/>
                <w:szCs w:val="21"/>
              </w:rPr>
              <w:t>项目</w:t>
            </w:r>
            <w:r>
              <w:rPr>
                <w:rFonts w:hint="eastAsia"/>
                <w:sz w:val="21"/>
                <w:szCs w:val="21"/>
                <w:lang w:val="en-US" w:eastAsia="zh-CN"/>
              </w:rPr>
              <w:t>喷涂车间</w:t>
            </w:r>
            <w:r>
              <w:rPr>
                <w:rFonts w:hint="eastAsia"/>
                <w:sz w:val="21"/>
                <w:szCs w:val="21"/>
              </w:rPr>
              <w:t>VOCs产生单元基本情况</w:t>
            </w:r>
            <w:r>
              <w:rPr>
                <w:rFonts w:hint="eastAsia"/>
                <w:sz w:val="21"/>
                <w:szCs w:val="21"/>
                <w:lang w:val="en-US" w:eastAsia="zh-CN"/>
              </w:rPr>
              <w:t>和设计风量</w:t>
            </w:r>
            <w:r>
              <w:rPr>
                <w:rFonts w:hint="eastAsia"/>
                <w:sz w:val="21"/>
                <w:szCs w:val="21"/>
              </w:rPr>
              <w:t>见表4-</w:t>
            </w:r>
            <w:r>
              <w:rPr>
                <w:rFonts w:hint="eastAsia"/>
                <w:sz w:val="21"/>
                <w:szCs w:val="21"/>
                <w:lang w:val="en-US" w:eastAsia="zh-CN"/>
              </w:rPr>
              <w:t>5</w:t>
            </w:r>
            <w:r>
              <w:rPr>
                <w:rFonts w:hint="eastAsia"/>
                <w:sz w:val="21"/>
                <w:szCs w:val="21"/>
              </w:rPr>
              <w:t>。</w:t>
            </w:r>
          </w:p>
          <w:p w14:paraId="101EA008">
            <w:pPr>
              <w:autoSpaceDE w:val="0"/>
              <w:autoSpaceDN w:val="0"/>
              <w:spacing w:line="240" w:lineRule="auto"/>
              <w:ind w:firstLine="422" w:firstLineChars="200"/>
              <w:jc w:val="center"/>
              <w:rPr>
                <w:b/>
                <w:sz w:val="21"/>
                <w:szCs w:val="21"/>
              </w:rPr>
            </w:pPr>
            <w:r>
              <w:rPr>
                <w:rFonts w:hint="eastAsia"/>
                <w:b/>
                <w:sz w:val="21"/>
                <w:szCs w:val="21"/>
              </w:rPr>
              <w:t>表4-</w:t>
            </w:r>
            <w:r>
              <w:rPr>
                <w:rFonts w:hint="eastAsia"/>
                <w:b/>
                <w:sz w:val="21"/>
                <w:szCs w:val="21"/>
                <w:lang w:val="en-US" w:eastAsia="zh-CN"/>
              </w:rPr>
              <w:t>5喷涂车间</w:t>
            </w:r>
            <w:r>
              <w:rPr>
                <w:rFonts w:hint="eastAsia"/>
                <w:b/>
                <w:sz w:val="21"/>
                <w:szCs w:val="21"/>
              </w:rPr>
              <w:t>有机废气产生单元基本情况一览表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476"/>
              <w:gridCol w:w="542"/>
              <w:gridCol w:w="860"/>
              <w:gridCol w:w="1086"/>
              <w:gridCol w:w="1220"/>
              <w:gridCol w:w="1853"/>
            </w:tblGrid>
            <w:tr w14:paraId="4446F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Align w:val="center"/>
                </w:tcPr>
                <w:p w14:paraId="739D7BF1">
                  <w:pPr>
                    <w:autoSpaceDE w:val="0"/>
                    <w:autoSpaceDN w:val="0"/>
                    <w:adjustRightInd w:val="0"/>
                    <w:snapToGrid w:val="0"/>
                    <w:jc w:val="center"/>
                    <w:rPr>
                      <w:rFonts w:hint="eastAsia" w:eastAsia="宋体"/>
                      <w:szCs w:val="21"/>
                      <w:lang w:eastAsia="zh-CN"/>
                    </w:rPr>
                  </w:pPr>
                  <w:r>
                    <w:rPr>
                      <w:rFonts w:hint="eastAsia"/>
                      <w:szCs w:val="21"/>
                      <w:lang w:val="en-US" w:eastAsia="zh-CN"/>
                    </w:rPr>
                    <w:t>喷涂线</w:t>
                  </w:r>
                </w:p>
              </w:tc>
              <w:tc>
                <w:tcPr>
                  <w:tcW w:w="901" w:type="pct"/>
                  <w:vAlign w:val="center"/>
                </w:tcPr>
                <w:p w14:paraId="774DAA66">
                  <w:pPr>
                    <w:autoSpaceDE w:val="0"/>
                    <w:autoSpaceDN w:val="0"/>
                    <w:adjustRightInd w:val="0"/>
                    <w:snapToGrid w:val="0"/>
                    <w:jc w:val="center"/>
                    <w:rPr>
                      <w:szCs w:val="21"/>
                    </w:rPr>
                  </w:pPr>
                  <w:r>
                    <w:rPr>
                      <w:rFonts w:hint="eastAsia"/>
                      <w:szCs w:val="21"/>
                    </w:rPr>
                    <w:t>名称</w:t>
                  </w:r>
                </w:p>
              </w:tc>
              <w:tc>
                <w:tcPr>
                  <w:tcW w:w="331" w:type="pct"/>
                  <w:vAlign w:val="center"/>
                </w:tcPr>
                <w:p w14:paraId="099F9851">
                  <w:pPr>
                    <w:autoSpaceDE w:val="0"/>
                    <w:autoSpaceDN w:val="0"/>
                    <w:adjustRightInd w:val="0"/>
                    <w:snapToGrid w:val="0"/>
                    <w:jc w:val="center"/>
                    <w:rPr>
                      <w:szCs w:val="21"/>
                    </w:rPr>
                  </w:pPr>
                  <w:r>
                    <w:rPr>
                      <w:rFonts w:hint="eastAsia"/>
                      <w:szCs w:val="21"/>
                    </w:rPr>
                    <w:t>数量</w:t>
                  </w:r>
                </w:p>
              </w:tc>
              <w:tc>
                <w:tcPr>
                  <w:tcW w:w="525" w:type="pct"/>
                  <w:vAlign w:val="center"/>
                </w:tcPr>
                <w:p w14:paraId="67D5665A">
                  <w:pPr>
                    <w:autoSpaceDE w:val="0"/>
                    <w:autoSpaceDN w:val="0"/>
                    <w:adjustRightInd w:val="0"/>
                    <w:snapToGrid w:val="0"/>
                    <w:jc w:val="center"/>
                    <w:rPr>
                      <w:szCs w:val="21"/>
                    </w:rPr>
                  </w:pPr>
                  <w:r>
                    <w:rPr>
                      <w:rFonts w:hint="eastAsia"/>
                      <w:szCs w:val="21"/>
                    </w:rPr>
                    <w:t>面积（m</w:t>
                  </w:r>
                  <w:r>
                    <w:rPr>
                      <w:rFonts w:hint="eastAsia"/>
                      <w:szCs w:val="21"/>
                      <w:vertAlign w:val="superscript"/>
                    </w:rPr>
                    <w:t>2</w:t>
                  </w:r>
                  <w:r>
                    <w:rPr>
                      <w:rFonts w:hint="eastAsia"/>
                      <w:szCs w:val="21"/>
                    </w:rPr>
                    <w:t>）</w:t>
                  </w:r>
                </w:p>
              </w:tc>
              <w:tc>
                <w:tcPr>
                  <w:tcW w:w="663" w:type="pct"/>
                  <w:vAlign w:val="center"/>
                </w:tcPr>
                <w:p w14:paraId="6EDB2FF8">
                  <w:pPr>
                    <w:autoSpaceDE w:val="0"/>
                    <w:autoSpaceDN w:val="0"/>
                    <w:adjustRightInd w:val="0"/>
                    <w:snapToGrid w:val="0"/>
                    <w:jc w:val="center"/>
                    <w:rPr>
                      <w:rFonts w:hint="eastAsia" w:eastAsia="宋体"/>
                      <w:szCs w:val="21"/>
                      <w:lang w:val="en-US" w:eastAsia="zh-CN"/>
                    </w:rPr>
                  </w:pPr>
                  <w:r>
                    <w:rPr>
                      <w:rFonts w:hint="eastAsia"/>
                      <w:szCs w:val="21"/>
                      <w:lang w:val="en-US" w:eastAsia="zh-CN"/>
                    </w:rPr>
                    <w:t>排气筒</w:t>
                  </w:r>
                </w:p>
              </w:tc>
              <w:tc>
                <w:tcPr>
                  <w:tcW w:w="745" w:type="pct"/>
                  <w:vAlign w:val="center"/>
                </w:tcPr>
                <w:p w14:paraId="3DCCE42E">
                  <w:pPr>
                    <w:autoSpaceDE w:val="0"/>
                    <w:autoSpaceDN w:val="0"/>
                    <w:adjustRightInd w:val="0"/>
                    <w:snapToGrid w:val="0"/>
                    <w:jc w:val="center"/>
                    <w:rPr>
                      <w:szCs w:val="21"/>
                    </w:rPr>
                  </w:pPr>
                  <w:r>
                    <w:rPr>
                      <w:rFonts w:hint="eastAsia"/>
                      <w:szCs w:val="21"/>
                    </w:rPr>
                    <w:t>密闭形式</w:t>
                  </w:r>
                </w:p>
              </w:tc>
              <w:tc>
                <w:tcPr>
                  <w:tcW w:w="1132" w:type="pct"/>
                  <w:vAlign w:val="center"/>
                </w:tcPr>
                <w:p w14:paraId="35EEE7F7">
                  <w:pPr>
                    <w:autoSpaceDE w:val="0"/>
                    <w:autoSpaceDN w:val="0"/>
                    <w:adjustRightInd w:val="0"/>
                    <w:snapToGrid w:val="0"/>
                    <w:jc w:val="center"/>
                    <w:rPr>
                      <w:szCs w:val="21"/>
                    </w:rPr>
                  </w:pPr>
                  <w:r>
                    <w:rPr>
                      <w:rFonts w:hint="eastAsia"/>
                      <w:szCs w:val="21"/>
                    </w:rPr>
                    <w:t>设计风量m</w:t>
                  </w:r>
                  <w:r>
                    <w:rPr>
                      <w:rFonts w:hint="eastAsia"/>
                      <w:szCs w:val="21"/>
                      <w:vertAlign w:val="superscript"/>
                    </w:rPr>
                    <w:t>3</w:t>
                  </w:r>
                  <w:r>
                    <w:rPr>
                      <w:rFonts w:hint="eastAsia"/>
                      <w:szCs w:val="21"/>
                    </w:rPr>
                    <w:t>/h</w:t>
                  </w:r>
                </w:p>
              </w:tc>
            </w:tr>
            <w:tr w14:paraId="5154D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restart"/>
                  <w:vAlign w:val="center"/>
                </w:tcPr>
                <w:p w14:paraId="62B8D933">
                  <w:pPr>
                    <w:autoSpaceDE w:val="0"/>
                    <w:autoSpaceDN w:val="0"/>
                    <w:adjustRightInd w:val="0"/>
                    <w:snapToGrid w:val="0"/>
                    <w:jc w:val="center"/>
                    <w:rPr>
                      <w:rFonts w:hint="default" w:eastAsia="宋体"/>
                      <w:szCs w:val="21"/>
                      <w:lang w:val="en-US" w:eastAsia="zh-CN"/>
                    </w:rPr>
                  </w:pPr>
                  <w:r>
                    <w:rPr>
                      <w:rFonts w:hint="eastAsia"/>
                      <w:szCs w:val="21"/>
                      <w:lang w:val="en-US" w:eastAsia="zh-CN"/>
                    </w:rPr>
                    <w:t>1#喷涂生产线</w:t>
                  </w:r>
                </w:p>
              </w:tc>
              <w:tc>
                <w:tcPr>
                  <w:tcW w:w="901" w:type="pct"/>
                  <w:vAlign w:val="center"/>
                </w:tcPr>
                <w:p w14:paraId="73C2EB05">
                  <w:pPr>
                    <w:autoSpaceDE w:val="0"/>
                    <w:autoSpaceDN w:val="0"/>
                    <w:adjustRightInd w:val="0"/>
                    <w:snapToGrid w:val="0"/>
                    <w:jc w:val="center"/>
                    <w:rPr>
                      <w:rFonts w:hint="default"/>
                      <w:szCs w:val="21"/>
                      <w:lang w:val="en-US"/>
                    </w:rPr>
                  </w:pPr>
                  <w:r>
                    <w:rPr>
                      <w:rFonts w:hint="eastAsia"/>
                      <w:sz w:val="21"/>
                      <w:szCs w:val="21"/>
                      <w:lang w:val="en-US" w:eastAsia="zh-CN"/>
                    </w:rPr>
                    <w:t>底漆</w:t>
                  </w:r>
                  <w:r>
                    <w:rPr>
                      <w:rFonts w:hint="eastAsia"/>
                      <w:sz w:val="21"/>
                      <w:szCs w:val="21"/>
                    </w:rPr>
                    <w:t>喷</w:t>
                  </w:r>
                  <w:r>
                    <w:rPr>
                      <w:rFonts w:hint="eastAsia"/>
                      <w:sz w:val="21"/>
                      <w:szCs w:val="21"/>
                      <w:lang w:val="en-US" w:eastAsia="zh-CN"/>
                    </w:rPr>
                    <w:t>涂室</w:t>
                  </w:r>
                </w:p>
              </w:tc>
              <w:tc>
                <w:tcPr>
                  <w:tcW w:w="331" w:type="pct"/>
                  <w:vAlign w:val="center"/>
                </w:tcPr>
                <w:p w14:paraId="1EC1B5D5">
                  <w:pPr>
                    <w:autoSpaceDE w:val="0"/>
                    <w:autoSpaceDN w:val="0"/>
                    <w:adjustRightInd w:val="0"/>
                    <w:snapToGrid w:val="0"/>
                    <w:jc w:val="center"/>
                    <w:rPr>
                      <w:rFonts w:hint="eastAsia" w:eastAsia="宋体"/>
                      <w:szCs w:val="21"/>
                      <w:lang w:eastAsia="zh-CN"/>
                    </w:rPr>
                  </w:pPr>
                  <w:r>
                    <w:rPr>
                      <w:rFonts w:hint="eastAsia"/>
                      <w:szCs w:val="21"/>
                    </w:rPr>
                    <w:t>1</w:t>
                  </w:r>
                </w:p>
              </w:tc>
              <w:tc>
                <w:tcPr>
                  <w:tcW w:w="525" w:type="pct"/>
                  <w:vAlign w:val="center"/>
                </w:tcPr>
                <w:p w14:paraId="5F92B48D">
                  <w:pPr>
                    <w:autoSpaceDE w:val="0"/>
                    <w:autoSpaceDN w:val="0"/>
                    <w:adjustRightInd w:val="0"/>
                    <w:snapToGrid w:val="0"/>
                    <w:jc w:val="center"/>
                    <w:rPr>
                      <w:rFonts w:hint="default" w:eastAsia="宋体"/>
                      <w:szCs w:val="21"/>
                      <w:vertAlign w:val="superscript"/>
                      <w:lang w:val="en-US" w:eastAsia="zh-CN"/>
                    </w:rPr>
                  </w:pPr>
                  <w:r>
                    <w:rPr>
                      <w:rFonts w:hint="eastAsia"/>
                      <w:szCs w:val="21"/>
                      <w:lang w:val="en-US" w:eastAsia="zh-CN"/>
                    </w:rPr>
                    <w:t>23.2</w:t>
                  </w:r>
                </w:p>
              </w:tc>
              <w:tc>
                <w:tcPr>
                  <w:tcW w:w="663" w:type="pct"/>
                  <w:vMerge w:val="restart"/>
                  <w:vAlign w:val="center"/>
                </w:tcPr>
                <w:p w14:paraId="1292F10D">
                  <w:pPr>
                    <w:autoSpaceDE w:val="0"/>
                    <w:autoSpaceDN w:val="0"/>
                    <w:adjustRightInd w:val="0"/>
                    <w:snapToGrid w:val="0"/>
                    <w:jc w:val="center"/>
                    <w:rPr>
                      <w:rFonts w:hint="default"/>
                      <w:szCs w:val="21"/>
                      <w:lang w:val="en-US" w:eastAsia="zh-CN"/>
                    </w:rPr>
                  </w:pPr>
                  <w:r>
                    <w:rPr>
                      <w:rFonts w:hint="eastAsia"/>
                      <w:szCs w:val="21"/>
                      <w:lang w:val="en-US" w:eastAsia="zh-CN"/>
                    </w:rPr>
                    <w:t>DA002</w:t>
                  </w:r>
                </w:p>
              </w:tc>
              <w:tc>
                <w:tcPr>
                  <w:tcW w:w="745" w:type="pct"/>
                  <w:vAlign w:val="center"/>
                </w:tcPr>
                <w:p w14:paraId="75B37F39">
                  <w:pPr>
                    <w:autoSpaceDE w:val="0"/>
                    <w:autoSpaceDN w:val="0"/>
                    <w:adjustRightInd w:val="0"/>
                    <w:snapToGrid w:val="0"/>
                    <w:jc w:val="center"/>
                    <w:rPr>
                      <w:rFonts w:hint="eastAsia" w:eastAsia="宋体"/>
                      <w:szCs w:val="21"/>
                      <w:lang w:eastAsia="zh-CN"/>
                    </w:rPr>
                  </w:pPr>
                  <w:r>
                    <w:rPr>
                      <w:rFonts w:hint="eastAsia"/>
                      <w:szCs w:val="21"/>
                    </w:rPr>
                    <w:t>封闭</w:t>
                  </w:r>
                  <w:r>
                    <w:rPr>
                      <w:rFonts w:hint="eastAsia"/>
                      <w:szCs w:val="21"/>
                      <w:lang w:val="en-US" w:eastAsia="zh-CN"/>
                    </w:rPr>
                    <w:t>负压</w:t>
                  </w:r>
                </w:p>
              </w:tc>
              <w:tc>
                <w:tcPr>
                  <w:tcW w:w="1132" w:type="pct"/>
                  <w:vMerge w:val="restart"/>
                  <w:vAlign w:val="center"/>
                </w:tcPr>
                <w:p w14:paraId="7BC358F5">
                  <w:pPr>
                    <w:autoSpaceDE w:val="0"/>
                    <w:autoSpaceDN w:val="0"/>
                    <w:adjustRightInd w:val="0"/>
                    <w:snapToGrid w:val="0"/>
                    <w:jc w:val="center"/>
                    <w:rPr>
                      <w:rFonts w:hint="default" w:eastAsia="宋体"/>
                      <w:szCs w:val="21"/>
                      <w:lang w:val="en-US" w:eastAsia="zh-CN"/>
                    </w:rPr>
                  </w:pPr>
                  <w:r>
                    <w:rPr>
                      <w:rFonts w:hint="eastAsia"/>
                      <w:szCs w:val="21"/>
                      <w:lang w:val="en-US" w:eastAsia="zh-CN"/>
                    </w:rPr>
                    <w:t>42600</w:t>
                  </w:r>
                </w:p>
              </w:tc>
            </w:tr>
            <w:tr w14:paraId="4D53A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6F5A3E79">
                  <w:pPr>
                    <w:autoSpaceDE w:val="0"/>
                    <w:autoSpaceDN w:val="0"/>
                    <w:adjustRightInd w:val="0"/>
                    <w:snapToGrid w:val="0"/>
                    <w:jc w:val="center"/>
                    <w:rPr>
                      <w:rFonts w:hint="eastAsia"/>
                      <w:szCs w:val="21"/>
                      <w:lang w:val="en-US" w:eastAsia="zh-CN"/>
                    </w:rPr>
                  </w:pPr>
                </w:p>
              </w:tc>
              <w:tc>
                <w:tcPr>
                  <w:tcW w:w="901" w:type="pct"/>
                  <w:vAlign w:val="center"/>
                </w:tcPr>
                <w:p w14:paraId="1EB279A1">
                  <w:pPr>
                    <w:spacing w:line="240" w:lineRule="auto"/>
                    <w:jc w:val="center"/>
                    <w:rPr>
                      <w:rFonts w:hint="default"/>
                      <w:sz w:val="21"/>
                      <w:szCs w:val="21"/>
                      <w:lang w:val="en-US" w:eastAsia="zh-CN"/>
                    </w:rPr>
                  </w:pPr>
                  <w:r>
                    <w:rPr>
                      <w:rFonts w:hint="eastAsia"/>
                      <w:lang w:val="en-US" w:eastAsia="zh-CN"/>
                    </w:rPr>
                    <w:t>除尘区域</w:t>
                  </w:r>
                </w:p>
              </w:tc>
              <w:tc>
                <w:tcPr>
                  <w:tcW w:w="331" w:type="pct"/>
                  <w:vAlign w:val="center"/>
                </w:tcPr>
                <w:p w14:paraId="014AECFF">
                  <w:pPr>
                    <w:spacing w:line="240" w:lineRule="auto"/>
                    <w:jc w:val="center"/>
                    <w:rPr>
                      <w:rFonts w:hint="eastAsia" w:eastAsia="宋体"/>
                      <w:szCs w:val="21"/>
                      <w:lang w:val="en-US" w:eastAsia="zh-CN"/>
                    </w:rPr>
                  </w:pPr>
                  <w:r>
                    <w:rPr>
                      <w:rFonts w:hint="eastAsia"/>
                      <w:szCs w:val="21"/>
                      <w:lang w:val="en-US" w:eastAsia="zh-CN"/>
                    </w:rPr>
                    <w:t>1</w:t>
                  </w:r>
                </w:p>
              </w:tc>
              <w:tc>
                <w:tcPr>
                  <w:tcW w:w="525" w:type="pct"/>
                  <w:vAlign w:val="center"/>
                </w:tcPr>
                <w:p w14:paraId="79A6ADE4">
                  <w:pPr>
                    <w:autoSpaceDE w:val="0"/>
                    <w:autoSpaceDN w:val="0"/>
                    <w:adjustRightInd w:val="0"/>
                    <w:snapToGrid w:val="0"/>
                    <w:spacing w:line="240" w:lineRule="auto"/>
                    <w:jc w:val="center"/>
                    <w:rPr>
                      <w:rFonts w:hint="default"/>
                      <w:szCs w:val="21"/>
                      <w:lang w:val="en-US" w:eastAsia="zh-CN"/>
                    </w:rPr>
                  </w:pPr>
                  <w:r>
                    <w:rPr>
                      <w:rFonts w:hint="eastAsia"/>
                      <w:szCs w:val="21"/>
                      <w:lang w:val="en-US" w:eastAsia="zh-CN"/>
                    </w:rPr>
                    <w:t>34.4</w:t>
                  </w:r>
                  <w:r>
                    <w:rPr>
                      <w:rFonts w:hint="eastAsia"/>
                      <w:szCs w:val="21"/>
                    </w:rPr>
                    <w:t>m</w:t>
                  </w:r>
                  <w:r>
                    <w:rPr>
                      <w:rFonts w:hint="eastAsia"/>
                      <w:szCs w:val="21"/>
                      <w:vertAlign w:val="superscript"/>
                    </w:rPr>
                    <w:t>2</w:t>
                  </w:r>
                </w:p>
              </w:tc>
              <w:tc>
                <w:tcPr>
                  <w:tcW w:w="663" w:type="pct"/>
                  <w:vMerge w:val="continue"/>
                  <w:vAlign w:val="center"/>
                </w:tcPr>
                <w:p w14:paraId="57C67B15">
                  <w:pPr>
                    <w:autoSpaceDE w:val="0"/>
                    <w:autoSpaceDN w:val="0"/>
                    <w:adjustRightInd w:val="0"/>
                    <w:snapToGrid w:val="0"/>
                    <w:jc w:val="center"/>
                    <w:rPr>
                      <w:rFonts w:hint="eastAsia"/>
                      <w:szCs w:val="21"/>
                      <w:lang w:val="en-US" w:eastAsia="zh-CN"/>
                    </w:rPr>
                  </w:pPr>
                </w:p>
              </w:tc>
              <w:tc>
                <w:tcPr>
                  <w:tcW w:w="745" w:type="pct"/>
                  <w:vAlign w:val="center"/>
                </w:tcPr>
                <w:p w14:paraId="024333EB">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57F72CC0">
                  <w:pPr>
                    <w:autoSpaceDE w:val="0"/>
                    <w:autoSpaceDN w:val="0"/>
                    <w:adjustRightInd w:val="0"/>
                    <w:snapToGrid w:val="0"/>
                    <w:jc w:val="center"/>
                    <w:rPr>
                      <w:rFonts w:hint="eastAsia"/>
                      <w:szCs w:val="21"/>
                      <w:lang w:val="en-US" w:eastAsia="zh-CN"/>
                    </w:rPr>
                  </w:pPr>
                </w:p>
              </w:tc>
            </w:tr>
            <w:tr w14:paraId="2D4EA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41E64268">
                  <w:pPr>
                    <w:autoSpaceDE w:val="0"/>
                    <w:autoSpaceDN w:val="0"/>
                    <w:adjustRightInd w:val="0"/>
                    <w:snapToGrid w:val="0"/>
                    <w:jc w:val="center"/>
                    <w:rPr>
                      <w:rFonts w:hint="eastAsia"/>
                      <w:szCs w:val="21"/>
                    </w:rPr>
                  </w:pPr>
                </w:p>
              </w:tc>
              <w:tc>
                <w:tcPr>
                  <w:tcW w:w="901" w:type="pct"/>
                  <w:vAlign w:val="center"/>
                </w:tcPr>
                <w:p w14:paraId="3F11F86B">
                  <w:pPr>
                    <w:autoSpaceDE w:val="0"/>
                    <w:autoSpaceDN w:val="0"/>
                    <w:adjustRightInd w:val="0"/>
                    <w:snapToGrid w:val="0"/>
                    <w:jc w:val="center"/>
                    <w:rPr>
                      <w:rFonts w:hint="eastAsia"/>
                      <w:sz w:val="21"/>
                      <w:szCs w:val="21"/>
                    </w:rPr>
                  </w:pPr>
                  <w:r>
                    <w:rPr>
                      <w:rFonts w:hint="eastAsia"/>
                      <w:sz w:val="21"/>
                      <w:szCs w:val="21"/>
                      <w:lang w:val="en-US" w:eastAsia="zh-CN"/>
                    </w:rPr>
                    <w:t>面漆</w:t>
                  </w:r>
                  <w:r>
                    <w:rPr>
                      <w:rFonts w:hint="eastAsia"/>
                      <w:sz w:val="21"/>
                      <w:szCs w:val="21"/>
                    </w:rPr>
                    <w:t>喷</w:t>
                  </w:r>
                  <w:r>
                    <w:rPr>
                      <w:rFonts w:hint="eastAsia"/>
                      <w:sz w:val="21"/>
                      <w:szCs w:val="21"/>
                      <w:lang w:val="en-US" w:eastAsia="zh-CN"/>
                    </w:rPr>
                    <w:t>涂室</w:t>
                  </w:r>
                </w:p>
              </w:tc>
              <w:tc>
                <w:tcPr>
                  <w:tcW w:w="331" w:type="pct"/>
                  <w:vAlign w:val="center"/>
                </w:tcPr>
                <w:p w14:paraId="5E8B6659">
                  <w:pPr>
                    <w:autoSpaceDE w:val="0"/>
                    <w:autoSpaceDN w:val="0"/>
                    <w:adjustRightInd w:val="0"/>
                    <w:snapToGrid w:val="0"/>
                    <w:jc w:val="center"/>
                    <w:rPr>
                      <w:rFonts w:hint="eastAsia" w:eastAsia="宋体"/>
                      <w:szCs w:val="21"/>
                      <w:lang w:val="en-US" w:eastAsia="zh-CN"/>
                    </w:rPr>
                  </w:pPr>
                  <w:r>
                    <w:rPr>
                      <w:rFonts w:hint="eastAsia"/>
                      <w:szCs w:val="21"/>
                      <w:lang w:val="en-US" w:eastAsia="zh-CN"/>
                    </w:rPr>
                    <w:t>2</w:t>
                  </w:r>
                </w:p>
              </w:tc>
              <w:tc>
                <w:tcPr>
                  <w:tcW w:w="525" w:type="pct"/>
                  <w:vAlign w:val="center"/>
                </w:tcPr>
                <w:p w14:paraId="1223ABBE">
                  <w:pPr>
                    <w:autoSpaceDE w:val="0"/>
                    <w:autoSpaceDN w:val="0"/>
                    <w:adjustRightInd w:val="0"/>
                    <w:snapToGrid w:val="0"/>
                    <w:jc w:val="center"/>
                    <w:rPr>
                      <w:rFonts w:hint="eastAsia"/>
                      <w:szCs w:val="21"/>
                      <w:lang w:val="en-US" w:eastAsia="zh-CN"/>
                    </w:rPr>
                  </w:pPr>
                  <w:r>
                    <w:rPr>
                      <w:rFonts w:hint="eastAsia"/>
                      <w:szCs w:val="21"/>
                      <w:lang w:val="en-US" w:eastAsia="zh-CN"/>
                    </w:rPr>
                    <w:t>23.2</w:t>
                  </w:r>
                </w:p>
              </w:tc>
              <w:tc>
                <w:tcPr>
                  <w:tcW w:w="663" w:type="pct"/>
                  <w:vMerge w:val="restart"/>
                  <w:vAlign w:val="center"/>
                </w:tcPr>
                <w:p w14:paraId="04C8DB40">
                  <w:pPr>
                    <w:autoSpaceDE w:val="0"/>
                    <w:autoSpaceDN w:val="0"/>
                    <w:adjustRightInd w:val="0"/>
                    <w:snapToGrid w:val="0"/>
                    <w:jc w:val="center"/>
                    <w:rPr>
                      <w:rFonts w:hint="default"/>
                      <w:szCs w:val="21"/>
                      <w:lang w:val="en-US" w:eastAsia="zh-CN"/>
                    </w:rPr>
                  </w:pPr>
                  <w:r>
                    <w:rPr>
                      <w:rFonts w:hint="eastAsia"/>
                      <w:szCs w:val="21"/>
                      <w:lang w:val="en-US" w:eastAsia="zh-CN"/>
                    </w:rPr>
                    <w:t>DA003</w:t>
                  </w:r>
                </w:p>
              </w:tc>
              <w:tc>
                <w:tcPr>
                  <w:tcW w:w="745" w:type="pct"/>
                  <w:vAlign w:val="center"/>
                </w:tcPr>
                <w:p w14:paraId="58730776">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restart"/>
                  <w:vAlign w:val="center"/>
                </w:tcPr>
                <w:p w14:paraId="74B1AD5F">
                  <w:pPr>
                    <w:autoSpaceDE w:val="0"/>
                    <w:autoSpaceDN w:val="0"/>
                    <w:adjustRightInd w:val="0"/>
                    <w:snapToGrid w:val="0"/>
                    <w:jc w:val="center"/>
                    <w:rPr>
                      <w:rFonts w:hint="default" w:eastAsia="宋体"/>
                      <w:szCs w:val="21"/>
                      <w:lang w:val="en-US" w:eastAsia="zh-CN"/>
                    </w:rPr>
                  </w:pPr>
                  <w:r>
                    <w:rPr>
                      <w:rFonts w:hint="eastAsia"/>
                      <w:szCs w:val="21"/>
                      <w:lang w:val="en-US" w:eastAsia="zh-CN"/>
                    </w:rPr>
                    <w:t>49000</w:t>
                  </w:r>
                </w:p>
              </w:tc>
            </w:tr>
            <w:tr w14:paraId="52315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3F42C38B">
                  <w:pPr>
                    <w:autoSpaceDE w:val="0"/>
                    <w:autoSpaceDN w:val="0"/>
                    <w:adjustRightInd w:val="0"/>
                    <w:snapToGrid w:val="0"/>
                    <w:jc w:val="center"/>
                    <w:rPr>
                      <w:rFonts w:hint="eastAsia"/>
                      <w:szCs w:val="21"/>
                    </w:rPr>
                  </w:pPr>
                </w:p>
              </w:tc>
              <w:tc>
                <w:tcPr>
                  <w:tcW w:w="901" w:type="pct"/>
                  <w:vAlign w:val="center"/>
                </w:tcPr>
                <w:p w14:paraId="2ED4C66A">
                  <w:pPr>
                    <w:autoSpaceDE w:val="0"/>
                    <w:autoSpaceDN w:val="0"/>
                    <w:adjustRightInd w:val="0"/>
                    <w:snapToGrid w:val="0"/>
                    <w:jc w:val="center"/>
                    <w:rPr>
                      <w:rFonts w:hint="default"/>
                      <w:sz w:val="21"/>
                      <w:szCs w:val="21"/>
                      <w:lang w:val="en-US"/>
                    </w:rPr>
                  </w:pPr>
                  <w:r>
                    <w:rPr>
                      <w:rFonts w:hint="eastAsia"/>
                      <w:szCs w:val="21"/>
                      <w:lang w:val="en-US" w:eastAsia="zh-CN"/>
                    </w:rPr>
                    <w:t>调漆室</w:t>
                  </w:r>
                </w:p>
              </w:tc>
              <w:tc>
                <w:tcPr>
                  <w:tcW w:w="331" w:type="pct"/>
                  <w:vAlign w:val="center"/>
                </w:tcPr>
                <w:p w14:paraId="4B2799C2">
                  <w:pPr>
                    <w:autoSpaceDE w:val="0"/>
                    <w:autoSpaceDN w:val="0"/>
                    <w:adjustRightInd w:val="0"/>
                    <w:snapToGrid w:val="0"/>
                    <w:jc w:val="center"/>
                    <w:rPr>
                      <w:rFonts w:hint="eastAsia" w:eastAsia="宋体"/>
                      <w:szCs w:val="21"/>
                      <w:lang w:val="en-US" w:eastAsia="zh-CN"/>
                    </w:rPr>
                  </w:pPr>
                  <w:r>
                    <w:rPr>
                      <w:rFonts w:hint="eastAsia"/>
                      <w:szCs w:val="21"/>
                      <w:lang w:val="en-US" w:eastAsia="zh-CN"/>
                    </w:rPr>
                    <w:t>1</w:t>
                  </w:r>
                </w:p>
              </w:tc>
              <w:tc>
                <w:tcPr>
                  <w:tcW w:w="525" w:type="pct"/>
                  <w:vAlign w:val="center"/>
                </w:tcPr>
                <w:p w14:paraId="2CABCEFB">
                  <w:pPr>
                    <w:autoSpaceDE w:val="0"/>
                    <w:autoSpaceDN w:val="0"/>
                    <w:adjustRightInd w:val="0"/>
                    <w:snapToGrid w:val="0"/>
                    <w:jc w:val="center"/>
                    <w:rPr>
                      <w:rFonts w:hint="eastAsia"/>
                      <w:szCs w:val="21"/>
                      <w:lang w:val="en-US" w:eastAsia="zh-CN"/>
                    </w:rPr>
                  </w:pPr>
                  <w:r>
                    <w:rPr>
                      <w:rFonts w:hint="eastAsia"/>
                      <w:szCs w:val="21"/>
                      <w:lang w:val="en-US" w:eastAsia="zh-CN"/>
                    </w:rPr>
                    <w:t>14.5</w:t>
                  </w:r>
                </w:p>
              </w:tc>
              <w:tc>
                <w:tcPr>
                  <w:tcW w:w="663" w:type="pct"/>
                  <w:vMerge w:val="continue"/>
                  <w:vAlign w:val="center"/>
                </w:tcPr>
                <w:p w14:paraId="7DA50616">
                  <w:pPr>
                    <w:autoSpaceDE w:val="0"/>
                    <w:autoSpaceDN w:val="0"/>
                    <w:adjustRightInd w:val="0"/>
                    <w:snapToGrid w:val="0"/>
                    <w:jc w:val="center"/>
                    <w:rPr>
                      <w:rFonts w:hint="eastAsia"/>
                      <w:szCs w:val="21"/>
                      <w:lang w:val="en-US" w:eastAsia="zh-CN"/>
                    </w:rPr>
                  </w:pPr>
                </w:p>
              </w:tc>
              <w:tc>
                <w:tcPr>
                  <w:tcW w:w="745" w:type="pct"/>
                  <w:vAlign w:val="center"/>
                </w:tcPr>
                <w:p w14:paraId="62F1EAB4">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08823BB8">
                  <w:pPr>
                    <w:autoSpaceDE w:val="0"/>
                    <w:autoSpaceDN w:val="0"/>
                    <w:adjustRightInd w:val="0"/>
                    <w:snapToGrid w:val="0"/>
                    <w:jc w:val="center"/>
                    <w:rPr>
                      <w:rFonts w:hint="eastAsia"/>
                      <w:szCs w:val="21"/>
                    </w:rPr>
                  </w:pPr>
                </w:p>
              </w:tc>
            </w:tr>
            <w:tr w14:paraId="4B11C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4564B9AB">
                  <w:pPr>
                    <w:autoSpaceDE w:val="0"/>
                    <w:autoSpaceDN w:val="0"/>
                    <w:adjustRightInd w:val="0"/>
                    <w:snapToGrid w:val="0"/>
                    <w:jc w:val="center"/>
                    <w:rPr>
                      <w:rFonts w:hint="eastAsia" w:eastAsia="宋体"/>
                      <w:szCs w:val="21"/>
                      <w:lang w:eastAsia="zh-CN"/>
                    </w:rPr>
                  </w:pPr>
                </w:p>
              </w:tc>
              <w:tc>
                <w:tcPr>
                  <w:tcW w:w="901" w:type="pct"/>
                  <w:vAlign w:val="center"/>
                </w:tcPr>
                <w:p w14:paraId="07DA0762">
                  <w:pPr>
                    <w:autoSpaceDE w:val="0"/>
                    <w:autoSpaceDN w:val="0"/>
                    <w:adjustRightInd w:val="0"/>
                    <w:snapToGrid w:val="0"/>
                    <w:jc w:val="center"/>
                    <w:rPr>
                      <w:rFonts w:hint="eastAsia" w:eastAsia="宋体"/>
                      <w:sz w:val="21"/>
                      <w:szCs w:val="21"/>
                      <w:lang w:val="en-US" w:eastAsia="zh-CN"/>
                    </w:rPr>
                  </w:pPr>
                  <w:r>
                    <w:rPr>
                      <w:rFonts w:hint="eastAsia"/>
                      <w:sz w:val="21"/>
                      <w:szCs w:val="21"/>
                      <w:lang w:val="en-US" w:eastAsia="zh-CN"/>
                    </w:rPr>
                    <w:t>清漆</w:t>
                  </w:r>
                  <w:r>
                    <w:rPr>
                      <w:rFonts w:hint="eastAsia"/>
                      <w:sz w:val="21"/>
                      <w:szCs w:val="21"/>
                    </w:rPr>
                    <w:t>喷</w:t>
                  </w:r>
                  <w:r>
                    <w:rPr>
                      <w:rFonts w:hint="eastAsia"/>
                      <w:sz w:val="21"/>
                      <w:szCs w:val="21"/>
                      <w:lang w:val="en-US" w:eastAsia="zh-CN"/>
                    </w:rPr>
                    <w:t>涂室</w:t>
                  </w:r>
                </w:p>
              </w:tc>
              <w:tc>
                <w:tcPr>
                  <w:tcW w:w="331" w:type="pct"/>
                  <w:vAlign w:val="center"/>
                </w:tcPr>
                <w:p w14:paraId="492882DB">
                  <w:pPr>
                    <w:autoSpaceDE w:val="0"/>
                    <w:autoSpaceDN w:val="0"/>
                    <w:adjustRightInd w:val="0"/>
                    <w:snapToGrid w:val="0"/>
                    <w:jc w:val="center"/>
                    <w:rPr>
                      <w:rFonts w:hint="eastAsia" w:eastAsia="宋体"/>
                      <w:szCs w:val="21"/>
                      <w:lang w:val="en-US" w:eastAsia="zh-CN"/>
                    </w:rPr>
                  </w:pPr>
                  <w:r>
                    <w:rPr>
                      <w:rFonts w:hint="eastAsia"/>
                      <w:szCs w:val="21"/>
                      <w:lang w:val="en-US" w:eastAsia="zh-CN"/>
                    </w:rPr>
                    <w:t>2</w:t>
                  </w:r>
                </w:p>
              </w:tc>
              <w:tc>
                <w:tcPr>
                  <w:tcW w:w="525" w:type="pct"/>
                  <w:vAlign w:val="center"/>
                </w:tcPr>
                <w:p w14:paraId="1FAAB9C5">
                  <w:pPr>
                    <w:autoSpaceDE w:val="0"/>
                    <w:autoSpaceDN w:val="0"/>
                    <w:adjustRightInd w:val="0"/>
                    <w:snapToGrid w:val="0"/>
                    <w:jc w:val="center"/>
                    <w:rPr>
                      <w:rFonts w:hint="eastAsia"/>
                      <w:szCs w:val="21"/>
                      <w:lang w:val="en-US" w:eastAsia="zh-CN"/>
                    </w:rPr>
                  </w:pPr>
                  <w:r>
                    <w:rPr>
                      <w:rFonts w:hint="eastAsia"/>
                      <w:szCs w:val="21"/>
                      <w:lang w:val="en-US" w:eastAsia="zh-CN"/>
                    </w:rPr>
                    <w:t>23.2</w:t>
                  </w:r>
                </w:p>
              </w:tc>
              <w:tc>
                <w:tcPr>
                  <w:tcW w:w="663" w:type="pct"/>
                  <w:vMerge w:val="restart"/>
                  <w:vAlign w:val="center"/>
                </w:tcPr>
                <w:p w14:paraId="6AA9B50D">
                  <w:pPr>
                    <w:autoSpaceDE w:val="0"/>
                    <w:autoSpaceDN w:val="0"/>
                    <w:adjustRightInd w:val="0"/>
                    <w:snapToGrid w:val="0"/>
                    <w:jc w:val="center"/>
                    <w:rPr>
                      <w:rFonts w:hint="default"/>
                      <w:szCs w:val="21"/>
                      <w:lang w:val="en-US" w:eastAsia="zh-CN"/>
                    </w:rPr>
                  </w:pPr>
                  <w:r>
                    <w:rPr>
                      <w:rFonts w:hint="eastAsia"/>
                      <w:szCs w:val="21"/>
                      <w:lang w:val="en-US" w:eastAsia="zh-CN"/>
                    </w:rPr>
                    <w:t>DA004</w:t>
                  </w:r>
                </w:p>
              </w:tc>
              <w:tc>
                <w:tcPr>
                  <w:tcW w:w="745" w:type="pct"/>
                  <w:vAlign w:val="center"/>
                </w:tcPr>
                <w:p w14:paraId="2E182567">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restart"/>
                  <w:vAlign w:val="center"/>
                </w:tcPr>
                <w:p w14:paraId="470E605F">
                  <w:pPr>
                    <w:autoSpaceDE w:val="0"/>
                    <w:autoSpaceDN w:val="0"/>
                    <w:adjustRightInd w:val="0"/>
                    <w:snapToGrid w:val="0"/>
                    <w:jc w:val="center"/>
                    <w:rPr>
                      <w:rFonts w:hint="default" w:eastAsia="宋体"/>
                      <w:color w:val="auto"/>
                      <w:szCs w:val="21"/>
                      <w:lang w:val="en-US" w:eastAsia="zh-CN"/>
                    </w:rPr>
                  </w:pPr>
                  <w:r>
                    <w:rPr>
                      <w:rFonts w:hint="eastAsia"/>
                      <w:szCs w:val="21"/>
                      <w:lang w:val="en-US" w:eastAsia="zh-CN"/>
                    </w:rPr>
                    <w:t>53600</w:t>
                  </w:r>
                </w:p>
              </w:tc>
            </w:tr>
            <w:tr w14:paraId="59732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7BD64664">
                  <w:pPr>
                    <w:autoSpaceDE w:val="0"/>
                    <w:autoSpaceDN w:val="0"/>
                    <w:adjustRightInd w:val="0"/>
                    <w:snapToGrid w:val="0"/>
                    <w:jc w:val="center"/>
                    <w:rPr>
                      <w:rFonts w:hint="eastAsia" w:eastAsia="宋体"/>
                      <w:szCs w:val="21"/>
                      <w:lang w:val="en-US" w:eastAsia="zh-CN"/>
                    </w:rPr>
                  </w:pPr>
                </w:p>
              </w:tc>
              <w:tc>
                <w:tcPr>
                  <w:tcW w:w="901" w:type="pct"/>
                  <w:vAlign w:val="center"/>
                </w:tcPr>
                <w:p w14:paraId="522AFAE1">
                  <w:pPr>
                    <w:autoSpaceDE w:val="0"/>
                    <w:autoSpaceDN w:val="0"/>
                    <w:adjustRightInd w:val="0"/>
                    <w:snapToGrid w:val="0"/>
                    <w:jc w:val="center"/>
                    <w:rPr>
                      <w:rFonts w:hint="eastAsia"/>
                      <w:sz w:val="21"/>
                      <w:szCs w:val="21"/>
                    </w:rPr>
                  </w:pPr>
                  <w:r>
                    <w:rPr>
                      <w:rFonts w:hint="eastAsia"/>
                      <w:szCs w:val="21"/>
                      <w:lang w:val="en-US" w:eastAsia="zh-CN"/>
                    </w:rPr>
                    <w:t>调漆室</w:t>
                  </w:r>
                </w:p>
              </w:tc>
              <w:tc>
                <w:tcPr>
                  <w:tcW w:w="331" w:type="pct"/>
                  <w:vAlign w:val="center"/>
                </w:tcPr>
                <w:p w14:paraId="33FB454B">
                  <w:pPr>
                    <w:autoSpaceDE w:val="0"/>
                    <w:autoSpaceDN w:val="0"/>
                    <w:adjustRightInd w:val="0"/>
                    <w:snapToGrid w:val="0"/>
                    <w:jc w:val="center"/>
                    <w:rPr>
                      <w:rFonts w:hint="eastAsia"/>
                      <w:szCs w:val="21"/>
                    </w:rPr>
                  </w:pPr>
                  <w:r>
                    <w:rPr>
                      <w:rFonts w:hint="eastAsia"/>
                      <w:szCs w:val="21"/>
                      <w:lang w:val="en-US" w:eastAsia="zh-CN"/>
                    </w:rPr>
                    <w:t>1</w:t>
                  </w:r>
                </w:p>
              </w:tc>
              <w:tc>
                <w:tcPr>
                  <w:tcW w:w="525" w:type="pct"/>
                  <w:vAlign w:val="center"/>
                </w:tcPr>
                <w:p w14:paraId="162EC3E2">
                  <w:pPr>
                    <w:autoSpaceDE w:val="0"/>
                    <w:autoSpaceDN w:val="0"/>
                    <w:adjustRightInd w:val="0"/>
                    <w:snapToGrid w:val="0"/>
                    <w:jc w:val="center"/>
                    <w:rPr>
                      <w:rFonts w:hint="eastAsia"/>
                      <w:szCs w:val="21"/>
                      <w:lang w:val="en-US" w:eastAsia="zh-CN"/>
                    </w:rPr>
                  </w:pPr>
                  <w:r>
                    <w:rPr>
                      <w:rFonts w:hint="eastAsia"/>
                      <w:szCs w:val="21"/>
                      <w:lang w:val="en-US" w:eastAsia="zh-CN"/>
                    </w:rPr>
                    <w:t>14.5</w:t>
                  </w:r>
                </w:p>
              </w:tc>
              <w:tc>
                <w:tcPr>
                  <w:tcW w:w="663" w:type="pct"/>
                  <w:vMerge w:val="continue"/>
                  <w:vAlign w:val="center"/>
                </w:tcPr>
                <w:p w14:paraId="627C2BCB">
                  <w:pPr>
                    <w:autoSpaceDE w:val="0"/>
                    <w:autoSpaceDN w:val="0"/>
                    <w:adjustRightInd w:val="0"/>
                    <w:snapToGrid w:val="0"/>
                    <w:jc w:val="center"/>
                    <w:rPr>
                      <w:rFonts w:hint="eastAsia"/>
                      <w:szCs w:val="21"/>
                      <w:lang w:val="en-US" w:eastAsia="zh-CN"/>
                    </w:rPr>
                  </w:pPr>
                </w:p>
              </w:tc>
              <w:tc>
                <w:tcPr>
                  <w:tcW w:w="745" w:type="pct"/>
                  <w:vAlign w:val="center"/>
                </w:tcPr>
                <w:p w14:paraId="1C643076">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42A645E7">
                  <w:pPr>
                    <w:autoSpaceDE w:val="0"/>
                    <w:autoSpaceDN w:val="0"/>
                    <w:adjustRightInd w:val="0"/>
                    <w:snapToGrid w:val="0"/>
                    <w:jc w:val="center"/>
                    <w:rPr>
                      <w:rFonts w:hint="eastAsia"/>
                      <w:szCs w:val="21"/>
                    </w:rPr>
                  </w:pPr>
                </w:p>
              </w:tc>
            </w:tr>
            <w:tr w14:paraId="40C86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4578C678">
                  <w:pPr>
                    <w:autoSpaceDE w:val="0"/>
                    <w:autoSpaceDN w:val="0"/>
                    <w:adjustRightInd w:val="0"/>
                    <w:snapToGrid w:val="0"/>
                    <w:jc w:val="center"/>
                    <w:rPr>
                      <w:rFonts w:hint="eastAsia" w:eastAsia="宋体"/>
                      <w:szCs w:val="21"/>
                      <w:lang w:val="en-US" w:eastAsia="zh-CN"/>
                    </w:rPr>
                  </w:pPr>
                </w:p>
              </w:tc>
              <w:tc>
                <w:tcPr>
                  <w:tcW w:w="901" w:type="pct"/>
                  <w:vAlign w:val="center"/>
                </w:tcPr>
                <w:p w14:paraId="3702AA19">
                  <w:pPr>
                    <w:autoSpaceDE w:val="0"/>
                    <w:autoSpaceDN w:val="0"/>
                    <w:adjustRightInd w:val="0"/>
                    <w:snapToGrid w:val="0"/>
                    <w:jc w:val="center"/>
                    <w:rPr>
                      <w:rFonts w:hint="eastAsia"/>
                      <w:sz w:val="21"/>
                      <w:szCs w:val="21"/>
                    </w:rPr>
                  </w:pPr>
                  <w:r>
                    <w:rPr>
                      <w:rFonts w:hint="eastAsia"/>
                      <w:szCs w:val="21"/>
                      <w:lang w:val="en-US" w:eastAsia="zh-CN"/>
                    </w:rPr>
                    <w:t>流平室</w:t>
                  </w:r>
                </w:p>
              </w:tc>
              <w:tc>
                <w:tcPr>
                  <w:tcW w:w="331" w:type="pct"/>
                  <w:vAlign w:val="center"/>
                </w:tcPr>
                <w:p w14:paraId="56F870CB">
                  <w:pPr>
                    <w:autoSpaceDE w:val="0"/>
                    <w:autoSpaceDN w:val="0"/>
                    <w:adjustRightInd w:val="0"/>
                    <w:snapToGrid w:val="0"/>
                    <w:jc w:val="center"/>
                    <w:rPr>
                      <w:rFonts w:hint="eastAsia" w:eastAsia="宋体"/>
                      <w:szCs w:val="21"/>
                      <w:lang w:val="en-US" w:eastAsia="zh-CN"/>
                    </w:rPr>
                  </w:pPr>
                  <w:r>
                    <w:rPr>
                      <w:rFonts w:hint="eastAsia"/>
                      <w:szCs w:val="21"/>
                      <w:lang w:val="en-US" w:eastAsia="zh-CN"/>
                    </w:rPr>
                    <w:t>1</w:t>
                  </w:r>
                </w:p>
              </w:tc>
              <w:tc>
                <w:tcPr>
                  <w:tcW w:w="525" w:type="pct"/>
                  <w:vAlign w:val="center"/>
                </w:tcPr>
                <w:p w14:paraId="5189F3DD">
                  <w:pPr>
                    <w:autoSpaceDE w:val="0"/>
                    <w:autoSpaceDN w:val="0"/>
                    <w:adjustRightInd w:val="0"/>
                    <w:snapToGrid w:val="0"/>
                    <w:jc w:val="center"/>
                    <w:rPr>
                      <w:rFonts w:hint="eastAsia"/>
                      <w:szCs w:val="21"/>
                      <w:lang w:val="en-US" w:eastAsia="zh-CN"/>
                    </w:rPr>
                  </w:pPr>
                  <w:r>
                    <w:rPr>
                      <w:rFonts w:hint="eastAsia"/>
                      <w:szCs w:val="21"/>
                      <w:lang w:val="en-US" w:eastAsia="zh-CN"/>
                    </w:rPr>
                    <w:t>17.5</w:t>
                  </w:r>
                </w:p>
              </w:tc>
              <w:tc>
                <w:tcPr>
                  <w:tcW w:w="663" w:type="pct"/>
                  <w:vMerge w:val="continue"/>
                  <w:vAlign w:val="center"/>
                </w:tcPr>
                <w:p w14:paraId="719D01C3">
                  <w:pPr>
                    <w:autoSpaceDE w:val="0"/>
                    <w:autoSpaceDN w:val="0"/>
                    <w:adjustRightInd w:val="0"/>
                    <w:snapToGrid w:val="0"/>
                    <w:jc w:val="center"/>
                    <w:rPr>
                      <w:rFonts w:hint="eastAsia"/>
                      <w:szCs w:val="21"/>
                      <w:lang w:val="en-US" w:eastAsia="zh-CN"/>
                    </w:rPr>
                  </w:pPr>
                </w:p>
              </w:tc>
              <w:tc>
                <w:tcPr>
                  <w:tcW w:w="745" w:type="pct"/>
                  <w:vAlign w:val="center"/>
                </w:tcPr>
                <w:p w14:paraId="0BB69484">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3C463576">
                  <w:pPr>
                    <w:autoSpaceDE w:val="0"/>
                    <w:autoSpaceDN w:val="0"/>
                    <w:adjustRightInd w:val="0"/>
                    <w:snapToGrid w:val="0"/>
                    <w:jc w:val="center"/>
                    <w:rPr>
                      <w:rFonts w:hint="eastAsia"/>
                      <w:szCs w:val="21"/>
                    </w:rPr>
                  </w:pPr>
                </w:p>
              </w:tc>
            </w:tr>
            <w:tr w14:paraId="5AD46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57778AC6">
                  <w:pPr>
                    <w:autoSpaceDE w:val="0"/>
                    <w:autoSpaceDN w:val="0"/>
                    <w:adjustRightInd w:val="0"/>
                    <w:snapToGrid w:val="0"/>
                    <w:jc w:val="center"/>
                    <w:rPr>
                      <w:rFonts w:hint="eastAsia"/>
                      <w:szCs w:val="21"/>
                    </w:rPr>
                  </w:pPr>
                </w:p>
              </w:tc>
              <w:tc>
                <w:tcPr>
                  <w:tcW w:w="901" w:type="pct"/>
                  <w:vAlign w:val="center"/>
                </w:tcPr>
                <w:p w14:paraId="3E61904E">
                  <w:pPr>
                    <w:autoSpaceDE w:val="0"/>
                    <w:autoSpaceDN w:val="0"/>
                    <w:adjustRightInd w:val="0"/>
                    <w:snapToGrid w:val="0"/>
                    <w:jc w:val="center"/>
                    <w:rPr>
                      <w:rFonts w:hint="eastAsia"/>
                      <w:szCs w:val="21"/>
                      <w:lang w:val="en-US" w:eastAsia="zh-CN"/>
                    </w:rPr>
                  </w:pPr>
                  <w:r>
                    <w:rPr>
                      <w:rFonts w:hint="eastAsia"/>
                      <w:lang w:val="en-US" w:eastAsia="zh-CN"/>
                    </w:rPr>
                    <w:t>烘干通道</w:t>
                  </w:r>
                </w:p>
              </w:tc>
              <w:tc>
                <w:tcPr>
                  <w:tcW w:w="331" w:type="pct"/>
                  <w:vAlign w:val="center"/>
                </w:tcPr>
                <w:p w14:paraId="73388ACD">
                  <w:pPr>
                    <w:autoSpaceDE w:val="0"/>
                    <w:autoSpaceDN w:val="0"/>
                    <w:adjustRightInd w:val="0"/>
                    <w:snapToGrid w:val="0"/>
                    <w:jc w:val="center"/>
                    <w:rPr>
                      <w:rFonts w:hint="eastAsia" w:eastAsia="宋体"/>
                      <w:szCs w:val="21"/>
                      <w:lang w:val="en-US" w:eastAsia="zh-CN"/>
                    </w:rPr>
                  </w:pPr>
                  <w:r>
                    <w:rPr>
                      <w:rFonts w:hint="eastAsia"/>
                      <w:szCs w:val="21"/>
                      <w:lang w:val="en-US" w:eastAsia="zh-CN"/>
                    </w:rPr>
                    <w:t>1</w:t>
                  </w:r>
                </w:p>
              </w:tc>
              <w:tc>
                <w:tcPr>
                  <w:tcW w:w="525" w:type="pct"/>
                  <w:vAlign w:val="center"/>
                </w:tcPr>
                <w:p w14:paraId="7D40E069">
                  <w:pPr>
                    <w:autoSpaceDE w:val="0"/>
                    <w:autoSpaceDN w:val="0"/>
                    <w:adjustRightInd w:val="0"/>
                    <w:snapToGrid w:val="0"/>
                    <w:jc w:val="center"/>
                    <w:rPr>
                      <w:rFonts w:hint="eastAsia"/>
                      <w:szCs w:val="21"/>
                      <w:lang w:val="en-US" w:eastAsia="zh-CN"/>
                    </w:rPr>
                  </w:pPr>
                  <w:r>
                    <w:rPr>
                      <w:rFonts w:hint="eastAsia"/>
                      <w:szCs w:val="21"/>
                      <w:lang w:val="en-US" w:eastAsia="zh-CN"/>
                    </w:rPr>
                    <w:t>37.5</w:t>
                  </w:r>
                </w:p>
              </w:tc>
              <w:tc>
                <w:tcPr>
                  <w:tcW w:w="663" w:type="pct"/>
                  <w:vMerge w:val="continue"/>
                  <w:vAlign w:val="center"/>
                </w:tcPr>
                <w:p w14:paraId="14FDACDB">
                  <w:pPr>
                    <w:autoSpaceDE w:val="0"/>
                    <w:autoSpaceDN w:val="0"/>
                    <w:adjustRightInd w:val="0"/>
                    <w:snapToGrid w:val="0"/>
                    <w:jc w:val="center"/>
                    <w:rPr>
                      <w:rFonts w:hint="eastAsia"/>
                      <w:szCs w:val="21"/>
                      <w:lang w:val="en-US" w:eastAsia="zh-CN"/>
                    </w:rPr>
                  </w:pPr>
                </w:p>
              </w:tc>
              <w:tc>
                <w:tcPr>
                  <w:tcW w:w="745" w:type="pct"/>
                  <w:vAlign w:val="center"/>
                </w:tcPr>
                <w:p w14:paraId="7809672A">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232DB170">
                  <w:pPr>
                    <w:autoSpaceDE w:val="0"/>
                    <w:autoSpaceDN w:val="0"/>
                    <w:adjustRightInd w:val="0"/>
                    <w:snapToGrid w:val="0"/>
                    <w:jc w:val="center"/>
                    <w:rPr>
                      <w:rFonts w:hint="eastAsia"/>
                      <w:szCs w:val="21"/>
                    </w:rPr>
                  </w:pPr>
                </w:p>
              </w:tc>
            </w:tr>
            <w:tr w14:paraId="060DA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Align w:val="center"/>
                </w:tcPr>
                <w:p w14:paraId="59FEDBD0">
                  <w:pPr>
                    <w:autoSpaceDE w:val="0"/>
                    <w:autoSpaceDN w:val="0"/>
                    <w:adjustRightInd w:val="0"/>
                    <w:snapToGrid w:val="0"/>
                    <w:jc w:val="center"/>
                    <w:rPr>
                      <w:rFonts w:hint="default" w:eastAsia="宋体"/>
                      <w:szCs w:val="21"/>
                      <w:lang w:val="en-US" w:eastAsia="zh-CN"/>
                    </w:rPr>
                  </w:pPr>
                  <w:r>
                    <w:rPr>
                      <w:rFonts w:hint="eastAsia"/>
                      <w:szCs w:val="21"/>
                      <w:lang w:val="en-US" w:eastAsia="zh-CN"/>
                    </w:rPr>
                    <w:t>焊接组装</w:t>
                  </w:r>
                </w:p>
              </w:tc>
              <w:tc>
                <w:tcPr>
                  <w:tcW w:w="901" w:type="pct"/>
                  <w:vAlign w:val="center"/>
                </w:tcPr>
                <w:p w14:paraId="0C32119D">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焊接区</w:t>
                  </w:r>
                </w:p>
              </w:tc>
              <w:tc>
                <w:tcPr>
                  <w:tcW w:w="331" w:type="pct"/>
                  <w:vAlign w:val="center"/>
                </w:tcPr>
                <w:p w14:paraId="3EA0FB49">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1</w:t>
                  </w:r>
                </w:p>
              </w:tc>
              <w:tc>
                <w:tcPr>
                  <w:tcW w:w="525" w:type="pct"/>
                  <w:vAlign w:val="center"/>
                </w:tcPr>
                <w:p w14:paraId="34F3AA12">
                  <w:pPr>
                    <w:autoSpaceDE w:val="0"/>
                    <w:autoSpaceDN w:val="0"/>
                    <w:adjustRightInd w:val="0"/>
                    <w:snapToGrid w:val="0"/>
                    <w:jc w:val="center"/>
                    <w:rPr>
                      <w:rFonts w:hint="default"/>
                      <w:color w:val="auto"/>
                      <w:szCs w:val="21"/>
                      <w:lang w:val="en-US" w:eastAsia="zh-CN"/>
                    </w:rPr>
                  </w:pPr>
                  <w:r>
                    <w:rPr>
                      <w:rFonts w:hint="eastAsia"/>
                      <w:color w:val="auto"/>
                      <w:szCs w:val="21"/>
                      <w:lang w:val="en-US" w:eastAsia="zh-CN"/>
                    </w:rPr>
                    <w:t>125</w:t>
                  </w:r>
                </w:p>
              </w:tc>
              <w:tc>
                <w:tcPr>
                  <w:tcW w:w="663" w:type="pct"/>
                  <w:vMerge w:val="continue"/>
                  <w:vAlign w:val="center"/>
                </w:tcPr>
                <w:p w14:paraId="36818B9D">
                  <w:pPr>
                    <w:autoSpaceDE w:val="0"/>
                    <w:autoSpaceDN w:val="0"/>
                    <w:adjustRightInd w:val="0"/>
                    <w:snapToGrid w:val="0"/>
                    <w:jc w:val="center"/>
                    <w:rPr>
                      <w:rFonts w:hint="eastAsia"/>
                      <w:color w:val="auto"/>
                      <w:szCs w:val="21"/>
                      <w:lang w:val="en-US" w:eastAsia="zh-CN"/>
                    </w:rPr>
                  </w:pPr>
                </w:p>
              </w:tc>
              <w:tc>
                <w:tcPr>
                  <w:tcW w:w="745" w:type="pct"/>
                  <w:vAlign w:val="center"/>
                </w:tcPr>
                <w:p w14:paraId="68A6FC17">
                  <w:pPr>
                    <w:autoSpaceDE w:val="0"/>
                    <w:autoSpaceDN w:val="0"/>
                    <w:adjustRightInd w:val="0"/>
                    <w:snapToGrid w:val="0"/>
                    <w:jc w:val="center"/>
                    <w:rPr>
                      <w:rFonts w:hint="eastAsia"/>
                      <w:color w:val="auto"/>
                      <w:szCs w:val="21"/>
                    </w:rPr>
                  </w:pPr>
                  <w:r>
                    <w:rPr>
                      <w:rFonts w:hint="eastAsia"/>
                      <w:color w:val="auto"/>
                      <w:szCs w:val="21"/>
                    </w:rPr>
                    <w:t>封闭</w:t>
                  </w:r>
                  <w:r>
                    <w:rPr>
                      <w:rFonts w:hint="eastAsia"/>
                      <w:color w:val="auto"/>
                      <w:szCs w:val="21"/>
                      <w:lang w:val="en-US" w:eastAsia="zh-CN"/>
                    </w:rPr>
                    <w:t>负压</w:t>
                  </w:r>
                </w:p>
              </w:tc>
              <w:tc>
                <w:tcPr>
                  <w:tcW w:w="1132" w:type="pct"/>
                  <w:vMerge w:val="continue"/>
                  <w:vAlign w:val="center"/>
                </w:tcPr>
                <w:p w14:paraId="4CF8E761">
                  <w:pPr>
                    <w:autoSpaceDE w:val="0"/>
                    <w:autoSpaceDN w:val="0"/>
                    <w:adjustRightInd w:val="0"/>
                    <w:snapToGrid w:val="0"/>
                    <w:jc w:val="center"/>
                    <w:rPr>
                      <w:rFonts w:hint="default" w:eastAsia="宋体"/>
                      <w:color w:val="auto"/>
                      <w:szCs w:val="21"/>
                      <w:lang w:val="en-US" w:eastAsia="zh-CN"/>
                    </w:rPr>
                  </w:pPr>
                </w:p>
              </w:tc>
            </w:tr>
            <w:tr w14:paraId="47BA6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restart"/>
                  <w:vAlign w:val="center"/>
                </w:tcPr>
                <w:p w14:paraId="32D605E4">
                  <w:pPr>
                    <w:autoSpaceDE w:val="0"/>
                    <w:autoSpaceDN w:val="0"/>
                    <w:adjustRightInd w:val="0"/>
                    <w:snapToGrid w:val="0"/>
                    <w:jc w:val="center"/>
                    <w:rPr>
                      <w:rFonts w:hint="default" w:eastAsia="宋体"/>
                      <w:szCs w:val="21"/>
                      <w:lang w:val="en-US" w:eastAsia="zh-CN"/>
                    </w:rPr>
                  </w:pPr>
                  <w:r>
                    <w:rPr>
                      <w:rFonts w:hint="eastAsia"/>
                      <w:szCs w:val="21"/>
                      <w:lang w:val="en-US" w:eastAsia="zh-CN"/>
                    </w:rPr>
                    <w:t>2#喷涂生产线</w:t>
                  </w:r>
                </w:p>
              </w:tc>
              <w:tc>
                <w:tcPr>
                  <w:tcW w:w="901" w:type="pct"/>
                  <w:vAlign w:val="center"/>
                </w:tcPr>
                <w:p w14:paraId="55B56AAD">
                  <w:pPr>
                    <w:spacing w:line="240" w:lineRule="auto"/>
                    <w:jc w:val="center"/>
                    <w:rPr>
                      <w:rFonts w:hint="eastAsia"/>
                      <w:szCs w:val="21"/>
                      <w:lang w:val="en-US" w:eastAsia="zh-CN"/>
                    </w:rPr>
                  </w:pPr>
                  <w:r>
                    <w:rPr>
                      <w:rFonts w:hint="eastAsia"/>
                      <w:lang w:val="en-US" w:eastAsia="zh-CN"/>
                    </w:rPr>
                    <w:t>除尘区域</w:t>
                  </w:r>
                </w:p>
              </w:tc>
              <w:tc>
                <w:tcPr>
                  <w:tcW w:w="331" w:type="pct"/>
                  <w:vAlign w:val="center"/>
                </w:tcPr>
                <w:p w14:paraId="115E9001">
                  <w:pPr>
                    <w:spacing w:line="240" w:lineRule="auto"/>
                    <w:jc w:val="center"/>
                    <w:rPr>
                      <w:rFonts w:hint="eastAsia"/>
                      <w:szCs w:val="21"/>
                      <w:lang w:val="en-US" w:eastAsia="zh-CN"/>
                    </w:rPr>
                  </w:pPr>
                  <w:r>
                    <w:rPr>
                      <w:rFonts w:hint="eastAsia"/>
                      <w:szCs w:val="21"/>
                      <w:lang w:val="en-US" w:eastAsia="zh-CN"/>
                    </w:rPr>
                    <w:t>1</w:t>
                  </w:r>
                </w:p>
              </w:tc>
              <w:tc>
                <w:tcPr>
                  <w:tcW w:w="525" w:type="pct"/>
                  <w:vAlign w:val="center"/>
                </w:tcPr>
                <w:p w14:paraId="3610E8CC">
                  <w:pPr>
                    <w:autoSpaceDE w:val="0"/>
                    <w:autoSpaceDN w:val="0"/>
                    <w:adjustRightInd w:val="0"/>
                    <w:snapToGrid w:val="0"/>
                    <w:spacing w:line="240" w:lineRule="auto"/>
                    <w:jc w:val="center"/>
                    <w:rPr>
                      <w:rFonts w:hint="eastAsia"/>
                      <w:szCs w:val="21"/>
                      <w:lang w:val="en-US" w:eastAsia="zh-CN"/>
                    </w:rPr>
                  </w:pPr>
                  <w:r>
                    <w:rPr>
                      <w:rFonts w:hint="eastAsia"/>
                      <w:szCs w:val="21"/>
                      <w:lang w:val="en-US" w:eastAsia="zh-CN"/>
                    </w:rPr>
                    <w:t>34.4</w:t>
                  </w:r>
                  <w:r>
                    <w:rPr>
                      <w:rFonts w:hint="eastAsia"/>
                      <w:szCs w:val="21"/>
                    </w:rPr>
                    <w:t>m</w:t>
                  </w:r>
                  <w:r>
                    <w:rPr>
                      <w:rFonts w:hint="eastAsia"/>
                      <w:szCs w:val="21"/>
                      <w:vertAlign w:val="superscript"/>
                    </w:rPr>
                    <w:t>2</w:t>
                  </w:r>
                </w:p>
              </w:tc>
              <w:tc>
                <w:tcPr>
                  <w:tcW w:w="663" w:type="pct"/>
                  <w:vMerge w:val="restart"/>
                  <w:vAlign w:val="center"/>
                </w:tcPr>
                <w:p w14:paraId="7BB0FB38">
                  <w:pPr>
                    <w:autoSpaceDE w:val="0"/>
                    <w:autoSpaceDN w:val="0"/>
                    <w:adjustRightInd w:val="0"/>
                    <w:snapToGrid w:val="0"/>
                    <w:jc w:val="center"/>
                    <w:rPr>
                      <w:rFonts w:hint="default"/>
                      <w:szCs w:val="21"/>
                      <w:lang w:val="en-US" w:eastAsia="zh-CN"/>
                    </w:rPr>
                  </w:pPr>
                  <w:r>
                    <w:rPr>
                      <w:rFonts w:hint="eastAsia"/>
                      <w:szCs w:val="21"/>
                      <w:lang w:val="en-US" w:eastAsia="zh-CN"/>
                    </w:rPr>
                    <w:t>DA005</w:t>
                  </w:r>
                </w:p>
              </w:tc>
              <w:tc>
                <w:tcPr>
                  <w:tcW w:w="745" w:type="pct"/>
                  <w:vAlign w:val="center"/>
                </w:tcPr>
                <w:p w14:paraId="2F88C868">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restart"/>
                  <w:vAlign w:val="center"/>
                </w:tcPr>
                <w:p w14:paraId="710E48B4">
                  <w:pPr>
                    <w:autoSpaceDE w:val="0"/>
                    <w:autoSpaceDN w:val="0"/>
                    <w:adjustRightInd w:val="0"/>
                    <w:snapToGrid w:val="0"/>
                    <w:jc w:val="center"/>
                    <w:rPr>
                      <w:rFonts w:hint="default" w:eastAsia="宋体"/>
                      <w:szCs w:val="21"/>
                      <w:lang w:val="en-US" w:eastAsia="zh-CN"/>
                    </w:rPr>
                  </w:pPr>
                  <w:r>
                    <w:rPr>
                      <w:rFonts w:hint="eastAsia"/>
                      <w:szCs w:val="21"/>
                      <w:lang w:val="en-US" w:eastAsia="zh-CN"/>
                    </w:rPr>
                    <w:t>144400</w:t>
                  </w:r>
                </w:p>
              </w:tc>
            </w:tr>
            <w:tr w14:paraId="25BDA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5200B960">
                  <w:pPr>
                    <w:autoSpaceDE w:val="0"/>
                    <w:autoSpaceDN w:val="0"/>
                    <w:adjustRightInd w:val="0"/>
                    <w:snapToGrid w:val="0"/>
                    <w:jc w:val="center"/>
                    <w:rPr>
                      <w:rFonts w:hint="default" w:eastAsia="宋体"/>
                      <w:szCs w:val="21"/>
                      <w:lang w:val="en-US" w:eastAsia="zh-CN"/>
                    </w:rPr>
                  </w:pPr>
                </w:p>
              </w:tc>
              <w:tc>
                <w:tcPr>
                  <w:tcW w:w="901" w:type="pct"/>
                  <w:vAlign w:val="center"/>
                </w:tcPr>
                <w:p w14:paraId="6A908DD1">
                  <w:pPr>
                    <w:autoSpaceDE w:val="0"/>
                    <w:autoSpaceDN w:val="0"/>
                    <w:adjustRightInd w:val="0"/>
                    <w:snapToGrid w:val="0"/>
                    <w:jc w:val="center"/>
                    <w:rPr>
                      <w:rFonts w:hint="eastAsia"/>
                      <w:szCs w:val="21"/>
                      <w:lang w:val="en-US" w:eastAsia="zh-CN"/>
                    </w:rPr>
                  </w:pPr>
                  <w:r>
                    <w:rPr>
                      <w:rFonts w:hint="eastAsia"/>
                      <w:sz w:val="21"/>
                      <w:szCs w:val="21"/>
                      <w:lang w:val="en-US" w:eastAsia="zh-CN"/>
                    </w:rPr>
                    <w:t>底漆</w:t>
                  </w:r>
                  <w:r>
                    <w:rPr>
                      <w:rFonts w:hint="eastAsia"/>
                      <w:sz w:val="21"/>
                      <w:szCs w:val="21"/>
                    </w:rPr>
                    <w:t>喷</w:t>
                  </w:r>
                  <w:r>
                    <w:rPr>
                      <w:rFonts w:hint="eastAsia"/>
                      <w:sz w:val="21"/>
                      <w:szCs w:val="21"/>
                      <w:lang w:val="en-US" w:eastAsia="zh-CN"/>
                    </w:rPr>
                    <w:t>涂室</w:t>
                  </w:r>
                </w:p>
              </w:tc>
              <w:tc>
                <w:tcPr>
                  <w:tcW w:w="331" w:type="pct"/>
                  <w:vAlign w:val="center"/>
                </w:tcPr>
                <w:p w14:paraId="75E72926">
                  <w:pPr>
                    <w:autoSpaceDE w:val="0"/>
                    <w:autoSpaceDN w:val="0"/>
                    <w:adjustRightInd w:val="0"/>
                    <w:snapToGrid w:val="0"/>
                    <w:jc w:val="center"/>
                    <w:rPr>
                      <w:rFonts w:hint="default"/>
                      <w:szCs w:val="21"/>
                      <w:lang w:val="en-US" w:eastAsia="zh-CN"/>
                    </w:rPr>
                  </w:pPr>
                  <w:r>
                    <w:rPr>
                      <w:rFonts w:hint="eastAsia"/>
                      <w:szCs w:val="21"/>
                      <w:lang w:val="en-US" w:eastAsia="zh-CN"/>
                    </w:rPr>
                    <w:t>1</w:t>
                  </w:r>
                </w:p>
              </w:tc>
              <w:tc>
                <w:tcPr>
                  <w:tcW w:w="525" w:type="pct"/>
                  <w:vAlign w:val="center"/>
                </w:tcPr>
                <w:p w14:paraId="322B1CBC">
                  <w:pPr>
                    <w:autoSpaceDE w:val="0"/>
                    <w:autoSpaceDN w:val="0"/>
                    <w:adjustRightInd w:val="0"/>
                    <w:snapToGrid w:val="0"/>
                    <w:jc w:val="center"/>
                    <w:rPr>
                      <w:rFonts w:hint="eastAsia"/>
                      <w:szCs w:val="21"/>
                      <w:lang w:val="en-US" w:eastAsia="zh-CN"/>
                    </w:rPr>
                  </w:pPr>
                  <w:r>
                    <w:rPr>
                      <w:rFonts w:hint="eastAsia"/>
                      <w:szCs w:val="21"/>
                      <w:lang w:val="en-US" w:eastAsia="zh-CN"/>
                    </w:rPr>
                    <w:t>23.2</w:t>
                  </w:r>
                </w:p>
              </w:tc>
              <w:tc>
                <w:tcPr>
                  <w:tcW w:w="663" w:type="pct"/>
                  <w:vMerge w:val="continue"/>
                  <w:vAlign w:val="center"/>
                </w:tcPr>
                <w:p w14:paraId="2D3F429D">
                  <w:pPr>
                    <w:autoSpaceDE w:val="0"/>
                    <w:autoSpaceDN w:val="0"/>
                    <w:adjustRightInd w:val="0"/>
                    <w:snapToGrid w:val="0"/>
                    <w:jc w:val="center"/>
                    <w:rPr>
                      <w:rFonts w:hint="default"/>
                      <w:szCs w:val="21"/>
                      <w:lang w:val="en-US" w:eastAsia="zh-CN"/>
                    </w:rPr>
                  </w:pPr>
                </w:p>
              </w:tc>
              <w:tc>
                <w:tcPr>
                  <w:tcW w:w="745" w:type="pct"/>
                  <w:vAlign w:val="center"/>
                </w:tcPr>
                <w:p w14:paraId="5252E2FE">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2E1A95C6">
                  <w:pPr>
                    <w:autoSpaceDE w:val="0"/>
                    <w:autoSpaceDN w:val="0"/>
                    <w:adjustRightInd w:val="0"/>
                    <w:snapToGrid w:val="0"/>
                    <w:jc w:val="center"/>
                    <w:rPr>
                      <w:rFonts w:hint="default" w:eastAsia="宋体"/>
                      <w:szCs w:val="21"/>
                      <w:lang w:val="en-US" w:eastAsia="zh-CN"/>
                    </w:rPr>
                  </w:pPr>
                </w:p>
              </w:tc>
            </w:tr>
            <w:tr w14:paraId="1C11C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41674489">
                  <w:pPr>
                    <w:autoSpaceDE w:val="0"/>
                    <w:autoSpaceDN w:val="0"/>
                    <w:adjustRightInd w:val="0"/>
                    <w:snapToGrid w:val="0"/>
                    <w:jc w:val="center"/>
                    <w:rPr>
                      <w:rFonts w:hint="eastAsia"/>
                      <w:szCs w:val="21"/>
                    </w:rPr>
                  </w:pPr>
                </w:p>
              </w:tc>
              <w:tc>
                <w:tcPr>
                  <w:tcW w:w="901" w:type="pct"/>
                  <w:vAlign w:val="center"/>
                </w:tcPr>
                <w:p w14:paraId="54AF4178">
                  <w:pPr>
                    <w:autoSpaceDE w:val="0"/>
                    <w:autoSpaceDN w:val="0"/>
                    <w:adjustRightInd w:val="0"/>
                    <w:snapToGrid w:val="0"/>
                    <w:jc w:val="center"/>
                    <w:rPr>
                      <w:rFonts w:hint="eastAsia"/>
                      <w:szCs w:val="21"/>
                      <w:lang w:val="en-US" w:eastAsia="zh-CN"/>
                    </w:rPr>
                  </w:pPr>
                  <w:r>
                    <w:rPr>
                      <w:rFonts w:hint="eastAsia"/>
                      <w:sz w:val="21"/>
                      <w:szCs w:val="21"/>
                      <w:lang w:val="en-US" w:eastAsia="zh-CN"/>
                    </w:rPr>
                    <w:t>面漆</w:t>
                  </w:r>
                  <w:r>
                    <w:rPr>
                      <w:rFonts w:hint="eastAsia"/>
                      <w:sz w:val="21"/>
                      <w:szCs w:val="21"/>
                    </w:rPr>
                    <w:t>喷</w:t>
                  </w:r>
                  <w:r>
                    <w:rPr>
                      <w:rFonts w:hint="eastAsia"/>
                      <w:sz w:val="21"/>
                      <w:szCs w:val="21"/>
                      <w:lang w:val="en-US" w:eastAsia="zh-CN"/>
                    </w:rPr>
                    <w:t>涂室</w:t>
                  </w:r>
                </w:p>
              </w:tc>
              <w:tc>
                <w:tcPr>
                  <w:tcW w:w="331" w:type="pct"/>
                  <w:vAlign w:val="center"/>
                </w:tcPr>
                <w:p w14:paraId="3B5BD4B7">
                  <w:pPr>
                    <w:autoSpaceDE w:val="0"/>
                    <w:autoSpaceDN w:val="0"/>
                    <w:adjustRightInd w:val="0"/>
                    <w:snapToGrid w:val="0"/>
                    <w:jc w:val="center"/>
                    <w:rPr>
                      <w:rFonts w:hint="default"/>
                      <w:szCs w:val="21"/>
                      <w:lang w:val="en-US" w:eastAsia="zh-CN"/>
                    </w:rPr>
                  </w:pPr>
                  <w:r>
                    <w:rPr>
                      <w:rFonts w:hint="eastAsia"/>
                      <w:szCs w:val="21"/>
                      <w:lang w:val="en-US" w:eastAsia="zh-CN"/>
                    </w:rPr>
                    <w:t>2</w:t>
                  </w:r>
                </w:p>
              </w:tc>
              <w:tc>
                <w:tcPr>
                  <w:tcW w:w="525" w:type="pct"/>
                  <w:vAlign w:val="center"/>
                </w:tcPr>
                <w:p w14:paraId="1FBD9397">
                  <w:pPr>
                    <w:autoSpaceDE w:val="0"/>
                    <w:autoSpaceDN w:val="0"/>
                    <w:adjustRightInd w:val="0"/>
                    <w:snapToGrid w:val="0"/>
                    <w:jc w:val="center"/>
                    <w:rPr>
                      <w:rFonts w:hint="eastAsia"/>
                      <w:szCs w:val="21"/>
                      <w:lang w:val="en-US" w:eastAsia="zh-CN"/>
                    </w:rPr>
                  </w:pPr>
                  <w:r>
                    <w:rPr>
                      <w:rFonts w:hint="eastAsia"/>
                      <w:szCs w:val="21"/>
                      <w:lang w:val="en-US" w:eastAsia="zh-CN"/>
                    </w:rPr>
                    <w:t>23.2</w:t>
                  </w:r>
                </w:p>
              </w:tc>
              <w:tc>
                <w:tcPr>
                  <w:tcW w:w="663" w:type="pct"/>
                  <w:vMerge w:val="continue"/>
                  <w:vAlign w:val="center"/>
                </w:tcPr>
                <w:p w14:paraId="1795E280">
                  <w:pPr>
                    <w:autoSpaceDE w:val="0"/>
                    <w:autoSpaceDN w:val="0"/>
                    <w:adjustRightInd w:val="0"/>
                    <w:snapToGrid w:val="0"/>
                    <w:jc w:val="center"/>
                    <w:rPr>
                      <w:rFonts w:hint="eastAsia"/>
                      <w:szCs w:val="21"/>
                      <w:lang w:val="en-US" w:eastAsia="zh-CN"/>
                    </w:rPr>
                  </w:pPr>
                </w:p>
              </w:tc>
              <w:tc>
                <w:tcPr>
                  <w:tcW w:w="745" w:type="pct"/>
                  <w:vAlign w:val="center"/>
                </w:tcPr>
                <w:p w14:paraId="1EF4A93C">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2C44D837">
                  <w:pPr>
                    <w:autoSpaceDE w:val="0"/>
                    <w:autoSpaceDN w:val="0"/>
                    <w:adjustRightInd w:val="0"/>
                    <w:snapToGrid w:val="0"/>
                    <w:jc w:val="center"/>
                    <w:rPr>
                      <w:rFonts w:hint="eastAsia"/>
                      <w:szCs w:val="21"/>
                    </w:rPr>
                  </w:pPr>
                </w:p>
              </w:tc>
            </w:tr>
            <w:tr w14:paraId="69A91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320A854F">
                  <w:pPr>
                    <w:autoSpaceDE w:val="0"/>
                    <w:autoSpaceDN w:val="0"/>
                    <w:adjustRightInd w:val="0"/>
                    <w:snapToGrid w:val="0"/>
                    <w:jc w:val="center"/>
                    <w:rPr>
                      <w:rFonts w:hint="eastAsia"/>
                      <w:szCs w:val="21"/>
                    </w:rPr>
                  </w:pPr>
                </w:p>
              </w:tc>
              <w:tc>
                <w:tcPr>
                  <w:tcW w:w="901" w:type="pct"/>
                  <w:vAlign w:val="center"/>
                </w:tcPr>
                <w:p w14:paraId="7B3FF573">
                  <w:pPr>
                    <w:autoSpaceDE w:val="0"/>
                    <w:autoSpaceDN w:val="0"/>
                    <w:adjustRightInd w:val="0"/>
                    <w:snapToGrid w:val="0"/>
                    <w:jc w:val="center"/>
                    <w:rPr>
                      <w:rFonts w:hint="eastAsia"/>
                      <w:szCs w:val="21"/>
                      <w:lang w:val="en-US" w:eastAsia="zh-CN"/>
                    </w:rPr>
                  </w:pPr>
                  <w:r>
                    <w:rPr>
                      <w:rFonts w:hint="eastAsia"/>
                      <w:sz w:val="21"/>
                      <w:szCs w:val="21"/>
                      <w:lang w:val="en-US" w:eastAsia="zh-CN"/>
                    </w:rPr>
                    <w:t>清漆</w:t>
                  </w:r>
                  <w:r>
                    <w:rPr>
                      <w:rFonts w:hint="eastAsia"/>
                      <w:sz w:val="21"/>
                      <w:szCs w:val="21"/>
                    </w:rPr>
                    <w:t>喷</w:t>
                  </w:r>
                  <w:r>
                    <w:rPr>
                      <w:rFonts w:hint="eastAsia"/>
                      <w:sz w:val="21"/>
                      <w:szCs w:val="21"/>
                      <w:lang w:val="en-US" w:eastAsia="zh-CN"/>
                    </w:rPr>
                    <w:t>涂室</w:t>
                  </w:r>
                </w:p>
              </w:tc>
              <w:tc>
                <w:tcPr>
                  <w:tcW w:w="331" w:type="pct"/>
                  <w:vAlign w:val="center"/>
                </w:tcPr>
                <w:p w14:paraId="1FA4B57C">
                  <w:pPr>
                    <w:autoSpaceDE w:val="0"/>
                    <w:autoSpaceDN w:val="0"/>
                    <w:adjustRightInd w:val="0"/>
                    <w:snapToGrid w:val="0"/>
                    <w:jc w:val="center"/>
                    <w:rPr>
                      <w:rFonts w:hint="default"/>
                      <w:szCs w:val="21"/>
                      <w:lang w:val="en-US" w:eastAsia="zh-CN"/>
                    </w:rPr>
                  </w:pPr>
                  <w:r>
                    <w:rPr>
                      <w:rFonts w:hint="eastAsia"/>
                      <w:szCs w:val="21"/>
                      <w:lang w:val="en-US" w:eastAsia="zh-CN"/>
                    </w:rPr>
                    <w:t>2</w:t>
                  </w:r>
                </w:p>
              </w:tc>
              <w:tc>
                <w:tcPr>
                  <w:tcW w:w="525" w:type="pct"/>
                  <w:vAlign w:val="center"/>
                </w:tcPr>
                <w:p w14:paraId="1E9D2F90">
                  <w:pPr>
                    <w:autoSpaceDE w:val="0"/>
                    <w:autoSpaceDN w:val="0"/>
                    <w:adjustRightInd w:val="0"/>
                    <w:snapToGrid w:val="0"/>
                    <w:jc w:val="center"/>
                    <w:rPr>
                      <w:rFonts w:hint="eastAsia"/>
                      <w:szCs w:val="21"/>
                      <w:lang w:val="en-US" w:eastAsia="zh-CN"/>
                    </w:rPr>
                  </w:pPr>
                  <w:r>
                    <w:rPr>
                      <w:rFonts w:hint="eastAsia"/>
                      <w:szCs w:val="21"/>
                      <w:lang w:val="en-US" w:eastAsia="zh-CN"/>
                    </w:rPr>
                    <w:t>23.2</w:t>
                  </w:r>
                </w:p>
              </w:tc>
              <w:tc>
                <w:tcPr>
                  <w:tcW w:w="663" w:type="pct"/>
                  <w:vMerge w:val="continue"/>
                  <w:vAlign w:val="center"/>
                </w:tcPr>
                <w:p w14:paraId="55E99E22">
                  <w:pPr>
                    <w:autoSpaceDE w:val="0"/>
                    <w:autoSpaceDN w:val="0"/>
                    <w:adjustRightInd w:val="0"/>
                    <w:snapToGrid w:val="0"/>
                    <w:jc w:val="center"/>
                    <w:rPr>
                      <w:rFonts w:hint="eastAsia"/>
                      <w:szCs w:val="21"/>
                      <w:lang w:val="en-US" w:eastAsia="zh-CN"/>
                    </w:rPr>
                  </w:pPr>
                </w:p>
              </w:tc>
              <w:tc>
                <w:tcPr>
                  <w:tcW w:w="745" w:type="pct"/>
                  <w:vAlign w:val="center"/>
                </w:tcPr>
                <w:p w14:paraId="2241D3B9">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598BBA9B">
                  <w:pPr>
                    <w:autoSpaceDE w:val="0"/>
                    <w:autoSpaceDN w:val="0"/>
                    <w:adjustRightInd w:val="0"/>
                    <w:snapToGrid w:val="0"/>
                    <w:jc w:val="center"/>
                    <w:rPr>
                      <w:rFonts w:hint="eastAsia"/>
                      <w:szCs w:val="21"/>
                    </w:rPr>
                  </w:pPr>
                </w:p>
              </w:tc>
            </w:tr>
            <w:tr w14:paraId="289A3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423ED960">
                  <w:pPr>
                    <w:autoSpaceDE w:val="0"/>
                    <w:autoSpaceDN w:val="0"/>
                    <w:adjustRightInd w:val="0"/>
                    <w:snapToGrid w:val="0"/>
                    <w:jc w:val="center"/>
                    <w:rPr>
                      <w:rFonts w:hint="eastAsia"/>
                      <w:szCs w:val="21"/>
                    </w:rPr>
                  </w:pPr>
                </w:p>
              </w:tc>
              <w:tc>
                <w:tcPr>
                  <w:tcW w:w="901" w:type="pct"/>
                  <w:vAlign w:val="center"/>
                </w:tcPr>
                <w:p w14:paraId="2BB3642D">
                  <w:pPr>
                    <w:autoSpaceDE w:val="0"/>
                    <w:autoSpaceDN w:val="0"/>
                    <w:adjustRightInd w:val="0"/>
                    <w:snapToGrid w:val="0"/>
                    <w:jc w:val="center"/>
                    <w:rPr>
                      <w:rFonts w:hint="default"/>
                      <w:sz w:val="21"/>
                      <w:szCs w:val="21"/>
                      <w:lang w:val="en-US" w:eastAsia="zh-CN"/>
                    </w:rPr>
                  </w:pPr>
                  <w:r>
                    <w:rPr>
                      <w:rFonts w:hint="eastAsia"/>
                      <w:szCs w:val="21"/>
                      <w:lang w:val="en-US" w:eastAsia="zh-CN"/>
                    </w:rPr>
                    <w:t>调漆室</w:t>
                  </w:r>
                </w:p>
              </w:tc>
              <w:tc>
                <w:tcPr>
                  <w:tcW w:w="331" w:type="pct"/>
                  <w:vAlign w:val="center"/>
                </w:tcPr>
                <w:p w14:paraId="0909B099">
                  <w:pPr>
                    <w:autoSpaceDE w:val="0"/>
                    <w:autoSpaceDN w:val="0"/>
                    <w:adjustRightInd w:val="0"/>
                    <w:snapToGrid w:val="0"/>
                    <w:jc w:val="center"/>
                    <w:rPr>
                      <w:rFonts w:hint="default"/>
                      <w:szCs w:val="21"/>
                      <w:lang w:val="en-US" w:eastAsia="zh-CN"/>
                    </w:rPr>
                  </w:pPr>
                  <w:r>
                    <w:rPr>
                      <w:rFonts w:hint="eastAsia"/>
                      <w:szCs w:val="21"/>
                      <w:lang w:val="en-US" w:eastAsia="zh-CN"/>
                    </w:rPr>
                    <w:t>2</w:t>
                  </w:r>
                </w:p>
              </w:tc>
              <w:tc>
                <w:tcPr>
                  <w:tcW w:w="525" w:type="pct"/>
                  <w:vAlign w:val="center"/>
                </w:tcPr>
                <w:p w14:paraId="2C9DC30A">
                  <w:pPr>
                    <w:autoSpaceDE w:val="0"/>
                    <w:autoSpaceDN w:val="0"/>
                    <w:adjustRightInd w:val="0"/>
                    <w:snapToGrid w:val="0"/>
                    <w:jc w:val="center"/>
                    <w:rPr>
                      <w:rFonts w:hint="eastAsia"/>
                      <w:szCs w:val="21"/>
                      <w:lang w:val="en-US" w:eastAsia="zh-CN"/>
                    </w:rPr>
                  </w:pPr>
                  <w:r>
                    <w:rPr>
                      <w:rFonts w:hint="eastAsia"/>
                      <w:szCs w:val="21"/>
                      <w:lang w:val="en-US" w:eastAsia="zh-CN"/>
                    </w:rPr>
                    <w:t>14.5</w:t>
                  </w:r>
                </w:p>
              </w:tc>
              <w:tc>
                <w:tcPr>
                  <w:tcW w:w="663" w:type="pct"/>
                  <w:vMerge w:val="continue"/>
                  <w:vAlign w:val="center"/>
                </w:tcPr>
                <w:p w14:paraId="19D8CBC5">
                  <w:pPr>
                    <w:autoSpaceDE w:val="0"/>
                    <w:autoSpaceDN w:val="0"/>
                    <w:adjustRightInd w:val="0"/>
                    <w:snapToGrid w:val="0"/>
                    <w:jc w:val="center"/>
                    <w:rPr>
                      <w:rFonts w:hint="eastAsia"/>
                      <w:szCs w:val="21"/>
                      <w:lang w:val="en-US" w:eastAsia="zh-CN"/>
                    </w:rPr>
                  </w:pPr>
                </w:p>
              </w:tc>
              <w:tc>
                <w:tcPr>
                  <w:tcW w:w="745" w:type="pct"/>
                  <w:vAlign w:val="center"/>
                </w:tcPr>
                <w:p w14:paraId="54B06EFD">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49569AAA">
                  <w:pPr>
                    <w:autoSpaceDE w:val="0"/>
                    <w:autoSpaceDN w:val="0"/>
                    <w:adjustRightInd w:val="0"/>
                    <w:snapToGrid w:val="0"/>
                    <w:jc w:val="center"/>
                    <w:rPr>
                      <w:rFonts w:hint="eastAsia"/>
                      <w:szCs w:val="21"/>
                    </w:rPr>
                  </w:pPr>
                </w:p>
              </w:tc>
            </w:tr>
            <w:tr w14:paraId="28CE3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006B1BA4">
                  <w:pPr>
                    <w:autoSpaceDE w:val="0"/>
                    <w:autoSpaceDN w:val="0"/>
                    <w:adjustRightInd w:val="0"/>
                    <w:snapToGrid w:val="0"/>
                    <w:jc w:val="center"/>
                    <w:rPr>
                      <w:rFonts w:hint="eastAsia"/>
                      <w:szCs w:val="21"/>
                    </w:rPr>
                  </w:pPr>
                </w:p>
              </w:tc>
              <w:tc>
                <w:tcPr>
                  <w:tcW w:w="901" w:type="pct"/>
                  <w:vAlign w:val="center"/>
                </w:tcPr>
                <w:p w14:paraId="1A2D5506">
                  <w:pPr>
                    <w:autoSpaceDE w:val="0"/>
                    <w:autoSpaceDN w:val="0"/>
                    <w:adjustRightInd w:val="0"/>
                    <w:snapToGrid w:val="0"/>
                    <w:jc w:val="center"/>
                    <w:rPr>
                      <w:rFonts w:hint="eastAsia"/>
                      <w:sz w:val="21"/>
                      <w:szCs w:val="21"/>
                      <w:lang w:val="en-US" w:eastAsia="zh-CN"/>
                    </w:rPr>
                  </w:pPr>
                  <w:r>
                    <w:rPr>
                      <w:rFonts w:hint="eastAsia"/>
                      <w:szCs w:val="21"/>
                      <w:lang w:val="en-US" w:eastAsia="zh-CN"/>
                    </w:rPr>
                    <w:t>流平室</w:t>
                  </w:r>
                </w:p>
              </w:tc>
              <w:tc>
                <w:tcPr>
                  <w:tcW w:w="331" w:type="pct"/>
                  <w:vAlign w:val="center"/>
                </w:tcPr>
                <w:p w14:paraId="0315490D">
                  <w:pPr>
                    <w:autoSpaceDE w:val="0"/>
                    <w:autoSpaceDN w:val="0"/>
                    <w:adjustRightInd w:val="0"/>
                    <w:snapToGrid w:val="0"/>
                    <w:jc w:val="center"/>
                    <w:rPr>
                      <w:rFonts w:hint="default"/>
                      <w:szCs w:val="21"/>
                      <w:lang w:val="en-US" w:eastAsia="zh-CN"/>
                    </w:rPr>
                  </w:pPr>
                  <w:r>
                    <w:rPr>
                      <w:rFonts w:hint="eastAsia"/>
                      <w:szCs w:val="21"/>
                      <w:lang w:val="en-US" w:eastAsia="zh-CN"/>
                    </w:rPr>
                    <w:t>1</w:t>
                  </w:r>
                </w:p>
              </w:tc>
              <w:tc>
                <w:tcPr>
                  <w:tcW w:w="525" w:type="pct"/>
                  <w:vAlign w:val="center"/>
                </w:tcPr>
                <w:p w14:paraId="6FA7EEF3">
                  <w:pPr>
                    <w:autoSpaceDE w:val="0"/>
                    <w:autoSpaceDN w:val="0"/>
                    <w:adjustRightInd w:val="0"/>
                    <w:snapToGrid w:val="0"/>
                    <w:jc w:val="center"/>
                    <w:rPr>
                      <w:rFonts w:hint="eastAsia"/>
                      <w:szCs w:val="21"/>
                      <w:lang w:val="en-US" w:eastAsia="zh-CN"/>
                    </w:rPr>
                  </w:pPr>
                  <w:r>
                    <w:rPr>
                      <w:rFonts w:hint="eastAsia"/>
                      <w:szCs w:val="21"/>
                      <w:lang w:val="en-US" w:eastAsia="zh-CN"/>
                    </w:rPr>
                    <w:t>17.5</w:t>
                  </w:r>
                </w:p>
              </w:tc>
              <w:tc>
                <w:tcPr>
                  <w:tcW w:w="663" w:type="pct"/>
                  <w:vMerge w:val="continue"/>
                  <w:vAlign w:val="center"/>
                </w:tcPr>
                <w:p w14:paraId="7F2D6090">
                  <w:pPr>
                    <w:autoSpaceDE w:val="0"/>
                    <w:autoSpaceDN w:val="0"/>
                    <w:adjustRightInd w:val="0"/>
                    <w:snapToGrid w:val="0"/>
                    <w:jc w:val="center"/>
                    <w:rPr>
                      <w:rFonts w:hint="eastAsia"/>
                      <w:szCs w:val="21"/>
                      <w:lang w:val="en-US" w:eastAsia="zh-CN"/>
                    </w:rPr>
                  </w:pPr>
                </w:p>
              </w:tc>
              <w:tc>
                <w:tcPr>
                  <w:tcW w:w="745" w:type="pct"/>
                  <w:vAlign w:val="center"/>
                </w:tcPr>
                <w:p w14:paraId="14A4EF28">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177A2749">
                  <w:pPr>
                    <w:autoSpaceDE w:val="0"/>
                    <w:autoSpaceDN w:val="0"/>
                    <w:adjustRightInd w:val="0"/>
                    <w:snapToGrid w:val="0"/>
                    <w:jc w:val="center"/>
                    <w:rPr>
                      <w:rFonts w:hint="eastAsia"/>
                      <w:szCs w:val="21"/>
                    </w:rPr>
                  </w:pPr>
                </w:p>
              </w:tc>
            </w:tr>
            <w:tr w14:paraId="03507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6F8E56C4">
                  <w:pPr>
                    <w:autoSpaceDE w:val="0"/>
                    <w:autoSpaceDN w:val="0"/>
                    <w:adjustRightInd w:val="0"/>
                    <w:snapToGrid w:val="0"/>
                    <w:jc w:val="center"/>
                    <w:rPr>
                      <w:rFonts w:hint="eastAsia"/>
                      <w:szCs w:val="21"/>
                    </w:rPr>
                  </w:pPr>
                </w:p>
              </w:tc>
              <w:tc>
                <w:tcPr>
                  <w:tcW w:w="901" w:type="pct"/>
                  <w:vAlign w:val="center"/>
                </w:tcPr>
                <w:p w14:paraId="2069C70A">
                  <w:pPr>
                    <w:autoSpaceDE w:val="0"/>
                    <w:autoSpaceDN w:val="0"/>
                    <w:adjustRightInd w:val="0"/>
                    <w:snapToGrid w:val="0"/>
                    <w:jc w:val="center"/>
                    <w:rPr>
                      <w:rFonts w:hint="eastAsia"/>
                      <w:sz w:val="21"/>
                      <w:szCs w:val="21"/>
                      <w:lang w:val="en-US" w:eastAsia="zh-CN"/>
                    </w:rPr>
                  </w:pPr>
                  <w:r>
                    <w:rPr>
                      <w:rFonts w:hint="eastAsia"/>
                      <w:lang w:val="en-US" w:eastAsia="zh-CN"/>
                    </w:rPr>
                    <w:t>烘干通道</w:t>
                  </w:r>
                </w:p>
              </w:tc>
              <w:tc>
                <w:tcPr>
                  <w:tcW w:w="331" w:type="pct"/>
                  <w:vAlign w:val="center"/>
                </w:tcPr>
                <w:p w14:paraId="1DBE37E6">
                  <w:pPr>
                    <w:autoSpaceDE w:val="0"/>
                    <w:autoSpaceDN w:val="0"/>
                    <w:adjustRightInd w:val="0"/>
                    <w:snapToGrid w:val="0"/>
                    <w:jc w:val="center"/>
                    <w:rPr>
                      <w:rFonts w:hint="default"/>
                      <w:szCs w:val="21"/>
                      <w:lang w:val="en-US" w:eastAsia="zh-CN"/>
                    </w:rPr>
                  </w:pPr>
                  <w:r>
                    <w:rPr>
                      <w:rFonts w:hint="eastAsia"/>
                      <w:szCs w:val="21"/>
                      <w:lang w:val="en-US" w:eastAsia="zh-CN"/>
                    </w:rPr>
                    <w:t>1</w:t>
                  </w:r>
                </w:p>
              </w:tc>
              <w:tc>
                <w:tcPr>
                  <w:tcW w:w="525" w:type="pct"/>
                  <w:vAlign w:val="center"/>
                </w:tcPr>
                <w:p w14:paraId="2B59EF32">
                  <w:pPr>
                    <w:autoSpaceDE w:val="0"/>
                    <w:autoSpaceDN w:val="0"/>
                    <w:adjustRightInd w:val="0"/>
                    <w:snapToGrid w:val="0"/>
                    <w:jc w:val="center"/>
                    <w:rPr>
                      <w:rFonts w:hint="eastAsia"/>
                      <w:szCs w:val="21"/>
                      <w:lang w:val="en-US" w:eastAsia="zh-CN"/>
                    </w:rPr>
                  </w:pPr>
                  <w:r>
                    <w:rPr>
                      <w:rFonts w:hint="eastAsia"/>
                      <w:szCs w:val="21"/>
                      <w:lang w:val="en-US" w:eastAsia="zh-CN"/>
                    </w:rPr>
                    <w:t>37.5</w:t>
                  </w:r>
                </w:p>
              </w:tc>
              <w:tc>
                <w:tcPr>
                  <w:tcW w:w="663" w:type="pct"/>
                  <w:vMerge w:val="continue"/>
                  <w:vAlign w:val="center"/>
                </w:tcPr>
                <w:p w14:paraId="2E155269">
                  <w:pPr>
                    <w:autoSpaceDE w:val="0"/>
                    <w:autoSpaceDN w:val="0"/>
                    <w:adjustRightInd w:val="0"/>
                    <w:snapToGrid w:val="0"/>
                    <w:jc w:val="center"/>
                    <w:rPr>
                      <w:rFonts w:hint="eastAsia"/>
                      <w:szCs w:val="21"/>
                      <w:lang w:val="en-US" w:eastAsia="zh-CN"/>
                    </w:rPr>
                  </w:pPr>
                </w:p>
              </w:tc>
              <w:tc>
                <w:tcPr>
                  <w:tcW w:w="745" w:type="pct"/>
                  <w:vAlign w:val="center"/>
                </w:tcPr>
                <w:p w14:paraId="2BDC855F">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2D5DCA7F">
                  <w:pPr>
                    <w:autoSpaceDE w:val="0"/>
                    <w:autoSpaceDN w:val="0"/>
                    <w:adjustRightInd w:val="0"/>
                    <w:snapToGrid w:val="0"/>
                    <w:jc w:val="center"/>
                    <w:rPr>
                      <w:rFonts w:hint="eastAsia"/>
                      <w:szCs w:val="21"/>
                    </w:rPr>
                  </w:pPr>
                </w:p>
              </w:tc>
            </w:tr>
            <w:tr w14:paraId="61CAA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restart"/>
                  <w:vAlign w:val="center"/>
                </w:tcPr>
                <w:p w14:paraId="01C9A7B1">
                  <w:pPr>
                    <w:autoSpaceDE w:val="0"/>
                    <w:autoSpaceDN w:val="0"/>
                    <w:adjustRightInd w:val="0"/>
                    <w:snapToGrid w:val="0"/>
                    <w:jc w:val="center"/>
                    <w:rPr>
                      <w:rFonts w:hint="eastAsia"/>
                      <w:szCs w:val="21"/>
                    </w:rPr>
                  </w:pPr>
                  <w:r>
                    <w:rPr>
                      <w:rFonts w:hint="eastAsia"/>
                      <w:szCs w:val="21"/>
                      <w:lang w:val="en-US" w:eastAsia="zh-CN"/>
                    </w:rPr>
                    <w:t>3#喷涂生产线</w:t>
                  </w:r>
                </w:p>
              </w:tc>
              <w:tc>
                <w:tcPr>
                  <w:tcW w:w="901" w:type="pct"/>
                  <w:vAlign w:val="center"/>
                </w:tcPr>
                <w:p w14:paraId="175A5306">
                  <w:pPr>
                    <w:autoSpaceDE w:val="0"/>
                    <w:autoSpaceDN w:val="0"/>
                    <w:adjustRightInd w:val="0"/>
                    <w:snapToGrid w:val="0"/>
                    <w:jc w:val="center"/>
                    <w:rPr>
                      <w:rFonts w:hint="default"/>
                      <w:szCs w:val="21"/>
                      <w:lang w:val="en-US" w:eastAsia="zh-CN"/>
                    </w:rPr>
                  </w:pPr>
                  <w:r>
                    <w:rPr>
                      <w:rFonts w:hint="eastAsia"/>
                      <w:szCs w:val="21"/>
                      <w:lang w:val="en-US" w:eastAsia="zh-CN"/>
                    </w:rPr>
                    <w:t>喷漆室</w:t>
                  </w:r>
                </w:p>
              </w:tc>
              <w:tc>
                <w:tcPr>
                  <w:tcW w:w="331" w:type="pct"/>
                  <w:vAlign w:val="center"/>
                </w:tcPr>
                <w:p w14:paraId="377E97DC">
                  <w:pPr>
                    <w:autoSpaceDE w:val="0"/>
                    <w:autoSpaceDN w:val="0"/>
                    <w:adjustRightInd w:val="0"/>
                    <w:snapToGrid w:val="0"/>
                    <w:jc w:val="center"/>
                    <w:rPr>
                      <w:rFonts w:hint="default"/>
                      <w:szCs w:val="21"/>
                      <w:lang w:val="en-US" w:eastAsia="zh-CN"/>
                    </w:rPr>
                  </w:pPr>
                  <w:r>
                    <w:rPr>
                      <w:rFonts w:hint="eastAsia"/>
                      <w:szCs w:val="21"/>
                      <w:lang w:val="en-US" w:eastAsia="zh-CN"/>
                    </w:rPr>
                    <w:t>3</w:t>
                  </w:r>
                </w:p>
              </w:tc>
              <w:tc>
                <w:tcPr>
                  <w:tcW w:w="525" w:type="pct"/>
                  <w:vAlign w:val="center"/>
                </w:tcPr>
                <w:p w14:paraId="4F25379D">
                  <w:pPr>
                    <w:autoSpaceDE w:val="0"/>
                    <w:autoSpaceDN w:val="0"/>
                    <w:adjustRightInd w:val="0"/>
                    <w:snapToGrid w:val="0"/>
                    <w:jc w:val="center"/>
                    <w:rPr>
                      <w:rFonts w:hint="eastAsia"/>
                      <w:szCs w:val="21"/>
                      <w:lang w:val="en-US" w:eastAsia="zh-CN"/>
                    </w:rPr>
                  </w:pPr>
                  <w:r>
                    <w:rPr>
                      <w:rFonts w:hint="eastAsia"/>
                      <w:szCs w:val="21"/>
                      <w:lang w:val="en-US" w:eastAsia="zh-CN"/>
                    </w:rPr>
                    <w:t>23.2</w:t>
                  </w:r>
                </w:p>
              </w:tc>
              <w:tc>
                <w:tcPr>
                  <w:tcW w:w="663" w:type="pct"/>
                  <w:vMerge w:val="restart"/>
                  <w:vAlign w:val="center"/>
                </w:tcPr>
                <w:p w14:paraId="72E7AFD2">
                  <w:pPr>
                    <w:autoSpaceDE w:val="0"/>
                    <w:autoSpaceDN w:val="0"/>
                    <w:adjustRightInd w:val="0"/>
                    <w:snapToGrid w:val="0"/>
                    <w:jc w:val="center"/>
                    <w:rPr>
                      <w:rFonts w:hint="eastAsia"/>
                      <w:szCs w:val="21"/>
                      <w:lang w:val="en-US" w:eastAsia="zh-CN"/>
                    </w:rPr>
                  </w:pPr>
                  <w:r>
                    <w:rPr>
                      <w:rFonts w:hint="eastAsia"/>
                      <w:szCs w:val="21"/>
                      <w:lang w:val="en-US" w:eastAsia="zh-CN"/>
                    </w:rPr>
                    <w:t>DA006</w:t>
                  </w:r>
                </w:p>
              </w:tc>
              <w:tc>
                <w:tcPr>
                  <w:tcW w:w="745" w:type="pct"/>
                  <w:vAlign w:val="center"/>
                </w:tcPr>
                <w:p w14:paraId="45D894DD">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restart"/>
                  <w:vAlign w:val="center"/>
                </w:tcPr>
                <w:p w14:paraId="1C8D15BE">
                  <w:pPr>
                    <w:autoSpaceDE w:val="0"/>
                    <w:autoSpaceDN w:val="0"/>
                    <w:adjustRightInd w:val="0"/>
                    <w:snapToGrid w:val="0"/>
                    <w:jc w:val="center"/>
                    <w:rPr>
                      <w:rFonts w:hint="default" w:eastAsia="宋体"/>
                      <w:szCs w:val="21"/>
                      <w:lang w:val="en-US" w:eastAsia="zh-CN"/>
                    </w:rPr>
                  </w:pPr>
                  <w:r>
                    <w:rPr>
                      <w:rFonts w:hint="eastAsia"/>
                      <w:szCs w:val="21"/>
                      <w:lang w:val="en-US" w:eastAsia="zh-CN"/>
                    </w:rPr>
                    <w:t>75800</w:t>
                  </w:r>
                </w:p>
              </w:tc>
            </w:tr>
            <w:tr w14:paraId="6C064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20D1E767">
                  <w:pPr>
                    <w:autoSpaceDE w:val="0"/>
                    <w:autoSpaceDN w:val="0"/>
                    <w:adjustRightInd w:val="0"/>
                    <w:snapToGrid w:val="0"/>
                    <w:jc w:val="center"/>
                    <w:rPr>
                      <w:rFonts w:hint="eastAsia"/>
                      <w:szCs w:val="21"/>
                    </w:rPr>
                  </w:pPr>
                </w:p>
              </w:tc>
              <w:tc>
                <w:tcPr>
                  <w:tcW w:w="901" w:type="pct"/>
                  <w:vAlign w:val="center"/>
                </w:tcPr>
                <w:p w14:paraId="6097D49B">
                  <w:pPr>
                    <w:autoSpaceDE w:val="0"/>
                    <w:autoSpaceDN w:val="0"/>
                    <w:adjustRightInd w:val="0"/>
                    <w:snapToGrid w:val="0"/>
                    <w:jc w:val="center"/>
                    <w:rPr>
                      <w:rFonts w:hint="eastAsia"/>
                      <w:szCs w:val="21"/>
                      <w:lang w:val="en-US" w:eastAsia="zh-CN"/>
                    </w:rPr>
                  </w:pPr>
                  <w:r>
                    <w:rPr>
                      <w:rFonts w:hint="eastAsia"/>
                      <w:szCs w:val="21"/>
                      <w:lang w:val="en-US" w:eastAsia="zh-CN"/>
                    </w:rPr>
                    <w:t>流平室</w:t>
                  </w:r>
                </w:p>
              </w:tc>
              <w:tc>
                <w:tcPr>
                  <w:tcW w:w="331" w:type="pct"/>
                  <w:vAlign w:val="center"/>
                </w:tcPr>
                <w:p w14:paraId="5032CA4D">
                  <w:pPr>
                    <w:autoSpaceDE w:val="0"/>
                    <w:autoSpaceDN w:val="0"/>
                    <w:adjustRightInd w:val="0"/>
                    <w:snapToGrid w:val="0"/>
                    <w:jc w:val="center"/>
                    <w:rPr>
                      <w:rFonts w:hint="default"/>
                      <w:szCs w:val="21"/>
                      <w:lang w:val="en-US" w:eastAsia="zh-CN"/>
                    </w:rPr>
                  </w:pPr>
                  <w:r>
                    <w:rPr>
                      <w:rFonts w:hint="eastAsia"/>
                      <w:szCs w:val="21"/>
                      <w:lang w:val="en-US" w:eastAsia="zh-CN"/>
                    </w:rPr>
                    <w:t>1</w:t>
                  </w:r>
                </w:p>
              </w:tc>
              <w:tc>
                <w:tcPr>
                  <w:tcW w:w="525" w:type="pct"/>
                  <w:vAlign w:val="center"/>
                </w:tcPr>
                <w:p w14:paraId="0F4E097E">
                  <w:pPr>
                    <w:autoSpaceDE w:val="0"/>
                    <w:autoSpaceDN w:val="0"/>
                    <w:adjustRightInd w:val="0"/>
                    <w:snapToGrid w:val="0"/>
                    <w:jc w:val="center"/>
                    <w:rPr>
                      <w:rFonts w:hint="eastAsia"/>
                      <w:szCs w:val="21"/>
                      <w:lang w:val="en-US" w:eastAsia="zh-CN"/>
                    </w:rPr>
                  </w:pPr>
                  <w:r>
                    <w:rPr>
                      <w:rFonts w:hint="eastAsia"/>
                      <w:szCs w:val="21"/>
                      <w:lang w:val="en-US" w:eastAsia="zh-CN"/>
                    </w:rPr>
                    <w:t>17.5</w:t>
                  </w:r>
                </w:p>
              </w:tc>
              <w:tc>
                <w:tcPr>
                  <w:tcW w:w="663" w:type="pct"/>
                  <w:vMerge w:val="continue"/>
                  <w:vAlign w:val="center"/>
                </w:tcPr>
                <w:p w14:paraId="691E95B3">
                  <w:pPr>
                    <w:autoSpaceDE w:val="0"/>
                    <w:autoSpaceDN w:val="0"/>
                    <w:adjustRightInd w:val="0"/>
                    <w:snapToGrid w:val="0"/>
                    <w:jc w:val="center"/>
                    <w:rPr>
                      <w:rFonts w:hint="eastAsia"/>
                      <w:szCs w:val="21"/>
                      <w:lang w:val="en-US" w:eastAsia="zh-CN"/>
                    </w:rPr>
                  </w:pPr>
                </w:p>
              </w:tc>
              <w:tc>
                <w:tcPr>
                  <w:tcW w:w="745" w:type="pct"/>
                  <w:vAlign w:val="center"/>
                </w:tcPr>
                <w:p w14:paraId="6963E1CB">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6B38AEA5">
                  <w:pPr>
                    <w:autoSpaceDE w:val="0"/>
                    <w:autoSpaceDN w:val="0"/>
                    <w:adjustRightInd w:val="0"/>
                    <w:snapToGrid w:val="0"/>
                    <w:jc w:val="center"/>
                    <w:rPr>
                      <w:rFonts w:hint="eastAsia"/>
                      <w:szCs w:val="21"/>
                    </w:rPr>
                  </w:pPr>
                </w:p>
              </w:tc>
            </w:tr>
            <w:tr w14:paraId="02814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325A8E72">
                  <w:pPr>
                    <w:autoSpaceDE w:val="0"/>
                    <w:autoSpaceDN w:val="0"/>
                    <w:adjustRightInd w:val="0"/>
                    <w:snapToGrid w:val="0"/>
                    <w:jc w:val="center"/>
                    <w:rPr>
                      <w:rFonts w:hint="eastAsia"/>
                      <w:szCs w:val="21"/>
                    </w:rPr>
                  </w:pPr>
                </w:p>
              </w:tc>
              <w:tc>
                <w:tcPr>
                  <w:tcW w:w="901" w:type="pct"/>
                  <w:vAlign w:val="center"/>
                </w:tcPr>
                <w:p w14:paraId="385D7EEF">
                  <w:pPr>
                    <w:autoSpaceDE w:val="0"/>
                    <w:autoSpaceDN w:val="0"/>
                    <w:adjustRightInd w:val="0"/>
                    <w:snapToGrid w:val="0"/>
                    <w:jc w:val="center"/>
                    <w:rPr>
                      <w:rFonts w:hint="eastAsia"/>
                      <w:szCs w:val="21"/>
                      <w:lang w:val="en-US" w:eastAsia="zh-CN"/>
                    </w:rPr>
                  </w:pPr>
                  <w:r>
                    <w:rPr>
                      <w:rFonts w:hint="eastAsia"/>
                      <w:lang w:val="en-US" w:eastAsia="zh-CN"/>
                    </w:rPr>
                    <w:t>烘干通道</w:t>
                  </w:r>
                </w:p>
              </w:tc>
              <w:tc>
                <w:tcPr>
                  <w:tcW w:w="331" w:type="pct"/>
                  <w:vAlign w:val="center"/>
                </w:tcPr>
                <w:p w14:paraId="3564F9C4">
                  <w:pPr>
                    <w:autoSpaceDE w:val="0"/>
                    <w:autoSpaceDN w:val="0"/>
                    <w:adjustRightInd w:val="0"/>
                    <w:snapToGrid w:val="0"/>
                    <w:jc w:val="center"/>
                    <w:rPr>
                      <w:rFonts w:hint="default"/>
                      <w:szCs w:val="21"/>
                      <w:lang w:val="en-US" w:eastAsia="zh-CN"/>
                    </w:rPr>
                  </w:pPr>
                  <w:r>
                    <w:rPr>
                      <w:rFonts w:hint="eastAsia"/>
                      <w:szCs w:val="21"/>
                      <w:lang w:val="en-US" w:eastAsia="zh-CN"/>
                    </w:rPr>
                    <w:t>1</w:t>
                  </w:r>
                </w:p>
              </w:tc>
              <w:tc>
                <w:tcPr>
                  <w:tcW w:w="525" w:type="pct"/>
                  <w:vAlign w:val="center"/>
                </w:tcPr>
                <w:p w14:paraId="061502BC">
                  <w:pPr>
                    <w:autoSpaceDE w:val="0"/>
                    <w:autoSpaceDN w:val="0"/>
                    <w:adjustRightInd w:val="0"/>
                    <w:snapToGrid w:val="0"/>
                    <w:jc w:val="center"/>
                    <w:rPr>
                      <w:rFonts w:hint="eastAsia"/>
                      <w:szCs w:val="21"/>
                      <w:lang w:val="en-US" w:eastAsia="zh-CN"/>
                    </w:rPr>
                  </w:pPr>
                  <w:r>
                    <w:rPr>
                      <w:rFonts w:hint="eastAsia"/>
                      <w:szCs w:val="21"/>
                      <w:lang w:val="en-US" w:eastAsia="zh-CN"/>
                    </w:rPr>
                    <w:t>37.5</w:t>
                  </w:r>
                </w:p>
              </w:tc>
              <w:tc>
                <w:tcPr>
                  <w:tcW w:w="663" w:type="pct"/>
                  <w:vMerge w:val="continue"/>
                  <w:vAlign w:val="center"/>
                </w:tcPr>
                <w:p w14:paraId="5D45E769">
                  <w:pPr>
                    <w:autoSpaceDE w:val="0"/>
                    <w:autoSpaceDN w:val="0"/>
                    <w:adjustRightInd w:val="0"/>
                    <w:snapToGrid w:val="0"/>
                    <w:jc w:val="center"/>
                    <w:rPr>
                      <w:rFonts w:hint="eastAsia"/>
                      <w:szCs w:val="21"/>
                      <w:lang w:val="en-US" w:eastAsia="zh-CN"/>
                    </w:rPr>
                  </w:pPr>
                </w:p>
              </w:tc>
              <w:tc>
                <w:tcPr>
                  <w:tcW w:w="745" w:type="pct"/>
                  <w:vAlign w:val="center"/>
                </w:tcPr>
                <w:p w14:paraId="6317B5C4">
                  <w:pPr>
                    <w:autoSpaceDE w:val="0"/>
                    <w:autoSpaceDN w:val="0"/>
                    <w:adjustRightInd w:val="0"/>
                    <w:snapToGrid w:val="0"/>
                    <w:jc w:val="center"/>
                    <w:rPr>
                      <w:rFonts w:hint="eastAsia"/>
                      <w:szCs w:val="21"/>
                    </w:rPr>
                  </w:pPr>
                  <w:r>
                    <w:rPr>
                      <w:rFonts w:hint="eastAsia"/>
                      <w:szCs w:val="21"/>
                    </w:rPr>
                    <w:t>封闭</w:t>
                  </w:r>
                  <w:r>
                    <w:rPr>
                      <w:rFonts w:hint="eastAsia"/>
                      <w:szCs w:val="21"/>
                      <w:lang w:val="en-US" w:eastAsia="zh-CN"/>
                    </w:rPr>
                    <w:t>负压</w:t>
                  </w:r>
                </w:p>
              </w:tc>
              <w:tc>
                <w:tcPr>
                  <w:tcW w:w="1132" w:type="pct"/>
                  <w:vMerge w:val="continue"/>
                  <w:vAlign w:val="center"/>
                </w:tcPr>
                <w:p w14:paraId="1809D44E">
                  <w:pPr>
                    <w:autoSpaceDE w:val="0"/>
                    <w:autoSpaceDN w:val="0"/>
                    <w:adjustRightInd w:val="0"/>
                    <w:snapToGrid w:val="0"/>
                    <w:jc w:val="center"/>
                    <w:rPr>
                      <w:rFonts w:hint="eastAsia"/>
                      <w:szCs w:val="21"/>
                    </w:rPr>
                  </w:pPr>
                </w:p>
              </w:tc>
            </w:tr>
            <w:tr w14:paraId="43275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restart"/>
                  <w:vAlign w:val="center"/>
                </w:tcPr>
                <w:p w14:paraId="45A7ABA6">
                  <w:pPr>
                    <w:autoSpaceDE w:val="0"/>
                    <w:autoSpaceDN w:val="0"/>
                    <w:adjustRightInd w:val="0"/>
                    <w:snapToGrid w:val="0"/>
                    <w:jc w:val="center"/>
                    <w:rPr>
                      <w:szCs w:val="21"/>
                    </w:rPr>
                  </w:pPr>
                  <w:r>
                    <w:rPr>
                      <w:rFonts w:hint="eastAsia"/>
                      <w:szCs w:val="21"/>
                      <w:lang w:val="en-US" w:eastAsia="zh-CN"/>
                    </w:rPr>
                    <w:t>4#喷涂生产线</w:t>
                  </w:r>
                </w:p>
              </w:tc>
              <w:tc>
                <w:tcPr>
                  <w:tcW w:w="901" w:type="pct"/>
                  <w:vAlign w:val="center"/>
                </w:tcPr>
                <w:p w14:paraId="3105ED30">
                  <w:pPr>
                    <w:autoSpaceDE w:val="0"/>
                    <w:autoSpaceDN w:val="0"/>
                    <w:adjustRightInd w:val="0"/>
                    <w:snapToGrid w:val="0"/>
                    <w:jc w:val="center"/>
                    <w:rPr>
                      <w:rFonts w:hint="eastAsia" w:eastAsia="宋体"/>
                      <w:szCs w:val="21"/>
                      <w:lang w:eastAsia="zh-CN"/>
                    </w:rPr>
                  </w:pPr>
                  <w:r>
                    <w:rPr>
                      <w:rFonts w:hint="eastAsia"/>
                      <w:szCs w:val="21"/>
                      <w:lang w:val="en-US" w:eastAsia="zh-CN"/>
                    </w:rPr>
                    <w:t>喷漆室</w:t>
                  </w:r>
                </w:p>
              </w:tc>
              <w:tc>
                <w:tcPr>
                  <w:tcW w:w="331" w:type="pct"/>
                  <w:vAlign w:val="center"/>
                </w:tcPr>
                <w:p w14:paraId="66691A82">
                  <w:pPr>
                    <w:autoSpaceDE w:val="0"/>
                    <w:autoSpaceDN w:val="0"/>
                    <w:adjustRightInd w:val="0"/>
                    <w:snapToGrid w:val="0"/>
                    <w:jc w:val="center"/>
                    <w:rPr>
                      <w:rFonts w:hint="eastAsia" w:eastAsia="宋体"/>
                      <w:szCs w:val="21"/>
                      <w:lang w:eastAsia="zh-CN"/>
                    </w:rPr>
                  </w:pPr>
                  <w:r>
                    <w:rPr>
                      <w:rFonts w:hint="eastAsia"/>
                      <w:szCs w:val="21"/>
                      <w:lang w:val="en-US" w:eastAsia="zh-CN"/>
                    </w:rPr>
                    <w:t>3</w:t>
                  </w:r>
                </w:p>
              </w:tc>
              <w:tc>
                <w:tcPr>
                  <w:tcW w:w="525" w:type="pct"/>
                  <w:vAlign w:val="center"/>
                </w:tcPr>
                <w:p w14:paraId="0EB1DF00">
                  <w:pPr>
                    <w:autoSpaceDE w:val="0"/>
                    <w:autoSpaceDN w:val="0"/>
                    <w:adjustRightInd w:val="0"/>
                    <w:snapToGrid w:val="0"/>
                    <w:jc w:val="center"/>
                    <w:rPr>
                      <w:rFonts w:hint="default" w:eastAsia="宋体"/>
                      <w:szCs w:val="21"/>
                      <w:lang w:val="en-US" w:eastAsia="zh-CN"/>
                    </w:rPr>
                  </w:pPr>
                  <w:r>
                    <w:rPr>
                      <w:rFonts w:hint="eastAsia"/>
                      <w:szCs w:val="21"/>
                      <w:lang w:val="en-US" w:eastAsia="zh-CN"/>
                    </w:rPr>
                    <w:t>23.2</w:t>
                  </w:r>
                </w:p>
              </w:tc>
              <w:tc>
                <w:tcPr>
                  <w:tcW w:w="663" w:type="pct"/>
                  <w:vMerge w:val="restart"/>
                  <w:vAlign w:val="center"/>
                </w:tcPr>
                <w:p w14:paraId="5720CE5C">
                  <w:pPr>
                    <w:autoSpaceDE w:val="0"/>
                    <w:autoSpaceDN w:val="0"/>
                    <w:adjustRightInd w:val="0"/>
                    <w:snapToGrid w:val="0"/>
                    <w:jc w:val="center"/>
                    <w:rPr>
                      <w:rFonts w:hint="eastAsia"/>
                      <w:szCs w:val="21"/>
                      <w:lang w:val="en-US" w:eastAsia="zh-CN"/>
                    </w:rPr>
                  </w:pPr>
                  <w:r>
                    <w:rPr>
                      <w:rFonts w:hint="eastAsia"/>
                      <w:szCs w:val="21"/>
                      <w:lang w:val="en-US" w:eastAsia="zh-CN"/>
                    </w:rPr>
                    <w:t>DA007</w:t>
                  </w:r>
                </w:p>
              </w:tc>
              <w:tc>
                <w:tcPr>
                  <w:tcW w:w="745" w:type="pct"/>
                  <w:vAlign w:val="center"/>
                </w:tcPr>
                <w:p w14:paraId="2CAEEF3A">
                  <w:pPr>
                    <w:autoSpaceDE w:val="0"/>
                    <w:autoSpaceDN w:val="0"/>
                    <w:adjustRightInd w:val="0"/>
                    <w:snapToGrid w:val="0"/>
                    <w:jc w:val="center"/>
                    <w:rPr>
                      <w:szCs w:val="21"/>
                    </w:rPr>
                  </w:pPr>
                  <w:r>
                    <w:rPr>
                      <w:rFonts w:hint="eastAsia"/>
                      <w:szCs w:val="21"/>
                    </w:rPr>
                    <w:t>封闭</w:t>
                  </w:r>
                  <w:r>
                    <w:rPr>
                      <w:rFonts w:hint="eastAsia"/>
                      <w:szCs w:val="21"/>
                      <w:lang w:val="en-US" w:eastAsia="zh-CN"/>
                    </w:rPr>
                    <w:t>负压</w:t>
                  </w:r>
                </w:p>
              </w:tc>
              <w:tc>
                <w:tcPr>
                  <w:tcW w:w="1132" w:type="pct"/>
                  <w:vMerge w:val="restart"/>
                  <w:vAlign w:val="center"/>
                </w:tcPr>
                <w:p w14:paraId="247A55E2">
                  <w:pPr>
                    <w:autoSpaceDE w:val="0"/>
                    <w:autoSpaceDN w:val="0"/>
                    <w:adjustRightInd w:val="0"/>
                    <w:snapToGrid w:val="0"/>
                    <w:jc w:val="center"/>
                    <w:rPr>
                      <w:rFonts w:hint="default" w:eastAsia="宋体"/>
                      <w:szCs w:val="21"/>
                      <w:lang w:val="en-US" w:eastAsia="zh-CN"/>
                    </w:rPr>
                  </w:pPr>
                  <w:r>
                    <w:rPr>
                      <w:rFonts w:hint="eastAsia"/>
                      <w:szCs w:val="21"/>
                      <w:lang w:val="en-US" w:eastAsia="zh-CN"/>
                    </w:rPr>
                    <w:t>75800</w:t>
                  </w:r>
                </w:p>
              </w:tc>
            </w:tr>
            <w:tr w14:paraId="501F7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2CB67777">
                  <w:pPr>
                    <w:autoSpaceDE w:val="0"/>
                    <w:autoSpaceDN w:val="0"/>
                    <w:adjustRightInd w:val="0"/>
                    <w:snapToGrid w:val="0"/>
                    <w:jc w:val="center"/>
                    <w:rPr>
                      <w:szCs w:val="21"/>
                    </w:rPr>
                  </w:pPr>
                </w:p>
              </w:tc>
              <w:tc>
                <w:tcPr>
                  <w:tcW w:w="901" w:type="pct"/>
                  <w:vAlign w:val="center"/>
                </w:tcPr>
                <w:p w14:paraId="5556724A">
                  <w:pPr>
                    <w:autoSpaceDE w:val="0"/>
                    <w:autoSpaceDN w:val="0"/>
                    <w:adjustRightInd w:val="0"/>
                    <w:snapToGrid w:val="0"/>
                    <w:jc w:val="center"/>
                    <w:rPr>
                      <w:rFonts w:hint="default" w:eastAsia="宋体"/>
                      <w:szCs w:val="21"/>
                      <w:lang w:val="en-US" w:eastAsia="zh-CN"/>
                    </w:rPr>
                  </w:pPr>
                  <w:r>
                    <w:rPr>
                      <w:rFonts w:hint="eastAsia"/>
                      <w:szCs w:val="21"/>
                      <w:lang w:val="en-US" w:eastAsia="zh-CN"/>
                    </w:rPr>
                    <w:t>流平室</w:t>
                  </w:r>
                </w:p>
              </w:tc>
              <w:tc>
                <w:tcPr>
                  <w:tcW w:w="331" w:type="pct"/>
                  <w:vAlign w:val="center"/>
                </w:tcPr>
                <w:p w14:paraId="2545D48F">
                  <w:pPr>
                    <w:autoSpaceDE w:val="0"/>
                    <w:autoSpaceDN w:val="0"/>
                    <w:adjustRightInd w:val="0"/>
                    <w:snapToGrid w:val="0"/>
                    <w:jc w:val="center"/>
                    <w:rPr>
                      <w:rFonts w:hint="eastAsia" w:eastAsia="宋体"/>
                      <w:szCs w:val="21"/>
                      <w:lang w:eastAsia="zh-CN"/>
                    </w:rPr>
                  </w:pPr>
                  <w:r>
                    <w:rPr>
                      <w:rFonts w:hint="eastAsia"/>
                      <w:szCs w:val="21"/>
                      <w:lang w:val="en-US" w:eastAsia="zh-CN"/>
                    </w:rPr>
                    <w:t>1</w:t>
                  </w:r>
                </w:p>
              </w:tc>
              <w:tc>
                <w:tcPr>
                  <w:tcW w:w="525" w:type="pct"/>
                  <w:vAlign w:val="center"/>
                </w:tcPr>
                <w:p w14:paraId="7DC0BB5B">
                  <w:pPr>
                    <w:autoSpaceDE w:val="0"/>
                    <w:autoSpaceDN w:val="0"/>
                    <w:adjustRightInd w:val="0"/>
                    <w:snapToGrid w:val="0"/>
                    <w:jc w:val="center"/>
                    <w:rPr>
                      <w:rFonts w:hint="default" w:eastAsia="宋体"/>
                      <w:szCs w:val="21"/>
                      <w:lang w:val="en-US" w:eastAsia="zh-CN"/>
                    </w:rPr>
                  </w:pPr>
                  <w:r>
                    <w:rPr>
                      <w:rFonts w:hint="eastAsia"/>
                      <w:szCs w:val="21"/>
                      <w:lang w:val="en-US" w:eastAsia="zh-CN"/>
                    </w:rPr>
                    <w:t>17.5</w:t>
                  </w:r>
                </w:p>
              </w:tc>
              <w:tc>
                <w:tcPr>
                  <w:tcW w:w="663" w:type="pct"/>
                  <w:vMerge w:val="continue"/>
                  <w:vAlign w:val="center"/>
                </w:tcPr>
                <w:p w14:paraId="68B7524B">
                  <w:pPr>
                    <w:autoSpaceDE w:val="0"/>
                    <w:autoSpaceDN w:val="0"/>
                    <w:adjustRightInd w:val="0"/>
                    <w:snapToGrid w:val="0"/>
                    <w:jc w:val="center"/>
                    <w:rPr>
                      <w:rFonts w:hint="eastAsia"/>
                      <w:szCs w:val="21"/>
                      <w:lang w:val="en-US" w:eastAsia="zh-CN"/>
                    </w:rPr>
                  </w:pPr>
                </w:p>
              </w:tc>
              <w:tc>
                <w:tcPr>
                  <w:tcW w:w="745" w:type="pct"/>
                  <w:vAlign w:val="center"/>
                </w:tcPr>
                <w:p w14:paraId="68A0FDCF">
                  <w:pPr>
                    <w:autoSpaceDE w:val="0"/>
                    <w:autoSpaceDN w:val="0"/>
                    <w:adjustRightInd w:val="0"/>
                    <w:snapToGrid w:val="0"/>
                    <w:jc w:val="center"/>
                    <w:rPr>
                      <w:szCs w:val="21"/>
                    </w:rPr>
                  </w:pPr>
                  <w:r>
                    <w:rPr>
                      <w:rFonts w:hint="eastAsia"/>
                      <w:szCs w:val="21"/>
                    </w:rPr>
                    <w:t>封闭</w:t>
                  </w:r>
                  <w:r>
                    <w:rPr>
                      <w:rFonts w:hint="eastAsia"/>
                      <w:szCs w:val="21"/>
                      <w:lang w:val="en-US" w:eastAsia="zh-CN"/>
                    </w:rPr>
                    <w:t>负压</w:t>
                  </w:r>
                </w:p>
              </w:tc>
              <w:tc>
                <w:tcPr>
                  <w:tcW w:w="1132" w:type="pct"/>
                  <w:vMerge w:val="continue"/>
                  <w:vAlign w:val="center"/>
                </w:tcPr>
                <w:p w14:paraId="34903C85">
                  <w:pPr>
                    <w:autoSpaceDE w:val="0"/>
                    <w:autoSpaceDN w:val="0"/>
                    <w:adjustRightInd w:val="0"/>
                    <w:snapToGrid w:val="0"/>
                    <w:jc w:val="center"/>
                    <w:rPr>
                      <w:szCs w:val="21"/>
                    </w:rPr>
                  </w:pPr>
                </w:p>
              </w:tc>
            </w:tr>
            <w:tr w14:paraId="42C23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pct"/>
                  <w:vMerge w:val="continue"/>
                  <w:vAlign w:val="center"/>
                </w:tcPr>
                <w:p w14:paraId="72EBEAE9">
                  <w:pPr>
                    <w:autoSpaceDE w:val="0"/>
                    <w:autoSpaceDN w:val="0"/>
                    <w:adjustRightInd w:val="0"/>
                    <w:snapToGrid w:val="0"/>
                    <w:jc w:val="center"/>
                    <w:rPr>
                      <w:szCs w:val="21"/>
                    </w:rPr>
                  </w:pPr>
                </w:p>
              </w:tc>
              <w:tc>
                <w:tcPr>
                  <w:tcW w:w="901" w:type="pct"/>
                  <w:vAlign w:val="center"/>
                </w:tcPr>
                <w:p w14:paraId="5BDC8293">
                  <w:pPr>
                    <w:autoSpaceDE w:val="0"/>
                    <w:autoSpaceDN w:val="0"/>
                    <w:adjustRightInd w:val="0"/>
                    <w:snapToGrid w:val="0"/>
                    <w:jc w:val="center"/>
                    <w:rPr>
                      <w:rFonts w:hint="default" w:eastAsia="宋体"/>
                      <w:szCs w:val="21"/>
                      <w:lang w:val="en-US" w:eastAsia="zh-CN"/>
                    </w:rPr>
                  </w:pPr>
                  <w:r>
                    <w:rPr>
                      <w:rFonts w:hint="eastAsia"/>
                      <w:lang w:val="en-US" w:eastAsia="zh-CN"/>
                    </w:rPr>
                    <w:t>烘干通道</w:t>
                  </w:r>
                </w:p>
              </w:tc>
              <w:tc>
                <w:tcPr>
                  <w:tcW w:w="331" w:type="pct"/>
                  <w:vAlign w:val="center"/>
                </w:tcPr>
                <w:p w14:paraId="0170762E">
                  <w:pPr>
                    <w:autoSpaceDE w:val="0"/>
                    <w:autoSpaceDN w:val="0"/>
                    <w:adjustRightInd w:val="0"/>
                    <w:snapToGrid w:val="0"/>
                    <w:jc w:val="center"/>
                    <w:rPr>
                      <w:rFonts w:hint="eastAsia" w:eastAsia="宋体"/>
                      <w:szCs w:val="21"/>
                      <w:lang w:eastAsia="zh-CN"/>
                    </w:rPr>
                  </w:pPr>
                  <w:r>
                    <w:rPr>
                      <w:rFonts w:hint="eastAsia"/>
                      <w:szCs w:val="21"/>
                      <w:lang w:val="en-US" w:eastAsia="zh-CN"/>
                    </w:rPr>
                    <w:t>1</w:t>
                  </w:r>
                </w:p>
              </w:tc>
              <w:tc>
                <w:tcPr>
                  <w:tcW w:w="525" w:type="pct"/>
                  <w:vAlign w:val="center"/>
                </w:tcPr>
                <w:p w14:paraId="5D51D5F1">
                  <w:pPr>
                    <w:autoSpaceDE w:val="0"/>
                    <w:autoSpaceDN w:val="0"/>
                    <w:adjustRightInd w:val="0"/>
                    <w:snapToGrid w:val="0"/>
                    <w:jc w:val="center"/>
                    <w:rPr>
                      <w:rFonts w:hint="default" w:eastAsia="宋体"/>
                      <w:szCs w:val="21"/>
                      <w:lang w:val="en-US" w:eastAsia="zh-CN"/>
                    </w:rPr>
                  </w:pPr>
                  <w:r>
                    <w:rPr>
                      <w:rFonts w:hint="eastAsia"/>
                      <w:szCs w:val="21"/>
                      <w:lang w:val="en-US" w:eastAsia="zh-CN"/>
                    </w:rPr>
                    <w:t>37.5</w:t>
                  </w:r>
                </w:p>
              </w:tc>
              <w:tc>
                <w:tcPr>
                  <w:tcW w:w="663" w:type="pct"/>
                  <w:vMerge w:val="continue"/>
                  <w:vAlign w:val="center"/>
                </w:tcPr>
                <w:p w14:paraId="708CCA6B">
                  <w:pPr>
                    <w:autoSpaceDE w:val="0"/>
                    <w:autoSpaceDN w:val="0"/>
                    <w:adjustRightInd w:val="0"/>
                    <w:snapToGrid w:val="0"/>
                    <w:jc w:val="center"/>
                    <w:rPr>
                      <w:rFonts w:hint="eastAsia"/>
                      <w:szCs w:val="21"/>
                      <w:lang w:val="en-US" w:eastAsia="zh-CN"/>
                    </w:rPr>
                  </w:pPr>
                </w:p>
              </w:tc>
              <w:tc>
                <w:tcPr>
                  <w:tcW w:w="745" w:type="pct"/>
                  <w:vAlign w:val="center"/>
                </w:tcPr>
                <w:p w14:paraId="33D2822A">
                  <w:pPr>
                    <w:autoSpaceDE w:val="0"/>
                    <w:autoSpaceDN w:val="0"/>
                    <w:adjustRightInd w:val="0"/>
                    <w:snapToGrid w:val="0"/>
                    <w:jc w:val="center"/>
                    <w:rPr>
                      <w:szCs w:val="21"/>
                    </w:rPr>
                  </w:pPr>
                  <w:r>
                    <w:rPr>
                      <w:rFonts w:hint="eastAsia"/>
                      <w:szCs w:val="21"/>
                    </w:rPr>
                    <w:t>封闭</w:t>
                  </w:r>
                  <w:r>
                    <w:rPr>
                      <w:rFonts w:hint="eastAsia"/>
                      <w:szCs w:val="21"/>
                      <w:lang w:val="en-US" w:eastAsia="zh-CN"/>
                    </w:rPr>
                    <w:t>负压</w:t>
                  </w:r>
                </w:p>
              </w:tc>
              <w:tc>
                <w:tcPr>
                  <w:tcW w:w="1132" w:type="pct"/>
                  <w:vMerge w:val="continue"/>
                  <w:vAlign w:val="center"/>
                </w:tcPr>
                <w:p w14:paraId="1741A1A8">
                  <w:pPr>
                    <w:autoSpaceDE w:val="0"/>
                    <w:autoSpaceDN w:val="0"/>
                    <w:adjustRightInd w:val="0"/>
                    <w:snapToGrid w:val="0"/>
                    <w:jc w:val="center"/>
                    <w:rPr>
                      <w:szCs w:val="21"/>
                    </w:rPr>
                  </w:pPr>
                </w:p>
              </w:tc>
            </w:tr>
          </w:tbl>
          <w:p w14:paraId="15255CC3">
            <w:pPr>
              <w:numPr>
                <w:ilvl w:val="0"/>
                <w:numId w:val="0"/>
              </w:numPr>
              <w:spacing w:line="360" w:lineRule="auto"/>
              <w:ind w:firstLine="420" w:firstLineChars="200"/>
              <w:rPr>
                <w:rFonts w:hint="eastAsia"/>
                <w:sz w:val="21"/>
                <w:szCs w:val="21"/>
              </w:rPr>
            </w:pPr>
            <w:r>
              <w:rPr>
                <w:rFonts w:hint="eastAsia"/>
                <w:sz w:val="21"/>
                <w:szCs w:val="21"/>
              </w:rPr>
              <w:t>由于项目各单元均设计为密闭负压，</w:t>
            </w:r>
            <w:r>
              <w:rPr>
                <w:rFonts w:hint="eastAsia"/>
                <w:sz w:val="21"/>
                <w:szCs w:val="21"/>
                <w:lang w:val="en-US" w:eastAsia="zh-CN"/>
              </w:rPr>
              <w:t>喷涂车间</w:t>
            </w:r>
            <w:r>
              <w:rPr>
                <w:rFonts w:hint="eastAsia"/>
                <w:sz w:val="21"/>
                <w:szCs w:val="21"/>
              </w:rPr>
              <w:t>风机总风量为</w:t>
            </w:r>
            <w:r>
              <w:rPr>
                <w:rFonts w:hint="eastAsia"/>
                <w:sz w:val="21"/>
                <w:szCs w:val="21"/>
                <w:lang w:val="en-US" w:eastAsia="zh-CN"/>
              </w:rPr>
              <w:t>4412</w:t>
            </w:r>
            <w:r>
              <w:rPr>
                <w:rFonts w:hint="eastAsia"/>
                <w:sz w:val="21"/>
                <w:szCs w:val="21"/>
              </w:rPr>
              <w:t>00m</w:t>
            </w:r>
            <w:r>
              <w:rPr>
                <w:rFonts w:hint="eastAsia"/>
                <w:sz w:val="21"/>
                <w:szCs w:val="21"/>
                <w:vertAlign w:val="superscript"/>
              </w:rPr>
              <w:t>3</w:t>
            </w:r>
            <w:r>
              <w:rPr>
                <w:rFonts w:hint="eastAsia"/>
                <w:sz w:val="21"/>
                <w:szCs w:val="21"/>
              </w:rPr>
              <w:t>/h。经核算，在项目VOCS产生单元同时工作情况下，项目设计采用的配套风机风量收集效果不低于9</w:t>
            </w:r>
            <w:r>
              <w:rPr>
                <w:rFonts w:hint="eastAsia"/>
                <w:sz w:val="21"/>
                <w:szCs w:val="21"/>
                <w:lang w:val="en-US" w:eastAsia="zh-CN"/>
              </w:rPr>
              <w:t>5%</w:t>
            </w:r>
            <w:r>
              <w:rPr>
                <w:rFonts w:hint="eastAsia"/>
                <w:sz w:val="21"/>
                <w:szCs w:val="21"/>
              </w:rPr>
              <w:t>。</w:t>
            </w:r>
          </w:p>
          <w:p w14:paraId="2E59C7E4">
            <w:pPr>
              <w:bidi w:val="0"/>
              <w:spacing w:line="360" w:lineRule="auto"/>
              <w:ind w:firstLine="420" w:firstLineChars="200"/>
              <w:rPr>
                <w:rFonts w:hint="eastAsia"/>
                <w:sz w:val="21"/>
                <w:szCs w:val="21"/>
                <w:lang w:eastAsia="zh-CN"/>
              </w:rPr>
            </w:pPr>
            <w:r>
              <w:rPr>
                <w:rFonts w:hint="default" w:ascii="Times New Roman" w:hAnsi="Times New Roman" w:cs="Times New Roman"/>
              </w:rPr>
              <w:t>建设单位目前已设计采用</w:t>
            </w:r>
            <w:r>
              <w:rPr>
                <w:rFonts w:hint="default" w:ascii="Times New Roman" w:hAnsi="Times New Roman" w:cs="Times New Roman"/>
                <w:lang w:val="en-US" w:eastAsia="zh-CN"/>
              </w:rPr>
              <w:t>6</w:t>
            </w:r>
            <w:r>
              <w:rPr>
                <w:rFonts w:hint="default" w:ascii="Times New Roman" w:hAnsi="Times New Roman" w:cs="Times New Roman"/>
              </w:rPr>
              <w:t>套</w:t>
            </w:r>
            <w:r>
              <w:rPr>
                <w:rFonts w:hint="default" w:ascii="Times New Roman" w:hAnsi="Times New Roman" w:cs="Times New Roman"/>
                <w:lang w:val="en-US" w:eastAsia="zh-CN"/>
              </w:rPr>
              <w:t>二级活性炭吸附装置</w:t>
            </w:r>
            <w:r>
              <w:rPr>
                <w:rFonts w:hint="default" w:ascii="Times New Roman" w:hAnsi="Times New Roman" w:cs="Times New Roman"/>
              </w:rPr>
              <w:t>设备（去除效率9</w:t>
            </w:r>
            <w:r>
              <w:rPr>
                <w:rFonts w:hint="default" w:ascii="Times New Roman" w:hAnsi="Times New Roman" w:cs="Times New Roman"/>
                <w:lang w:val="en-US" w:eastAsia="zh-CN"/>
              </w:rPr>
              <w:t>0</w:t>
            </w:r>
            <w:r>
              <w:rPr>
                <w:rFonts w:hint="default" w:ascii="Times New Roman" w:hAnsi="Times New Roman" w:cs="Times New Roman"/>
              </w:rPr>
              <w:t>%）对本项目有机废气进行治理，</w:t>
            </w:r>
            <w:r>
              <w:rPr>
                <w:rFonts w:hint="default" w:ascii="Times New Roman" w:hAnsi="Times New Roman" w:cs="Times New Roman"/>
                <w:lang w:val="en-US" w:eastAsia="zh-CN"/>
              </w:rPr>
              <w:t>1#喷涂生产线1间底漆</w:t>
            </w:r>
            <w:r>
              <w:rPr>
                <w:rFonts w:hint="default" w:ascii="Times New Roman" w:hAnsi="Times New Roman" w:cs="Times New Roman"/>
              </w:rPr>
              <w:t>喷</w:t>
            </w:r>
            <w:r>
              <w:rPr>
                <w:rFonts w:hint="default" w:ascii="Times New Roman" w:hAnsi="Times New Roman" w:cs="Times New Roman"/>
                <w:lang w:val="en-US" w:eastAsia="zh-CN"/>
              </w:rPr>
              <w:t>涂室+1间</w:t>
            </w:r>
            <w:r>
              <w:rPr>
                <w:rFonts w:hint="eastAsia" w:cs="Times New Roman"/>
                <w:lang w:val="en-US" w:eastAsia="zh-CN"/>
              </w:rPr>
              <w:t>除尘区域</w:t>
            </w:r>
            <w:r>
              <w:rPr>
                <w:rFonts w:hint="default" w:ascii="Times New Roman" w:hAnsi="Times New Roman" w:cs="Times New Roman"/>
                <w:lang w:val="en-US" w:eastAsia="zh-CN"/>
              </w:rPr>
              <w:t>设置1套（风量</w:t>
            </w:r>
            <w:r>
              <w:rPr>
                <w:rFonts w:hint="eastAsia" w:cs="Times New Roman"/>
                <w:lang w:val="en-US" w:eastAsia="zh-CN"/>
              </w:rPr>
              <w:t>42600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/h</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经治理后</w:t>
            </w:r>
            <w:r>
              <w:rPr>
                <w:rFonts w:hint="default" w:ascii="Times New Roman" w:hAnsi="Times New Roman" w:cs="Times New Roman"/>
                <w:lang w:val="en-US" w:eastAsia="zh-CN"/>
              </w:rPr>
              <w:t>经排气筒DA002排放；1#喷涂生产线</w:t>
            </w:r>
            <w:r>
              <w:rPr>
                <w:rFonts w:hint="eastAsia" w:ascii="Times New Roman" w:hAnsi="Times New Roman" w:cs="Times New Roman"/>
                <w:lang w:val="en-US" w:eastAsia="zh-CN"/>
              </w:rPr>
              <w:t>2间</w:t>
            </w:r>
            <w:r>
              <w:rPr>
                <w:rFonts w:hint="eastAsia"/>
                <w:sz w:val="21"/>
                <w:szCs w:val="21"/>
                <w:lang w:val="en-US" w:eastAsia="zh-CN"/>
              </w:rPr>
              <w:t>色漆</w:t>
            </w:r>
            <w:r>
              <w:rPr>
                <w:rFonts w:hint="eastAsia"/>
                <w:sz w:val="21"/>
                <w:szCs w:val="21"/>
              </w:rPr>
              <w:t>喷</w:t>
            </w:r>
            <w:r>
              <w:rPr>
                <w:rFonts w:hint="eastAsia"/>
                <w:sz w:val="21"/>
                <w:szCs w:val="21"/>
                <w:lang w:val="en-US" w:eastAsia="zh-CN"/>
              </w:rPr>
              <w:t>涂室+1间</w:t>
            </w:r>
            <w:r>
              <w:rPr>
                <w:rFonts w:hint="eastAsia"/>
                <w:szCs w:val="21"/>
                <w:lang w:val="en-US" w:eastAsia="zh-CN"/>
              </w:rPr>
              <w:t>调漆室</w:t>
            </w:r>
            <w:r>
              <w:rPr>
                <w:rFonts w:hint="default" w:ascii="Times New Roman" w:hAnsi="Times New Roman" w:cs="Times New Roman"/>
                <w:lang w:val="en-US" w:eastAsia="zh-CN"/>
              </w:rPr>
              <w:t>设置1套（风量</w:t>
            </w:r>
            <w:r>
              <w:rPr>
                <w:rFonts w:hint="eastAsia" w:cs="Times New Roman"/>
                <w:lang w:val="en-US" w:eastAsia="zh-CN"/>
              </w:rPr>
              <w:t>490</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/h</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经治理后</w:t>
            </w:r>
            <w:r>
              <w:rPr>
                <w:rFonts w:hint="default" w:ascii="Times New Roman" w:hAnsi="Times New Roman" w:cs="Times New Roman"/>
                <w:lang w:val="en-US" w:eastAsia="zh-CN"/>
              </w:rPr>
              <w:t>经排气筒DA00</w:t>
            </w:r>
            <w:r>
              <w:rPr>
                <w:rFonts w:hint="eastAsia" w:cs="Times New Roman"/>
                <w:lang w:val="en-US" w:eastAsia="zh-CN"/>
              </w:rPr>
              <w:t>3</w:t>
            </w:r>
            <w:r>
              <w:rPr>
                <w:rFonts w:hint="default" w:ascii="Times New Roman" w:hAnsi="Times New Roman" w:cs="Times New Roman"/>
                <w:lang w:val="en-US" w:eastAsia="zh-CN"/>
              </w:rPr>
              <w:t>排放；1#喷涂生产线</w:t>
            </w:r>
            <w:r>
              <w:rPr>
                <w:rFonts w:hint="eastAsia" w:cs="Times New Roman"/>
                <w:lang w:val="en-US" w:eastAsia="zh-CN"/>
              </w:rPr>
              <w:t>1间</w:t>
            </w:r>
            <w:r>
              <w:rPr>
                <w:rFonts w:hint="eastAsia"/>
                <w:sz w:val="21"/>
                <w:szCs w:val="21"/>
                <w:lang w:val="en-US" w:eastAsia="zh-CN"/>
              </w:rPr>
              <w:t>清漆</w:t>
            </w:r>
            <w:r>
              <w:rPr>
                <w:rFonts w:hint="eastAsia"/>
                <w:sz w:val="21"/>
                <w:szCs w:val="21"/>
              </w:rPr>
              <w:t>喷</w:t>
            </w:r>
            <w:r>
              <w:rPr>
                <w:rFonts w:hint="eastAsia"/>
                <w:sz w:val="21"/>
                <w:szCs w:val="21"/>
                <w:lang w:val="en-US" w:eastAsia="zh-CN"/>
              </w:rPr>
              <w:t>涂室+1间</w:t>
            </w:r>
            <w:r>
              <w:rPr>
                <w:rFonts w:hint="eastAsia"/>
                <w:szCs w:val="21"/>
                <w:lang w:val="en-US" w:eastAsia="zh-CN"/>
              </w:rPr>
              <w:t>调漆室+1间流平室+1个烘干区+焊接区</w:t>
            </w:r>
            <w:r>
              <w:rPr>
                <w:rFonts w:hint="default" w:ascii="Times New Roman" w:hAnsi="Times New Roman" w:cs="Times New Roman"/>
                <w:lang w:val="en-US" w:eastAsia="zh-CN"/>
              </w:rPr>
              <w:t>设置1套（风量</w:t>
            </w:r>
            <w:r>
              <w:rPr>
                <w:rFonts w:hint="eastAsia"/>
                <w:szCs w:val="21"/>
                <w:lang w:val="en-US" w:eastAsia="zh-CN"/>
              </w:rPr>
              <w:t>53600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/h</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经治理后</w:t>
            </w:r>
            <w:r>
              <w:rPr>
                <w:rFonts w:hint="default" w:ascii="Times New Roman" w:hAnsi="Times New Roman" w:cs="Times New Roman"/>
                <w:lang w:val="en-US" w:eastAsia="zh-CN"/>
              </w:rPr>
              <w:t>经排气筒DA00</w:t>
            </w:r>
            <w:r>
              <w:rPr>
                <w:rFonts w:hint="eastAsia" w:cs="Times New Roman"/>
                <w:lang w:val="en-US" w:eastAsia="zh-CN"/>
              </w:rPr>
              <w:t>4</w:t>
            </w:r>
            <w:r>
              <w:rPr>
                <w:rFonts w:hint="default" w:ascii="Times New Roman" w:hAnsi="Times New Roman" w:cs="Times New Roman"/>
                <w:lang w:val="en-US" w:eastAsia="zh-CN"/>
              </w:rPr>
              <w:t>排放</w:t>
            </w:r>
            <w:r>
              <w:rPr>
                <w:rFonts w:hint="eastAsia" w:cs="Times New Roman"/>
                <w:lang w:val="en-US" w:eastAsia="zh-CN"/>
              </w:rPr>
              <w:t>；2</w:t>
            </w:r>
            <w:r>
              <w:rPr>
                <w:rFonts w:hint="default" w:ascii="Times New Roman" w:hAnsi="Times New Roman" w:cs="Times New Roman"/>
                <w:lang w:val="en-US" w:eastAsia="zh-CN"/>
              </w:rPr>
              <w:t>#喷涂生产线设置1套（风量</w:t>
            </w:r>
            <w:r>
              <w:rPr>
                <w:rFonts w:hint="eastAsia"/>
                <w:szCs w:val="21"/>
                <w:lang w:val="en-US" w:eastAsia="zh-CN"/>
              </w:rPr>
              <w:t>144400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/h</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经治理后</w:t>
            </w:r>
            <w:r>
              <w:rPr>
                <w:rFonts w:hint="default" w:ascii="Times New Roman" w:hAnsi="Times New Roman" w:cs="Times New Roman"/>
                <w:lang w:val="en-US" w:eastAsia="zh-CN"/>
              </w:rPr>
              <w:t>经排气筒DA00</w:t>
            </w:r>
            <w:r>
              <w:rPr>
                <w:rFonts w:hint="eastAsia" w:cs="Times New Roman"/>
                <w:lang w:val="en-US" w:eastAsia="zh-CN"/>
              </w:rPr>
              <w:t>5</w:t>
            </w:r>
            <w:r>
              <w:rPr>
                <w:rFonts w:hint="default" w:ascii="Times New Roman" w:hAnsi="Times New Roman" w:cs="Times New Roman"/>
                <w:lang w:val="en-US" w:eastAsia="zh-CN"/>
              </w:rPr>
              <w:t>排放</w:t>
            </w:r>
            <w:r>
              <w:rPr>
                <w:rFonts w:hint="eastAsia" w:cs="Times New Roman"/>
                <w:lang w:val="en-US" w:eastAsia="zh-CN"/>
              </w:rPr>
              <w:t>；3</w:t>
            </w:r>
            <w:r>
              <w:rPr>
                <w:rFonts w:hint="default" w:ascii="Times New Roman" w:hAnsi="Times New Roman" w:cs="Times New Roman"/>
                <w:lang w:val="en-US" w:eastAsia="zh-CN"/>
              </w:rPr>
              <w:t>#喷涂生产线设置1套（风量</w:t>
            </w:r>
            <w:r>
              <w:rPr>
                <w:rFonts w:hint="eastAsia"/>
                <w:szCs w:val="21"/>
                <w:lang w:val="en-US" w:eastAsia="zh-CN"/>
              </w:rPr>
              <w:t>75800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/h</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经治理后</w:t>
            </w:r>
            <w:r>
              <w:rPr>
                <w:rFonts w:hint="default" w:ascii="Times New Roman" w:hAnsi="Times New Roman" w:cs="Times New Roman"/>
                <w:lang w:val="en-US" w:eastAsia="zh-CN"/>
              </w:rPr>
              <w:t>经排气筒DA00</w:t>
            </w:r>
            <w:r>
              <w:rPr>
                <w:rFonts w:hint="eastAsia" w:cs="Times New Roman"/>
                <w:lang w:val="en-US" w:eastAsia="zh-CN"/>
              </w:rPr>
              <w:t>6</w:t>
            </w:r>
            <w:r>
              <w:rPr>
                <w:rFonts w:hint="default" w:ascii="Times New Roman" w:hAnsi="Times New Roman" w:cs="Times New Roman"/>
                <w:lang w:val="en-US" w:eastAsia="zh-CN"/>
              </w:rPr>
              <w:t>排放</w:t>
            </w:r>
            <w:r>
              <w:rPr>
                <w:rFonts w:hint="eastAsia" w:cs="Times New Roman"/>
                <w:lang w:val="en-US" w:eastAsia="zh-CN"/>
              </w:rPr>
              <w:t>；4</w:t>
            </w:r>
            <w:r>
              <w:rPr>
                <w:rFonts w:hint="default" w:ascii="Times New Roman" w:hAnsi="Times New Roman" w:cs="Times New Roman"/>
                <w:lang w:val="en-US" w:eastAsia="zh-CN"/>
              </w:rPr>
              <w:t>#喷涂生产线设置1套（风量</w:t>
            </w:r>
            <w:r>
              <w:rPr>
                <w:rFonts w:hint="eastAsia"/>
                <w:szCs w:val="21"/>
                <w:lang w:val="en-US" w:eastAsia="zh-CN"/>
              </w:rPr>
              <w:t>75800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/h</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经治理后</w:t>
            </w:r>
            <w:r>
              <w:rPr>
                <w:rFonts w:hint="default" w:ascii="Times New Roman" w:hAnsi="Times New Roman" w:cs="Times New Roman"/>
                <w:lang w:val="en-US" w:eastAsia="zh-CN"/>
              </w:rPr>
              <w:t>经排气筒DA00</w:t>
            </w:r>
            <w:r>
              <w:rPr>
                <w:rFonts w:hint="eastAsia" w:cs="Times New Roman"/>
                <w:lang w:val="en-US" w:eastAsia="zh-CN"/>
              </w:rPr>
              <w:t>7</w:t>
            </w:r>
            <w:r>
              <w:rPr>
                <w:rFonts w:hint="default" w:ascii="Times New Roman" w:hAnsi="Times New Roman" w:cs="Times New Roman"/>
                <w:lang w:val="en-US" w:eastAsia="zh-CN"/>
              </w:rPr>
              <w:t>排放</w:t>
            </w:r>
            <w:r>
              <w:rPr>
                <w:rFonts w:hint="eastAsia"/>
                <w:sz w:val="21"/>
                <w:szCs w:val="21"/>
              </w:rPr>
              <w:t>（详见图4-2项目废气排放示意图）</w:t>
            </w:r>
            <w:r>
              <w:rPr>
                <w:rFonts w:hint="eastAsia"/>
                <w:sz w:val="21"/>
                <w:szCs w:val="21"/>
                <w:lang w:eastAsia="zh-CN"/>
              </w:rPr>
              <w:t>。</w:t>
            </w:r>
          </w:p>
          <w:p w14:paraId="3F2E28E9">
            <w:pPr>
              <w:spacing w:line="360" w:lineRule="auto"/>
              <w:ind w:firstLine="422" w:firstLineChars="200"/>
              <w:rPr>
                <w:rFonts w:hint="eastAsia"/>
                <w:b/>
                <w:sz w:val="21"/>
                <w:szCs w:val="21"/>
              </w:rPr>
            </w:pPr>
            <w:r>
              <w:rPr>
                <w:rFonts w:hint="eastAsia"/>
                <w:b/>
                <w:sz w:val="21"/>
                <w:szCs w:val="21"/>
              </w:rPr>
              <w:t>水帘除漆雾原理：</w:t>
            </w:r>
          </w:p>
          <w:p w14:paraId="6CC25377">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水帘喷漆房是利用水来捕捉漆雾的一种设备。它一般由排风装置、供水装置、捕集漆雾水帘和喷淋装置、气水分离装置、风道等构成。水帘喷漆房处理漆雾的基本过程是：在排风机引力的作用下，含有漆雾的空气向水帘喷漆房的内壁水帘板方向流动，一部分漆雾直接接触到水帘板上的水膜而被吸附，一部分漆雾在经过水帘板上淌下的水帘时被水帘冲刷掉，其余未被水膜和水帘捕捉到的残余漆雾在通过水洗区和清洗区时被清洗掉。处理效率可达9</w:t>
            </w:r>
            <w:r>
              <w:rPr>
                <w:rFonts w:hint="eastAsia" w:cs="Times New Roman"/>
                <w:sz w:val="21"/>
                <w:szCs w:val="21"/>
                <w:lang w:val="en-US" w:eastAsia="zh-CN"/>
              </w:rPr>
              <w:t>5</w:t>
            </w:r>
            <w:r>
              <w:rPr>
                <w:rFonts w:hint="default" w:ascii="Times New Roman" w:hAnsi="Times New Roman" w:cs="Times New Roman"/>
                <w:sz w:val="21"/>
                <w:szCs w:val="21"/>
              </w:rPr>
              <w:t>%。</w:t>
            </w:r>
          </w:p>
          <w:p w14:paraId="13F0F9D0">
            <w:pPr>
              <w:spacing w:line="240" w:lineRule="auto"/>
              <w:ind w:firstLine="420" w:firstLineChars="200"/>
              <w:jc w:val="center"/>
              <w:rPr>
                <w:rFonts w:hint="eastAsia"/>
                <w:sz w:val="24"/>
              </w:rPr>
            </w:pPr>
            <w:r>
              <w:fldChar w:fldCharType="begin"/>
            </w:r>
            <w:r>
              <w:instrText xml:space="preserve"> INCLUDEPICTURE "https://gss0.baidu.com/-vo3dSag_xI4khGko9WTAnF6hhy/zhidao/wh%3D600%2C800/sign=8653fc37f4039245a1e0e909b7a488fa/e61190ef76c6a7ef8b86a2dcf5faaf51f2de66a3.jpg" \* MERGEFORMATINET </w:instrText>
            </w:r>
            <w:r>
              <w:fldChar w:fldCharType="separate"/>
            </w:r>
            <w:r>
              <w:drawing>
                <wp:inline distT="0" distB="0" distL="114300" distR="114300">
                  <wp:extent cx="3031490" cy="2699385"/>
                  <wp:effectExtent l="0" t="0" r="1270" b="13335"/>
                  <wp:docPr id="11" name="图片 1" descr="e61190ef76c6a7ef8b86a2dcf5faaf51f2de66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e61190ef76c6a7ef8b86a2dcf5faaf51f2de66a3"/>
                          <pic:cNvPicPr>
                            <a:picLocks noChangeAspect="1"/>
                          </pic:cNvPicPr>
                        </pic:nvPicPr>
                        <pic:blipFill>
                          <a:blip r:embed="rId20"/>
                          <a:stretch>
                            <a:fillRect/>
                          </a:stretch>
                        </pic:blipFill>
                        <pic:spPr>
                          <a:xfrm>
                            <a:off x="0" y="0"/>
                            <a:ext cx="3031490" cy="2699385"/>
                          </a:xfrm>
                          <a:prstGeom prst="rect">
                            <a:avLst/>
                          </a:prstGeom>
                          <a:noFill/>
                          <a:ln>
                            <a:noFill/>
                          </a:ln>
                        </pic:spPr>
                      </pic:pic>
                    </a:graphicData>
                  </a:graphic>
                </wp:inline>
              </w:drawing>
            </w:r>
            <w:r>
              <w:fldChar w:fldCharType="end"/>
            </w:r>
          </w:p>
          <w:p w14:paraId="765417D3">
            <w:pPr>
              <w:spacing w:line="360" w:lineRule="auto"/>
              <w:ind w:firstLine="422" w:firstLineChars="200"/>
              <w:jc w:val="center"/>
              <w:rPr>
                <w:rFonts w:hint="eastAsia"/>
                <w:b/>
                <w:sz w:val="21"/>
                <w:szCs w:val="21"/>
              </w:rPr>
            </w:pPr>
            <w:r>
              <w:rPr>
                <w:b/>
                <w:sz w:val="21"/>
                <w:szCs w:val="21"/>
              </w:rPr>
              <w:t>图</w:t>
            </w:r>
            <w:r>
              <w:rPr>
                <w:rFonts w:hint="eastAsia"/>
                <w:b/>
                <w:sz w:val="21"/>
                <w:szCs w:val="21"/>
                <w:lang w:val="en-US" w:eastAsia="zh-CN"/>
              </w:rPr>
              <w:t>4-3</w:t>
            </w:r>
            <w:r>
              <w:rPr>
                <w:rFonts w:hint="eastAsia"/>
                <w:b/>
                <w:sz w:val="21"/>
                <w:szCs w:val="21"/>
              </w:rPr>
              <w:t>水帘除漆雾</w:t>
            </w:r>
            <w:r>
              <w:rPr>
                <w:b/>
                <w:sz w:val="21"/>
                <w:szCs w:val="21"/>
              </w:rPr>
              <w:t>原理图</w:t>
            </w:r>
          </w:p>
          <w:p w14:paraId="7B6B06D0">
            <w:pPr>
              <w:pStyle w:val="5"/>
              <w:spacing w:line="360" w:lineRule="auto"/>
              <w:ind w:left="0" w:leftChars="0" w:firstLine="422" w:firstLineChars="200"/>
              <w:rPr>
                <w:rFonts w:hint="default"/>
                <w:sz w:val="21"/>
                <w:szCs w:val="21"/>
                <w:lang w:val="en-US" w:eastAsia="zh-CN"/>
              </w:rPr>
            </w:pPr>
            <w:r>
              <w:rPr>
                <w:rFonts w:hint="eastAsia"/>
                <w:b/>
                <w:bCs/>
                <w:snapToGrid w:val="0"/>
                <w:kern w:val="0"/>
                <w:sz w:val="21"/>
                <w:szCs w:val="21"/>
                <w:highlight w:val="none"/>
                <w:lang w:val="en-US" w:eastAsia="zh-CN"/>
              </w:rPr>
              <w:t>④</w:t>
            </w:r>
            <w:r>
              <w:rPr>
                <w:rFonts w:hint="eastAsia"/>
                <w:sz w:val="21"/>
                <w:szCs w:val="21"/>
                <w:lang w:val="en-US" w:eastAsia="zh-CN"/>
              </w:rPr>
              <w:t>喷涂有机废气排放情况</w:t>
            </w:r>
          </w:p>
          <w:p w14:paraId="63D85246">
            <w:pPr>
              <w:autoSpaceDE w:val="0"/>
              <w:autoSpaceDN w:val="0"/>
              <w:spacing w:line="240" w:lineRule="auto"/>
              <w:ind w:firstLine="422" w:firstLineChars="200"/>
              <w:jc w:val="center"/>
              <w:rPr>
                <w:b/>
                <w:sz w:val="21"/>
                <w:szCs w:val="21"/>
              </w:rPr>
            </w:pPr>
            <w:r>
              <w:rPr>
                <w:rFonts w:hint="eastAsia"/>
                <w:b/>
                <w:sz w:val="21"/>
                <w:szCs w:val="21"/>
              </w:rPr>
              <w:t>表4-</w:t>
            </w:r>
            <w:r>
              <w:rPr>
                <w:rFonts w:hint="eastAsia"/>
                <w:b/>
                <w:sz w:val="21"/>
                <w:szCs w:val="21"/>
                <w:lang w:val="en-US" w:eastAsia="zh-CN"/>
              </w:rPr>
              <w:t>6喷涂</w:t>
            </w:r>
            <w:r>
              <w:rPr>
                <w:rFonts w:hint="eastAsia"/>
                <w:b/>
                <w:sz w:val="21"/>
                <w:szCs w:val="21"/>
              </w:rPr>
              <w:t>有机废气产排情况一览表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4"/>
              <w:gridCol w:w="744"/>
              <w:gridCol w:w="662"/>
              <w:gridCol w:w="537"/>
              <w:gridCol w:w="426"/>
              <w:gridCol w:w="487"/>
              <w:gridCol w:w="492"/>
              <w:gridCol w:w="521"/>
              <w:gridCol w:w="948"/>
              <w:gridCol w:w="958"/>
              <w:gridCol w:w="777"/>
              <w:gridCol w:w="679"/>
            </w:tblGrid>
            <w:tr w14:paraId="70797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Merge w:val="restart"/>
                  <w:vAlign w:val="center"/>
                </w:tcPr>
                <w:p w14:paraId="0FAA7992">
                  <w:pPr>
                    <w:autoSpaceDE w:val="0"/>
                    <w:autoSpaceDN w:val="0"/>
                    <w:adjustRightInd w:val="0"/>
                    <w:snapToGrid w:val="0"/>
                    <w:jc w:val="center"/>
                    <w:rPr>
                      <w:b/>
                      <w:szCs w:val="21"/>
                    </w:rPr>
                  </w:pPr>
                  <w:r>
                    <w:rPr>
                      <w:rFonts w:hint="eastAsia"/>
                      <w:b/>
                      <w:szCs w:val="21"/>
                    </w:rPr>
                    <w:t>污染物</w:t>
                  </w:r>
                </w:p>
              </w:tc>
              <w:tc>
                <w:tcPr>
                  <w:tcW w:w="454" w:type="pct"/>
                  <w:vMerge w:val="restart"/>
                  <w:vAlign w:val="center"/>
                </w:tcPr>
                <w:p w14:paraId="740B2EE1">
                  <w:pPr>
                    <w:autoSpaceDE w:val="0"/>
                    <w:autoSpaceDN w:val="0"/>
                    <w:adjustRightInd w:val="0"/>
                    <w:snapToGrid w:val="0"/>
                    <w:jc w:val="center"/>
                    <w:rPr>
                      <w:b/>
                      <w:szCs w:val="21"/>
                    </w:rPr>
                  </w:pPr>
                  <w:r>
                    <w:rPr>
                      <w:rFonts w:hint="eastAsia"/>
                      <w:b/>
                      <w:szCs w:val="21"/>
                    </w:rPr>
                    <w:t>产生量</w:t>
                  </w:r>
                  <w:r>
                    <w:rPr>
                      <w:rFonts w:hint="eastAsia"/>
                      <w:b/>
                      <w:szCs w:val="21"/>
                      <w:lang w:val="en-US" w:eastAsia="zh-CN"/>
                    </w:rPr>
                    <w:t>kg</w:t>
                  </w:r>
                  <w:r>
                    <w:rPr>
                      <w:rFonts w:hint="eastAsia"/>
                      <w:b/>
                      <w:szCs w:val="21"/>
                    </w:rPr>
                    <w:t>/a</w:t>
                  </w:r>
                </w:p>
              </w:tc>
              <w:tc>
                <w:tcPr>
                  <w:tcW w:w="404" w:type="pct"/>
                  <w:vMerge w:val="restart"/>
                  <w:vAlign w:val="center"/>
                </w:tcPr>
                <w:p w14:paraId="2E254F49">
                  <w:pPr>
                    <w:autoSpaceDE w:val="0"/>
                    <w:autoSpaceDN w:val="0"/>
                    <w:adjustRightInd w:val="0"/>
                    <w:snapToGrid w:val="0"/>
                    <w:jc w:val="center"/>
                    <w:rPr>
                      <w:b/>
                      <w:szCs w:val="21"/>
                    </w:rPr>
                  </w:pPr>
                  <w:r>
                    <w:rPr>
                      <w:rFonts w:hint="eastAsia"/>
                      <w:b/>
                      <w:szCs w:val="21"/>
                    </w:rPr>
                    <w:t>设计风量m</w:t>
                  </w:r>
                  <w:r>
                    <w:rPr>
                      <w:rFonts w:hint="eastAsia"/>
                      <w:b/>
                      <w:szCs w:val="21"/>
                      <w:vertAlign w:val="superscript"/>
                    </w:rPr>
                    <w:t>3</w:t>
                  </w:r>
                  <w:r>
                    <w:rPr>
                      <w:rFonts w:hint="eastAsia"/>
                      <w:b/>
                      <w:szCs w:val="21"/>
                    </w:rPr>
                    <w:t>/h</w:t>
                  </w:r>
                </w:p>
              </w:tc>
              <w:tc>
                <w:tcPr>
                  <w:tcW w:w="328" w:type="pct"/>
                  <w:vMerge w:val="restart"/>
                  <w:vAlign w:val="center"/>
                </w:tcPr>
                <w:p w14:paraId="3597FC08">
                  <w:pPr>
                    <w:autoSpaceDE w:val="0"/>
                    <w:autoSpaceDN w:val="0"/>
                    <w:adjustRightInd w:val="0"/>
                    <w:snapToGrid w:val="0"/>
                    <w:jc w:val="center"/>
                    <w:rPr>
                      <w:b/>
                      <w:szCs w:val="21"/>
                    </w:rPr>
                  </w:pPr>
                  <w:r>
                    <w:rPr>
                      <w:rFonts w:hint="eastAsia"/>
                      <w:b/>
                      <w:szCs w:val="21"/>
                    </w:rPr>
                    <w:t>治理措施</w:t>
                  </w:r>
                </w:p>
              </w:tc>
              <w:tc>
                <w:tcPr>
                  <w:tcW w:w="1176" w:type="pct"/>
                  <w:gridSpan w:val="4"/>
                  <w:vAlign w:val="center"/>
                </w:tcPr>
                <w:p w14:paraId="2F4459DC">
                  <w:pPr>
                    <w:autoSpaceDE w:val="0"/>
                    <w:autoSpaceDN w:val="0"/>
                    <w:adjustRightInd w:val="0"/>
                    <w:snapToGrid w:val="0"/>
                    <w:jc w:val="center"/>
                    <w:rPr>
                      <w:b/>
                      <w:szCs w:val="21"/>
                    </w:rPr>
                  </w:pPr>
                  <w:r>
                    <w:rPr>
                      <w:rFonts w:hint="eastAsia"/>
                      <w:b/>
                      <w:szCs w:val="21"/>
                    </w:rPr>
                    <w:t>排气筒</w:t>
                  </w:r>
                </w:p>
              </w:tc>
              <w:tc>
                <w:tcPr>
                  <w:tcW w:w="1638" w:type="pct"/>
                  <w:gridSpan w:val="3"/>
                  <w:vAlign w:val="center"/>
                </w:tcPr>
                <w:p w14:paraId="53127529">
                  <w:pPr>
                    <w:autoSpaceDE w:val="0"/>
                    <w:autoSpaceDN w:val="0"/>
                    <w:adjustRightInd w:val="0"/>
                    <w:snapToGrid w:val="0"/>
                    <w:jc w:val="center"/>
                    <w:rPr>
                      <w:b/>
                      <w:szCs w:val="21"/>
                    </w:rPr>
                  </w:pPr>
                  <w:r>
                    <w:rPr>
                      <w:rFonts w:hint="eastAsia"/>
                      <w:b/>
                      <w:szCs w:val="21"/>
                    </w:rPr>
                    <w:t>有组织排放情况</w:t>
                  </w:r>
                </w:p>
              </w:tc>
              <w:tc>
                <w:tcPr>
                  <w:tcW w:w="414" w:type="pct"/>
                  <w:vMerge w:val="restart"/>
                  <w:vAlign w:val="center"/>
                </w:tcPr>
                <w:p w14:paraId="1F366F20">
                  <w:pPr>
                    <w:autoSpaceDE w:val="0"/>
                    <w:autoSpaceDN w:val="0"/>
                    <w:adjustRightInd w:val="0"/>
                    <w:snapToGrid w:val="0"/>
                    <w:jc w:val="center"/>
                    <w:rPr>
                      <w:b/>
                      <w:szCs w:val="21"/>
                    </w:rPr>
                  </w:pPr>
                  <w:r>
                    <w:rPr>
                      <w:rFonts w:hint="eastAsia"/>
                      <w:b/>
                      <w:szCs w:val="21"/>
                    </w:rPr>
                    <w:t>无组织排放量kg/a</w:t>
                  </w:r>
                </w:p>
              </w:tc>
            </w:tr>
            <w:tr w14:paraId="43BB7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Merge w:val="continue"/>
                  <w:vAlign w:val="center"/>
                </w:tcPr>
                <w:p w14:paraId="0161AE5E">
                  <w:pPr>
                    <w:autoSpaceDE w:val="0"/>
                    <w:autoSpaceDN w:val="0"/>
                    <w:adjustRightInd w:val="0"/>
                    <w:snapToGrid w:val="0"/>
                    <w:jc w:val="center"/>
                    <w:rPr>
                      <w:szCs w:val="21"/>
                    </w:rPr>
                  </w:pPr>
                </w:p>
              </w:tc>
              <w:tc>
                <w:tcPr>
                  <w:tcW w:w="454" w:type="pct"/>
                  <w:vMerge w:val="continue"/>
                  <w:vAlign w:val="center"/>
                </w:tcPr>
                <w:p w14:paraId="3DD93A7F">
                  <w:pPr>
                    <w:autoSpaceDE w:val="0"/>
                    <w:autoSpaceDN w:val="0"/>
                    <w:adjustRightInd w:val="0"/>
                    <w:snapToGrid w:val="0"/>
                    <w:jc w:val="center"/>
                    <w:rPr>
                      <w:szCs w:val="21"/>
                    </w:rPr>
                  </w:pPr>
                </w:p>
              </w:tc>
              <w:tc>
                <w:tcPr>
                  <w:tcW w:w="404" w:type="pct"/>
                  <w:vMerge w:val="continue"/>
                  <w:vAlign w:val="center"/>
                </w:tcPr>
                <w:p w14:paraId="1178834E">
                  <w:pPr>
                    <w:autoSpaceDE w:val="0"/>
                    <w:autoSpaceDN w:val="0"/>
                    <w:adjustRightInd w:val="0"/>
                    <w:snapToGrid w:val="0"/>
                    <w:jc w:val="center"/>
                    <w:rPr>
                      <w:szCs w:val="21"/>
                    </w:rPr>
                  </w:pPr>
                </w:p>
              </w:tc>
              <w:tc>
                <w:tcPr>
                  <w:tcW w:w="328" w:type="pct"/>
                  <w:vMerge w:val="continue"/>
                  <w:vAlign w:val="center"/>
                </w:tcPr>
                <w:p w14:paraId="5B4FA591">
                  <w:pPr>
                    <w:autoSpaceDE w:val="0"/>
                    <w:autoSpaceDN w:val="0"/>
                    <w:adjustRightInd w:val="0"/>
                    <w:snapToGrid w:val="0"/>
                    <w:jc w:val="center"/>
                    <w:rPr>
                      <w:szCs w:val="21"/>
                    </w:rPr>
                  </w:pPr>
                </w:p>
              </w:tc>
              <w:tc>
                <w:tcPr>
                  <w:tcW w:w="260" w:type="pct"/>
                  <w:vAlign w:val="center"/>
                </w:tcPr>
                <w:p w14:paraId="738208CC">
                  <w:pPr>
                    <w:autoSpaceDE w:val="0"/>
                    <w:autoSpaceDN w:val="0"/>
                    <w:adjustRightInd w:val="0"/>
                    <w:snapToGrid w:val="0"/>
                    <w:jc w:val="center"/>
                    <w:rPr>
                      <w:b/>
                      <w:szCs w:val="21"/>
                    </w:rPr>
                  </w:pPr>
                  <w:r>
                    <w:rPr>
                      <w:rFonts w:hint="eastAsia"/>
                      <w:b/>
                      <w:szCs w:val="21"/>
                    </w:rPr>
                    <w:t>数量</w:t>
                  </w:r>
                </w:p>
              </w:tc>
              <w:tc>
                <w:tcPr>
                  <w:tcW w:w="297" w:type="pct"/>
                  <w:vAlign w:val="center"/>
                </w:tcPr>
                <w:p w14:paraId="37877DB6">
                  <w:pPr>
                    <w:autoSpaceDE w:val="0"/>
                    <w:autoSpaceDN w:val="0"/>
                    <w:adjustRightInd w:val="0"/>
                    <w:snapToGrid w:val="0"/>
                    <w:jc w:val="center"/>
                    <w:rPr>
                      <w:b/>
                      <w:szCs w:val="21"/>
                    </w:rPr>
                  </w:pPr>
                  <w:r>
                    <w:rPr>
                      <w:rFonts w:hint="eastAsia"/>
                      <w:b/>
                      <w:szCs w:val="21"/>
                    </w:rPr>
                    <w:t>高度</w:t>
                  </w:r>
                </w:p>
              </w:tc>
              <w:tc>
                <w:tcPr>
                  <w:tcW w:w="300" w:type="pct"/>
                  <w:vAlign w:val="center"/>
                </w:tcPr>
                <w:p w14:paraId="27FDA697">
                  <w:pPr>
                    <w:autoSpaceDE w:val="0"/>
                    <w:autoSpaceDN w:val="0"/>
                    <w:adjustRightInd w:val="0"/>
                    <w:snapToGrid w:val="0"/>
                    <w:jc w:val="center"/>
                    <w:rPr>
                      <w:b/>
                      <w:szCs w:val="21"/>
                    </w:rPr>
                  </w:pPr>
                  <w:r>
                    <w:rPr>
                      <w:rFonts w:hint="eastAsia"/>
                      <w:b/>
                      <w:szCs w:val="21"/>
                    </w:rPr>
                    <w:t>内径</w:t>
                  </w:r>
                </w:p>
              </w:tc>
              <w:tc>
                <w:tcPr>
                  <w:tcW w:w="318" w:type="pct"/>
                  <w:vAlign w:val="center"/>
                </w:tcPr>
                <w:p w14:paraId="15BC97EC">
                  <w:pPr>
                    <w:autoSpaceDE w:val="0"/>
                    <w:autoSpaceDN w:val="0"/>
                    <w:adjustRightInd w:val="0"/>
                    <w:snapToGrid w:val="0"/>
                    <w:jc w:val="center"/>
                    <w:rPr>
                      <w:b/>
                      <w:szCs w:val="21"/>
                    </w:rPr>
                  </w:pPr>
                  <w:r>
                    <w:rPr>
                      <w:rFonts w:hint="eastAsia"/>
                      <w:b/>
                      <w:szCs w:val="21"/>
                    </w:rPr>
                    <w:t>编号</w:t>
                  </w:r>
                </w:p>
              </w:tc>
              <w:tc>
                <w:tcPr>
                  <w:tcW w:w="579" w:type="pct"/>
                  <w:vAlign w:val="center"/>
                </w:tcPr>
                <w:p w14:paraId="291903C6">
                  <w:pPr>
                    <w:autoSpaceDE w:val="0"/>
                    <w:autoSpaceDN w:val="0"/>
                    <w:adjustRightInd w:val="0"/>
                    <w:snapToGrid w:val="0"/>
                    <w:jc w:val="center"/>
                    <w:rPr>
                      <w:b/>
                      <w:szCs w:val="21"/>
                      <w:vertAlign w:val="superscript"/>
                    </w:rPr>
                  </w:pPr>
                  <w:r>
                    <w:rPr>
                      <w:rFonts w:hint="eastAsia"/>
                      <w:b/>
                      <w:szCs w:val="21"/>
                    </w:rPr>
                    <w:t>浓度mg/m</w:t>
                  </w:r>
                  <w:r>
                    <w:rPr>
                      <w:rFonts w:hint="eastAsia"/>
                      <w:b/>
                      <w:szCs w:val="21"/>
                      <w:vertAlign w:val="superscript"/>
                    </w:rPr>
                    <w:t>3</w:t>
                  </w:r>
                </w:p>
              </w:tc>
              <w:tc>
                <w:tcPr>
                  <w:tcW w:w="585" w:type="pct"/>
                  <w:vAlign w:val="center"/>
                </w:tcPr>
                <w:p w14:paraId="648E8F90">
                  <w:pPr>
                    <w:autoSpaceDE w:val="0"/>
                    <w:autoSpaceDN w:val="0"/>
                    <w:adjustRightInd w:val="0"/>
                    <w:snapToGrid w:val="0"/>
                    <w:jc w:val="center"/>
                    <w:rPr>
                      <w:b/>
                      <w:szCs w:val="21"/>
                    </w:rPr>
                  </w:pPr>
                  <w:r>
                    <w:rPr>
                      <w:rFonts w:hint="eastAsia"/>
                      <w:b/>
                      <w:szCs w:val="21"/>
                    </w:rPr>
                    <w:t>排放速率kg/h</w:t>
                  </w:r>
                </w:p>
              </w:tc>
              <w:tc>
                <w:tcPr>
                  <w:tcW w:w="474" w:type="pct"/>
                  <w:vAlign w:val="center"/>
                </w:tcPr>
                <w:p w14:paraId="7950A8B5">
                  <w:pPr>
                    <w:autoSpaceDE w:val="0"/>
                    <w:autoSpaceDN w:val="0"/>
                    <w:adjustRightInd w:val="0"/>
                    <w:snapToGrid w:val="0"/>
                    <w:jc w:val="center"/>
                    <w:rPr>
                      <w:b/>
                      <w:szCs w:val="21"/>
                    </w:rPr>
                  </w:pPr>
                  <w:r>
                    <w:rPr>
                      <w:rFonts w:hint="eastAsia"/>
                      <w:b/>
                      <w:szCs w:val="21"/>
                    </w:rPr>
                    <w:t>排放量kg/a</w:t>
                  </w:r>
                </w:p>
              </w:tc>
              <w:tc>
                <w:tcPr>
                  <w:tcW w:w="414" w:type="pct"/>
                  <w:vMerge w:val="continue"/>
                  <w:vAlign w:val="center"/>
                </w:tcPr>
                <w:p w14:paraId="1B773DF8">
                  <w:pPr>
                    <w:autoSpaceDE w:val="0"/>
                    <w:autoSpaceDN w:val="0"/>
                    <w:adjustRightInd w:val="0"/>
                    <w:snapToGrid w:val="0"/>
                    <w:jc w:val="center"/>
                    <w:rPr>
                      <w:szCs w:val="21"/>
                    </w:rPr>
                  </w:pPr>
                </w:p>
              </w:tc>
            </w:tr>
            <w:tr w14:paraId="10644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009067D5">
                  <w:pPr>
                    <w:autoSpaceDE w:val="0"/>
                    <w:autoSpaceDN w:val="0"/>
                    <w:adjustRightInd w:val="0"/>
                    <w:snapToGrid w:val="0"/>
                    <w:jc w:val="center"/>
                    <w:rPr>
                      <w:szCs w:val="21"/>
                    </w:rPr>
                  </w:pPr>
                  <w:r>
                    <w:rPr>
                      <w:rFonts w:hint="eastAsia"/>
                      <w:szCs w:val="21"/>
                    </w:rPr>
                    <w:t>VOCs</w:t>
                  </w:r>
                </w:p>
              </w:tc>
              <w:tc>
                <w:tcPr>
                  <w:tcW w:w="454" w:type="pct"/>
                  <w:vAlign w:val="center"/>
                </w:tcPr>
                <w:p w14:paraId="5DEC6A68">
                  <w:pPr>
                    <w:autoSpaceDE w:val="0"/>
                    <w:autoSpaceDN w:val="0"/>
                    <w:adjustRightInd w:val="0"/>
                    <w:snapToGrid w:val="0"/>
                    <w:jc w:val="center"/>
                    <w:rPr>
                      <w:rFonts w:hint="default" w:eastAsia="宋体"/>
                      <w:szCs w:val="21"/>
                      <w:lang w:val="en-US" w:eastAsia="zh-CN"/>
                    </w:rPr>
                  </w:pPr>
                  <w:r>
                    <w:rPr>
                      <w:rFonts w:hint="eastAsia"/>
                      <w:szCs w:val="21"/>
                      <w:lang w:val="en-US" w:eastAsia="zh-CN"/>
                    </w:rPr>
                    <w:t>1226.03</w:t>
                  </w:r>
                </w:p>
              </w:tc>
              <w:tc>
                <w:tcPr>
                  <w:tcW w:w="404" w:type="pct"/>
                  <w:vMerge w:val="restart"/>
                  <w:vAlign w:val="center"/>
                </w:tcPr>
                <w:p w14:paraId="75AB6E60">
                  <w:pPr>
                    <w:autoSpaceDE w:val="0"/>
                    <w:autoSpaceDN w:val="0"/>
                    <w:adjustRightInd w:val="0"/>
                    <w:snapToGrid w:val="0"/>
                    <w:jc w:val="center"/>
                    <w:rPr>
                      <w:rFonts w:hint="default"/>
                      <w:szCs w:val="21"/>
                      <w:lang w:val="en-US"/>
                    </w:rPr>
                  </w:pPr>
                  <w:r>
                    <w:rPr>
                      <w:rFonts w:hint="eastAsia"/>
                      <w:szCs w:val="21"/>
                      <w:lang w:val="en-US" w:eastAsia="zh-CN"/>
                    </w:rPr>
                    <w:t>42600</w:t>
                  </w:r>
                </w:p>
              </w:tc>
              <w:tc>
                <w:tcPr>
                  <w:tcW w:w="328" w:type="pct"/>
                  <w:vMerge w:val="restart"/>
                  <w:vAlign w:val="center"/>
                </w:tcPr>
                <w:p w14:paraId="5DCFC80B">
                  <w:pPr>
                    <w:autoSpaceDE w:val="0"/>
                    <w:autoSpaceDN w:val="0"/>
                    <w:adjustRightInd w:val="0"/>
                    <w:snapToGrid w:val="0"/>
                    <w:jc w:val="center"/>
                    <w:rPr>
                      <w:rFonts w:hint="default" w:eastAsia="宋体"/>
                      <w:szCs w:val="21"/>
                      <w:lang w:val="en-US" w:eastAsia="zh-CN"/>
                    </w:rPr>
                  </w:pPr>
                  <w:r>
                    <w:rPr>
                      <w:rFonts w:hint="eastAsia"/>
                      <w:szCs w:val="21"/>
                      <w:lang w:val="en-US" w:eastAsia="zh-CN"/>
                    </w:rPr>
                    <w:t>二级活性炭吸附装置</w:t>
                  </w:r>
                </w:p>
              </w:tc>
              <w:tc>
                <w:tcPr>
                  <w:tcW w:w="260" w:type="pct"/>
                  <w:vMerge w:val="restart"/>
                  <w:vAlign w:val="center"/>
                </w:tcPr>
                <w:p w14:paraId="4AE0E0DF">
                  <w:pPr>
                    <w:autoSpaceDE w:val="0"/>
                    <w:autoSpaceDN w:val="0"/>
                    <w:adjustRightInd w:val="0"/>
                    <w:snapToGrid w:val="0"/>
                    <w:jc w:val="center"/>
                    <w:rPr>
                      <w:szCs w:val="21"/>
                    </w:rPr>
                  </w:pPr>
                  <w:r>
                    <w:rPr>
                      <w:rFonts w:hint="eastAsia"/>
                      <w:szCs w:val="21"/>
                    </w:rPr>
                    <w:t>1</w:t>
                  </w:r>
                </w:p>
              </w:tc>
              <w:tc>
                <w:tcPr>
                  <w:tcW w:w="297" w:type="pct"/>
                  <w:vMerge w:val="restart"/>
                  <w:vAlign w:val="center"/>
                </w:tcPr>
                <w:p w14:paraId="6C50B4D9">
                  <w:pPr>
                    <w:autoSpaceDE w:val="0"/>
                    <w:autoSpaceDN w:val="0"/>
                    <w:adjustRightInd w:val="0"/>
                    <w:snapToGrid w:val="0"/>
                    <w:jc w:val="center"/>
                    <w:rPr>
                      <w:szCs w:val="21"/>
                    </w:rPr>
                  </w:pPr>
                  <w:r>
                    <w:rPr>
                      <w:rFonts w:hint="eastAsia"/>
                      <w:szCs w:val="21"/>
                      <w:lang w:val="en-US" w:eastAsia="zh-CN"/>
                    </w:rPr>
                    <w:t>15</w:t>
                  </w:r>
                  <w:r>
                    <w:rPr>
                      <w:rFonts w:hint="eastAsia"/>
                      <w:szCs w:val="21"/>
                    </w:rPr>
                    <w:t>m</w:t>
                  </w:r>
                </w:p>
              </w:tc>
              <w:tc>
                <w:tcPr>
                  <w:tcW w:w="300" w:type="pct"/>
                  <w:vMerge w:val="restart"/>
                  <w:vAlign w:val="center"/>
                </w:tcPr>
                <w:p w14:paraId="5B2EA4A5">
                  <w:pPr>
                    <w:autoSpaceDE w:val="0"/>
                    <w:autoSpaceDN w:val="0"/>
                    <w:adjustRightInd w:val="0"/>
                    <w:snapToGrid w:val="0"/>
                    <w:jc w:val="center"/>
                    <w:rPr>
                      <w:szCs w:val="21"/>
                    </w:rPr>
                  </w:pPr>
                  <w:r>
                    <w:rPr>
                      <w:rFonts w:hint="eastAsia"/>
                      <w:szCs w:val="21"/>
                    </w:rPr>
                    <w:t>1m</w:t>
                  </w:r>
                </w:p>
              </w:tc>
              <w:tc>
                <w:tcPr>
                  <w:tcW w:w="318" w:type="pct"/>
                  <w:vMerge w:val="restart"/>
                  <w:vAlign w:val="center"/>
                </w:tcPr>
                <w:p w14:paraId="08E06A0D">
                  <w:pPr>
                    <w:wordWrap w:val="0"/>
                    <w:autoSpaceDE w:val="0"/>
                    <w:autoSpaceDN w:val="0"/>
                    <w:adjustRightInd w:val="0"/>
                    <w:snapToGrid w:val="0"/>
                    <w:jc w:val="center"/>
                    <w:rPr>
                      <w:rFonts w:hint="eastAsia" w:eastAsia="宋体"/>
                      <w:szCs w:val="21"/>
                      <w:lang w:eastAsia="zh-CN"/>
                    </w:rPr>
                  </w:pPr>
                  <w:r>
                    <w:rPr>
                      <w:rFonts w:hint="eastAsia"/>
                      <w:szCs w:val="21"/>
                    </w:rPr>
                    <w:t>DA00</w:t>
                  </w:r>
                  <w:r>
                    <w:rPr>
                      <w:rFonts w:hint="eastAsia"/>
                      <w:szCs w:val="21"/>
                      <w:lang w:val="en-US" w:eastAsia="zh-CN"/>
                    </w:rPr>
                    <w:t>2</w:t>
                  </w:r>
                </w:p>
              </w:tc>
              <w:tc>
                <w:tcPr>
                  <w:tcW w:w="579" w:type="pct"/>
                  <w:vAlign w:val="center"/>
                </w:tcPr>
                <w:p w14:paraId="1D833D25">
                  <w:pPr>
                    <w:autoSpaceDE w:val="0"/>
                    <w:autoSpaceDN w:val="0"/>
                    <w:adjustRightInd w:val="0"/>
                    <w:snapToGrid w:val="0"/>
                    <w:jc w:val="center"/>
                    <w:rPr>
                      <w:rFonts w:hint="default" w:eastAsia="宋体"/>
                      <w:szCs w:val="21"/>
                      <w:lang w:val="en-US" w:eastAsia="zh-CN"/>
                    </w:rPr>
                  </w:pPr>
                  <w:r>
                    <w:rPr>
                      <w:rFonts w:hint="eastAsia"/>
                      <w:szCs w:val="21"/>
                      <w:lang w:val="en-US" w:eastAsia="zh-CN"/>
                    </w:rPr>
                    <w:t>0.5696</w:t>
                  </w:r>
                </w:p>
              </w:tc>
              <w:tc>
                <w:tcPr>
                  <w:tcW w:w="585" w:type="pct"/>
                  <w:vAlign w:val="center"/>
                </w:tcPr>
                <w:p w14:paraId="48F7FEA4">
                  <w:pPr>
                    <w:autoSpaceDE w:val="0"/>
                    <w:autoSpaceDN w:val="0"/>
                    <w:adjustRightInd w:val="0"/>
                    <w:snapToGrid w:val="0"/>
                    <w:jc w:val="center"/>
                    <w:rPr>
                      <w:rFonts w:hint="default" w:eastAsia="宋体"/>
                      <w:szCs w:val="21"/>
                      <w:lang w:val="en-US" w:eastAsia="zh-CN"/>
                    </w:rPr>
                  </w:pPr>
                  <w:r>
                    <w:rPr>
                      <w:rFonts w:hint="eastAsia"/>
                      <w:szCs w:val="21"/>
                      <w:lang w:val="en-US" w:eastAsia="zh-CN"/>
                    </w:rPr>
                    <w:t>0.0243</w:t>
                  </w:r>
                </w:p>
              </w:tc>
              <w:tc>
                <w:tcPr>
                  <w:tcW w:w="474" w:type="pct"/>
                  <w:vAlign w:val="center"/>
                </w:tcPr>
                <w:p w14:paraId="2E16614E">
                  <w:pPr>
                    <w:autoSpaceDE w:val="0"/>
                    <w:autoSpaceDN w:val="0"/>
                    <w:adjustRightInd w:val="0"/>
                    <w:snapToGrid w:val="0"/>
                    <w:jc w:val="center"/>
                    <w:rPr>
                      <w:rFonts w:hint="default" w:eastAsia="宋体"/>
                      <w:szCs w:val="21"/>
                      <w:lang w:val="en-US" w:eastAsia="zh-CN"/>
                    </w:rPr>
                  </w:pPr>
                  <w:r>
                    <w:rPr>
                      <w:rFonts w:hint="eastAsia"/>
                      <w:szCs w:val="21"/>
                      <w:lang w:val="en-US" w:eastAsia="zh-CN"/>
                    </w:rPr>
                    <w:t>116.47</w:t>
                  </w:r>
                </w:p>
              </w:tc>
              <w:tc>
                <w:tcPr>
                  <w:tcW w:w="414" w:type="pct"/>
                  <w:vAlign w:val="center"/>
                </w:tcPr>
                <w:p w14:paraId="36D4DE74">
                  <w:pPr>
                    <w:tabs>
                      <w:tab w:val="left" w:pos="204"/>
                    </w:tabs>
                    <w:autoSpaceDE w:val="0"/>
                    <w:autoSpaceDN w:val="0"/>
                    <w:adjustRightInd w:val="0"/>
                    <w:snapToGrid w:val="0"/>
                    <w:jc w:val="both"/>
                    <w:rPr>
                      <w:rFonts w:hint="default" w:eastAsia="宋体"/>
                      <w:szCs w:val="21"/>
                      <w:lang w:val="en-US" w:eastAsia="zh-CN"/>
                    </w:rPr>
                  </w:pPr>
                  <w:r>
                    <w:rPr>
                      <w:rFonts w:hint="eastAsia"/>
                      <w:szCs w:val="21"/>
                      <w:lang w:val="en-US" w:eastAsia="zh-CN"/>
                    </w:rPr>
                    <w:t>61.3</w:t>
                  </w:r>
                </w:p>
              </w:tc>
            </w:tr>
            <w:tr w14:paraId="739A7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2" w:type="pct"/>
                  <w:vAlign w:val="center"/>
                </w:tcPr>
                <w:p w14:paraId="46175A8E">
                  <w:pPr>
                    <w:autoSpaceDE w:val="0"/>
                    <w:autoSpaceDN w:val="0"/>
                    <w:adjustRightInd w:val="0"/>
                    <w:snapToGrid w:val="0"/>
                    <w:jc w:val="center"/>
                    <w:rPr>
                      <w:szCs w:val="21"/>
                    </w:rPr>
                  </w:pPr>
                  <w:r>
                    <w:rPr>
                      <w:rFonts w:hint="eastAsia"/>
                      <w:szCs w:val="21"/>
                    </w:rPr>
                    <w:t>二甲苯</w:t>
                  </w:r>
                </w:p>
              </w:tc>
              <w:tc>
                <w:tcPr>
                  <w:tcW w:w="454" w:type="pct"/>
                  <w:vAlign w:val="center"/>
                </w:tcPr>
                <w:p w14:paraId="7E4AB412">
                  <w:pPr>
                    <w:autoSpaceDE w:val="0"/>
                    <w:autoSpaceDN w:val="0"/>
                    <w:adjustRightInd w:val="0"/>
                    <w:snapToGrid w:val="0"/>
                    <w:jc w:val="center"/>
                    <w:rPr>
                      <w:rFonts w:hint="default" w:eastAsia="宋体"/>
                      <w:szCs w:val="21"/>
                      <w:lang w:val="en-US" w:eastAsia="zh-CN"/>
                    </w:rPr>
                  </w:pPr>
                  <w:r>
                    <w:rPr>
                      <w:rFonts w:hint="eastAsia"/>
                      <w:szCs w:val="21"/>
                      <w:lang w:val="en-US" w:eastAsia="zh-CN"/>
                    </w:rPr>
                    <w:t>30</w:t>
                  </w:r>
                </w:p>
              </w:tc>
              <w:tc>
                <w:tcPr>
                  <w:tcW w:w="404" w:type="pct"/>
                  <w:vMerge w:val="continue"/>
                  <w:vAlign w:val="center"/>
                </w:tcPr>
                <w:p w14:paraId="1F9475DF">
                  <w:pPr>
                    <w:autoSpaceDE w:val="0"/>
                    <w:autoSpaceDN w:val="0"/>
                    <w:adjustRightInd w:val="0"/>
                    <w:snapToGrid w:val="0"/>
                    <w:jc w:val="center"/>
                    <w:rPr>
                      <w:szCs w:val="21"/>
                    </w:rPr>
                  </w:pPr>
                </w:p>
              </w:tc>
              <w:tc>
                <w:tcPr>
                  <w:tcW w:w="328" w:type="pct"/>
                  <w:vMerge w:val="continue"/>
                  <w:vAlign w:val="center"/>
                </w:tcPr>
                <w:p w14:paraId="58B0FD99">
                  <w:pPr>
                    <w:autoSpaceDE w:val="0"/>
                    <w:autoSpaceDN w:val="0"/>
                    <w:adjustRightInd w:val="0"/>
                    <w:snapToGrid w:val="0"/>
                    <w:jc w:val="center"/>
                    <w:rPr>
                      <w:szCs w:val="21"/>
                    </w:rPr>
                  </w:pPr>
                </w:p>
              </w:tc>
              <w:tc>
                <w:tcPr>
                  <w:tcW w:w="260" w:type="pct"/>
                  <w:vMerge w:val="continue"/>
                  <w:vAlign w:val="center"/>
                </w:tcPr>
                <w:p w14:paraId="1BB27AA0">
                  <w:pPr>
                    <w:autoSpaceDE w:val="0"/>
                    <w:autoSpaceDN w:val="0"/>
                    <w:adjustRightInd w:val="0"/>
                    <w:snapToGrid w:val="0"/>
                    <w:jc w:val="center"/>
                    <w:rPr>
                      <w:szCs w:val="21"/>
                    </w:rPr>
                  </w:pPr>
                </w:p>
              </w:tc>
              <w:tc>
                <w:tcPr>
                  <w:tcW w:w="297" w:type="pct"/>
                  <w:vMerge w:val="continue"/>
                  <w:vAlign w:val="center"/>
                </w:tcPr>
                <w:p w14:paraId="3984221A">
                  <w:pPr>
                    <w:autoSpaceDE w:val="0"/>
                    <w:autoSpaceDN w:val="0"/>
                    <w:adjustRightInd w:val="0"/>
                    <w:snapToGrid w:val="0"/>
                    <w:jc w:val="center"/>
                    <w:rPr>
                      <w:szCs w:val="21"/>
                    </w:rPr>
                  </w:pPr>
                </w:p>
              </w:tc>
              <w:tc>
                <w:tcPr>
                  <w:tcW w:w="300" w:type="pct"/>
                  <w:vMerge w:val="continue"/>
                  <w:vAlign w:val="center"/>
                </w:tcPr>
                <w:p w14:paraId="62239CA2">
                  <w:pPr>
                    <w:autoSpaceDE w:val="0"/>
                    <w:autoSpaceDN w:val="0"/>
                    <w:adjustRightInd w:val="0"/>
                    <w:snapToGrid w:val="0"/>
                    <w:jc w:val="center"/>
                    <w:rPr>
                      <w:szCs w:val="21"/>
                    </w:rPr>
                  </w:pPr>
                </w:p>
              </w:tc>
              <w:tc>
                <w:tcPr>
                  <w:tcW w:w="318" w:type="pct"/>
                  <w:vMerge w:val="continue"/>
                  <w:vAlign w:val="center"/>
                </w:tcPr>
                <w:p w14:paraId="2B5C5CC8">
                  <w:pPr>
                    <w:wordWrap w:val="0"/>
                    <w:autoSpaceDE w:val="0"/>
                    <w:autoSpaceDN w:val="0"/>
                    <w:adjustRightInd w:val="0"/>
                    <w:snapToGrid w:val="0"/>
                    <w:jc w:val="center"/>
                    <w:rPr>
                      <w:szCs w:val="21"/>
                    </w:rPr>
                  </w:pPr>
                </w:p>
              </w:tc>
              <w:tc>
                <w:tcPr>
                  <w:tcW w:w="579" w:type="pct"/>
                  <w:vAlign w:val="center"/>
                </w:tcPr>
                <w:p w14:paraId="13451767">
                  <w:pPr>
                    <w:autoSpaceDE w:val="0"/>
                    <w:autoSpaceDN w:val="0"/>
                    <w:adjustRightInd w:val="0"/>
                    <w:snapToGrid w:val="0"/>
                    <w:jc w:val="center"/>
                    <w:rPr>
                      <w:rFonts w:hint="default" w:eastAsia="宋体"/>
                      <w:szCs w:val="21"/>
                      <w:lang w:val="en-US" w:eastAsia="zh-CN"/>
                    </w:rPr>
                  </w:pPr>
                  <w:r>
                    <w:rPr>
                      <w:rFonts w:hint="eastAsia"/>
                      <w:szCs w:val="21"/>
                      <w:lang w:val="en-US" w:eastAsia="zh-CN"/>
                    </w:rPr>
                    <w:t>0.0139</w:t>
                  </w:r>
                </w:p>
              </w:tc>
              <w:tc>
                <w:tcPr>
                  <w:tcW w:w="585" w:type="pct"/>
                  <w:vAlign w:val="center"/>
                </w:tcPr>
                <w:p w14:paraId="2F12192F">
                  <w:pPr>
                    <w:autoSpaceDE w:val="0"/>
                    <w:autoSpaceDN w:val="0"/>
                    <w:adjustRightInd w:val="0"/>
                    <w:snapToGrid w:val="0"/>
                    <w:jc w:val="center"/>
                    <w:rPr>
                      <w:rFonts w:hint="default" w:eastAsia="宋体"/>
                      <w:szCs w:val="21"/>
                      <w:lang w:val="en-US" w:eastAsia="zh-CN"/>
                    </w:rPr>
                  </w:pPr>
                  <w:r>
                    <w:rPr>
                      <w:rFonts w:hint="eastAsia"/>
                      <w:szCs w:val="21"/>
                      <w:lang w:val="en-US" w:eastAsia="zh-CN"/>
                    </w:rPr>
                    <w:t>0.0006</w:t>
                  </w:r>
                </w:p>
              </w:tc>
              <w:tc>
                <w:tcPr>
                  <w:tcW w:w="474" w:type="pct"/>
                  <w:vAlign w:val="center"/>
                </w:tcPr>
                <w:p w14:paraId="016CA837">
                  <w:pPr>
                    <w:autoSpaceDE w:val="0"/>
                    <w:autoSpaceDN w:val="0"/>
                    <w:adjustRightInd w:val="0"/>
                    <w:snapToGrid w:val="0"/>
                    <w:jc w:val="center"/>
                    <w:rPr>
                      <w:rFonts w:hint="default" w:eastAsia="宋体"/>
                      <w:szCs w:val="21"/>
                      <w:lang w:val="en-US" w:eastAsia="zh-CN"/>
                    </w:rPr>
                  </w:pPr>
                  <w:r>
                    <w:rPr>
                      <w:rFonts w:hint="eastAsia"/>
                      <w:szCs w:val="21"/>
                      <w:lang w:val="en-US" w:eastAsia="zh-CN"/>
                    </w:rPr>
                    <w:t>2.85</w:t>
                  </w:r>
                </w:p>
              </w:tc>
              <w:tc>
                <w:tcPr>
                  <w:tcW w:w="414" w:type="pct"/>
                  <w:vAlign w:val="center"/>
                </w:tcPr>
                <w:p w14:paraId="45EDA3A5">
                  <w:pPr>
                    <w:autoSpaceDE w:val="0"/>
                    <w:autoSpaceDN w:val="0"/>
                    <w:adjustRightInd w:val="0"/>
                    <w:snapToGrid w:val="0"/>
                    <w:jc w:val="center"/>
                    <w:rPr>
                      <w:rFonts w:hint="default" w:eastAsia="宋体"/>
                      <w:szCs w:val="21"/>
                      <w:lang w:val="en-US" w:eastAsia="zh-CN"/>
                    </w:rPr>
                  </w:pPr>
                  <w:r>
                    <w:rPr>
                      <w:rFonts w:hint="eastAsia"/>
                      <w:szCs w:val="21"/>
                      <w:lang w:val="en-US" w:eastAsia="zh-CN"/>
                    </w:rPr>
                    <w:t>1.5</w:t>
                  </w:r>
                </w:p>
              </w:tc>
            </w:tr>
            <w:tr w14:paraId="073B8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41D90C8D">
                  <w:pPr>
                    <w:autoSpaceDE w:val="0"/>
                    <w:autoSpaceDN w:val="0"/>
                    <w:adjustRightInd w:val="0"/>
                    <w:snapToGrid w:val="0"/>
                    <w:jc w:val="center"/>
                    <w:rPr>
                      <w:szCs w:val="21"/>
                    </w:rPr>
                  </w:pPr>
                  <w:r>
                    <w:rPr>
                      <w:rFonts w:hint="eastAsia"/>
                      <w:szCs w:val="21"/>
                    </w:rPr>
                    <w:t>乙苯</w:t>
                  </w:r>
                </w:p>
              </w:tc>
              <w:tc>
                <w:tcPr>
                  <w:tcW w:w="454" w:type="pct"/>
                  <w:vAlign w:val="center"/>
                </w:tcPr>
                <w:p w14:paraId="355427AB">
                  <w:pPr>
                    <w:autoSpaceDE w:val="0"/>
                    <w:autoSpaceDN w:val="0"/>
                    <w:adjustRightInd w:val="0"/>
                    <w:snapToGrid w:val="0"/>
                    <w:jc w:val="center"/>
                    <w:rPr>
                      <w:rFonts w:hint="default" w:eastAsia="宋体"/>
                      <w:szCs w:val="21"/>
                      <w:lang w:val="en-US" w:eastAsia="zh-CN"/>
                    </w:rPr>
                  </w:pPr>
                  <w:r>
                    <w:rPr>
                      <w:rFonts w:hint="eastAsia"/>
                      <w:szCs w:val="21"/>
                      <w:lang w:val="en-US" w:eastAsia="zh-CN"/>
                    </w:rPr>
                    <w:t>4.5</w:t>
                  </w:r>
                </w:p>
              </w:tc>
              <w:tc>
                <w:tcPr>
                  <w:tcW w:w="404" w:type="pct"/>
                  <w:vMerge w:val="continue"/>
                  <w:vAlign w:val="center"/>
                </w:tcPr>
                <w:p w14:paraId="76AC42D3">
                  <w:pPr>
                    <w:autoSpaceDE w:val="0"/>
                    <w:autoSpaceDN w:val="0"/>
                    <w:adjustRightInd w:val="0"/>
                    <w:snapToGrid w:val="0"/>
                    <w:jc w:val="center"/>
                    <w:rPr>
                      <w:szCs w:val="21"/>
                    </w:rPr>
                  </w:pPr>
                </w:p>
              </w:tc>
              <w:tc>
                <w:tcPr>
                  <w:tcW w:w="328" w:type="pct"/>
                  <w:vMerge w:val="continue"/>
                  <w:vAlign w:val="center"/>
                </w:tcPr>
                <w:p w14:paraId="34609D6A">
                  <w:pPr>
                    <w:autoSpaceDE w:val="0"/>
                    <w:autoSpaceDN w:val="0"/>
                    <w:adjustRightInd w:val="0"/>
                    <w:snapToGrid w:val="0"/>
                    <w:jc w:val="center"/>
                    <w:rPr>
                      <w:szCs w:val="21"/>
                    </w:rPr>
                  </w:pPr>
                </w:p>
              </w:tc>
              <w:tc>
                <w:tcPr>
                  <w:tcW w:w="260" w:type="pct"/>
                  <w:vMerge w:val="continue"/>
                  <w:vAlign w:val="center"/>
                </w:tcPr>
                <w:p w14:paraId="34EEAC74">
                  <w:pPr>
                    <w:autoSpaceDE w:val="0"/>
                    <w:autoSpaceDN w:val="0"/>
                    <w:adjustRightInd w:val="0"/>
                    <w:snapToGrid w:val="0"/>
                    <w:jc w:val="center"/>
                    <w:rPr>
                      <w:szCs w:val="21"/>
                    </w:rPr>
                  </w:pPr>
                </w:p>
              </w:tc>
              <w:tc>
                <w:tcPr>
                  <w:tcW w:w="297" w:type="pct"/>
                  <w:vMerge w:val="continue"/>
                  <w:vAlign w:val="center"/>
                </w:tcPr>
                <w:p w14:paraId="7EEBFC76">
                  <w:pPr>
                    <w:autoSpaceDE w:val="0"/>
                    <w:autoSpaceDN w:val="0"/>
                    <w:adjustRightInd w:val="0"/>
                    <w:snapToGrid w:val="0"/>
                    <w:jc w:val="center"/>
                    <w:rPr>
                      <w:szCs w:val="21"/>
                    </w:rPr>
                  </w:pPr>
                </w:p>
              </w:tc>
              <w:tc>
                <w:tcPr>
                  <w:tcW w:w="300" w:type="pct"/>
                  <w:vMerge w:val="continue"/>
                  <w:vAlign w:val="center"/>
                </w:tcPr>
                <w:p w14:paraId="2441FF4F">
                  <w:pPr>
                    <w:autoSpaceDE w:val="0"/>
                    <w:autoSpaceDN w:val="0"/>
                    <w:adjustRightInd w:val="0"/>
                    <w:snapToGrid w:val="0"/>
                    <w:jc w:val="center"/>
                    <w:rPr>
                      <w:szCs w:val="21"/>
                    </w:rPr>
                  </w:pPr>
                </w:p>
              </w:tc>
              <w:tc>
                <w:tcPr>
                  <w:tcW w:w="318" w:type="pct"/>
                  <w:vMerge w:val="continue"/>
                  <w:vAlign w:val="center"/>
                </w:tcPr>
                <w:p w14:paraId="1EAEA604">
                  <w:pPr>
                    <w:wordWrap w:val="0"/>
                    <w:autoSpaceDE w:val="0"/>
                    <w:autoSpaceDN w:val="0"/>
                    <w:adjustRightInd w:val="0"/>
                    <w:snapToGrid w:val="0"/>
                    <w:jc w:val="center"/>
                    <w:rPr>
                      <w:szCs w:val="21"/>
                    </w:rPr>
                  </w:pPr>
                </w:p>
              </w:tc>
              <w:tc>
                <w:tcPr>
                  <w:tcW w:w="579" w:type="pct"/>
                  <w:vAlign w:val="center"/>
                </w:tcPr>
                <w:p w14:paraId="01D91236">
                  <w:pPr>
                    <w:autoSpaceDE w:val="0"/>
                    <w:autoSpaceDN w:val="0"/>
                    <w:adjustRightInd w:val="0"/>
                    <w:snapToGrid w:val="0"/>
                    <w:jc w:val="center"/>
                    <w:rPr>
                      <w:rFonts w:hint="default" w:eastAsia="宋体"/>
                      <w:szCs w:val="21"/>
                      <w:lang w:val="en-US" w:eastAsia="zh-CN"/>
                    </w:rPr>
                  </w:pPr>
                  <w:r>
                    <w:rPr>
                      <w:rFonts w:hint="eastAsia"/>
                      <w:szCs w:val="21"/>
                      <w:lang w:val="en-US" w:eastAsia="zh-CN"/>
                    </w:rPr>
                    <w:t>0.0021</w:t>
                  </w:r>
                </w:p>
              </w:tc>
              <w:tc>
                <w:tcPr>
                  <w:tcW w:w="585" w:type="pct"/>
                  <w:vAlign w:val="center"/>
                </w:tcPr>
                <w:p w14:paraId="4780B644">
                  <w:pPr>
                    <w:autoSpaceDE w:val="0"/>
                    <w:autoSpaceDN w:val="0"/>
                    <w:adjustRightInd w:val="0"/>
                    <w:snapToGrid w:val="0"/>
                    <w:jc w:val="center"/>
                    <w:rPr>
                      <w:rFonts w:hint="default" w:eastAsia="宋体"/>
                      <w:szCs w:val="21"/>
                      <w:lang w:val="en-US" w:eastAsia="zh-CN"/>
                    </w:rPr>
                  </w:pPr>
                  <w:r>
                    <w:rPr>
                      <w:rFonts w:hint="eastAsia"/>
                      <w:szCs w:val="21"/>
                      <w:lang w:val="en-US" w:eastAsia="zh-CN"/>
                    </w:rPr>
                    <w:t>0.00009</w:t>
                  </w:r>
                </w:p>
              </w:tc>
              <w:tc>
                <w:tcPr>
                  <w:tcW w:w="474" w:type="pct"/>
                  <w:vAlign w:val="center"/>
                </w:tcPr>
                <w:p w14:paraId="6D6F5E24">
                  <w:pPr>
                    <w:autoSpaceDE w:val="0"/>
                    <w:autoSpaceDN w:val="0"/>
                    <w:adjustRightInd w:val="0"/>
                    <w:snapToGrid w:val="0"/>
                    <w:jc w:val="center"/>
                    <w:rPr>
                      <w:rFonts w:hint="default" w:eastAsia="宋体"/>
                      <w:szCs w:val="21"/>
                      <w:lang w:val="en-US" w:eastAsia="zh-CN"/>
                    </w:rPr>
                  </w:pPr>
                  <w:r>
                    <w:rPr>
                      <w:rFonts w:hint="eastAsia"/>
                      <w:szCs w:val="21"/>
                      <w:lang w:val="en-US" w:eastAsia="zh-CN"/>
                    </w:rPr>
                    <w:t>0.43</w:t>
                  </w:r>
                </w:p>
              </w:tc>
              <w:tc>
                <w:tcPr>
                  <w:tcW w:w="414" w:type="pct"/>
                  <w:vAlign w:val="center"/>
                </w:tcPr>
                <w:p w14:paraId="62C861FC">
                  <w:pPr>
                    <w:autoSpaceDE w:val="0"/>
                    <w:autoSpaceDN w:val="0"/>
                    <w:adjustRightInd w:val="0"/>
                    <w:snapToGrid w:val="0"/>
                    <w:jc w:val="center"/>
                    <w:rPr>
                      <w:rFonts w:hint="default" w:eastAsia="宋体"/>
                      <w:szCs w:val="21"/>
                      <w:lang w:val="en-US" w:eastAsia="zh-CN"/>
                    </w:rPr>
                  </w:pPr>
                  <w:r>
                    <w:rPr>
                      <w:rFonts w:hint="eastAsia"/>
                      <w:szCs w:val="21"/>
                      <w:lang w:val="en-US" w:eastAsia="zh-CN"/>
                    </w:rPr>
                    <w:t>0.23</w:t>
                  </w:r>
                </w:p>
              </w:tc>
            </w:tr>
            <w:tr w14:paraId="42302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0870C47B">
                  <w:pPr>
                    <w:autoSpaceDE w:val="0"/>
                    <w:autoSpaceDN w:val="0"/>
                    <w:adjustRightInd w:val="0"/>
                    <w:snapToGrid w:val="0"/>
                    <w:jc w:val="center"/>
                    <w:rPr>
                      <w:szCs w:val="21"/>
                    </w:rPr>
                  </w:pPr>
                  <w:r>
                    <w:rPr>
                      <w:rFonts w:hint="eastAsia"/>
                      <w:szCs w:val="21"/>
                    </w:rPr>
                    <w:t>VOCs</w:t>
                  </w:r>
                </w:p>
              </w:tc>
              <w:tc>
                <w:tcPr>
                  <w:tcW w:w="454" w:type="pct"/>
                  <w:vAlign w:val="center"/>
                </w:tcPr>
                <w:p w14:paraId="1AFAB6CE">
                  <w:pPr>
                    <w:autoSpaceDE w:val="0"/>
                    <w:autoSpaceDN w:val="0"/>
                    <w:adjustRightInd w:val="0"/>
                    <w:snapToGrid w:val="0"/>
                    <w:jc w:val="center"/>
                    <w:rPr>
                      <w:rFonts w:hint="default" w:eastAsia="宋体"/>
                      <w:szCs w:val="21"/>
                      <w:lang w:val="en-US" w:eastAsia="zh-CN"/>
                    </w:rPr>
                  </w:pPr>
                  <w:r>
                    <w:rPr>
                      <w:rFonts w:hint="eastAsia"/>
                      <w:szCs w:val="21"/>
                      <w:lang w:val="en-US" w:eastAsia="zh-CN"/>
                    </w:rPr>
                    <w:t>397.2</w:t>
                  </w:r>
                </w:p>
              </w:tc>
              <w:tc>
                <w:tcPr>
                  <w:tcW w:w="404" w:type="pct"/>
                  <w:vAlign w:val="center"/>
                </w:tcPr>
                <w:p w14:paraId="26564D9F">
                  <w:pPr>
                    <w:autoSpaceDE w:val="0"/>
                    <w:autoSpaceDN w:val="0"/>
                    <w:adjustRightInd w:val="0"/>
                    <w:snapToGrid w:val="0"/>
                    <w:jc w:val="center"/>
                    <w:rPr>
                      <w:rFonts w:hint="default"/>
                      <w:szCs w:val="21"/>
                      <w:lang w:val="en-US"/>
                    </w:rPr>
                  </w:pPr>
                  <w:r>
                    <w:rPr>
                      <w:rFonts w:hint="eastAsia"/>
                      <w:szCs w:val="21"/>
                      <w:lang w:val="en-US" w:eastAsia="zh-CN"/>
                    </w:rPr>
                    <w:t>49000</w:t>
                  </w:r>
                </w:p>
              </w:tc>
              <w:tc>
                <w:tcPr>
                  <w:tcW w:w="328" w:type="pct"/>
                  <w:vMerge w:val="continue"/>
                  <w:vAlign w:val="center"/>
                </w:tcPr>
                <w:p w14:paraId="39C548BB">
                  <w:pPr>
                    <w:autoSpaceDE w:val="0"/>
                    <w:autoSpaceDN w:val="0"/>
                    <w:adjustRightInd w:val="0"/>
                    <w:snapToGrid w:val="0"/>
                    <w:jc w:val="center"/>
                    <w:rPr>
                      <w:szCs w:val="21"/>
                    </w:rPr>
                  </w:pPr>
                </w:p>
              </w:tc>
              <w:tc>
                <w:tcPr>
                  <w:tcW w:w="260" w:type="pct"/>
                  <w:vAlign w:val="center"/>
                </w:tcPr>
                <w:p w14:paraId="722356E5">
                  <w:pPr>
                    <w:autoSpaceDE w:val="0"/>
                    <w:autoSpaceDN w:val="0"/>
                    <w:adjustRightInd w:val="0"/>
                    <w:snapToGrid w:val="0"/>
                    <w:jc w:val="center"/>
                    <w:rPr>
                      <w:szCs w:val="21"/>
                    </w:rPr>
                  </w:pPr>
                  <w:r>
                    <w:rPr>
                      <w:rFonts w:hint="eastAsia"/>
                      <w:szCs w:val="21"/>
                    </w:rPr>
                    <w:t>1</w:t>
                  </w:r>
                </w:p>
              </w:tc>
              <w:tc>
                <w:tcPr>
                  <w:tcW w:w="297" w:type="pct"/>
                  <w:vAlign w:val="center"/>
                </w:tcPr>
                <w:p w14:paraId="699627EE">
                  <w:pPr>
                    <w:autoSpaceDE w:val="0"/>
                    <w:autoSpaceDN w:val="0"/>
                    <w:adjustRightInd w:val="0"/>
                    <w:snapToGrid w:val="0"/>
                    <w:jc w:val="center"/>
                    <w:rPr>
                      <w:szCs w:val="21"/>
                    </w:rPr>
                  </w:pPr>
                  <w:r>
                    <w:rPr>
                      <w:rFonts w:hint="eastAsia"/>
                      <w:szCs w:val="21"/>
                      <w:lang w:val="en-US" w:eastAsia="zh-CN"/>
                    </w:rPr>
                    <w:t>15</w:t>
                  </w:r>
                  <w:r>
                    <w:rPr>
                      <w:rFonts w:hint="eastAsia"/>
                      <w:szCs w:val="21"/>
                    </w:rPr>
                    <w:t>m</w:t>
                  </w:r>
                </w:p>
              </w:tc>
              <w:tc>
                <w:tcPr>
                  <w:tcW w:w="300" w:type="pct"/>
                  <w:vAlign w:val="center"/>
                </w:tcPr>
                <w:p w14:paraId="2B4C53CB">
                  <w:pPr>
                    <w:autoSpaceDE w:val="0"/>
                    <w:autoSpaceDN w:val="0"/>
                    <w:adjustRightInd w:val="0"/>
                    <w:snapToGrid w:val="0"/>
                    <w:jc w:val="center"/>
                    <w:rPr>
                      <w:szCs w:val="21"/>
                    </w:rPr>
                  </w:pPr>
                  <w:r>
                    <w:rPr>
                      <w:rFonts w:hint="eastAsia"/>
                      <w:szCs w:val="21"/>
                    </w:rPr>
                    <w:t>1m</w:t>
                  </w:r>
                </w:p>
              </w:tc>
              <w:tc>
                <w:tcPr>
                  <w:tcW w:w="318" w:type="pct"/>
                  <w:vAlign w:val="center"/>
                </w:tcPr>
                <w:p w14:paraId="3317EEF4">
                  <w:pPr>
                    <w:wordWrap w:val="0"/>
                    <w:autoSpaceDE w:val="0"/>
                    <w:autoSpaceDN w:val="0"/>
                    <w:adjustRightInd w:val="0"/>
                    <w:snapToGrid w:val="0"/>
                    <w:jc w:val="center"/>
                    <w:rPr>
                      <w:rFonts w:hint="eastAsia" w:eastAsia="宋体"/>
                      <w:szCs w:val="21"/>
                      <w:lang w:eastAsia="zh-CN"/>
                    </w:rPr>
                  </w:pPr>
                  <w:r>
                    <w:rPr>
                      <w:rFonts w:hint="eastAsia"/>
                      <w:szCs w:val="21"/>
                    </w:rPr>
                    <w:t>DA00</w:t>
                  </w:r>
                  <w:r>
                    <w:rPr>
                      <w:rFonts w:hint="eastAsia"/>
                      <w:szCs w:val="21"/>
                      <w:lang w:val="en-US" w:eastAsia="zh-CN"/>
                    </w:rPr>
                    <w:t>3</w:t>
                  </w:r>
                </w:p>
              </w:tc>
              <w:tc>
                <w:tcPr>
                  <w:tcW w:w="579" w:type="pct"/>
                  <w:vAlign w:val="center"/>
                </w:tcPr>
                <w:p w14:paraId="76C8C089">
                  <w:pPr>
                    <w:autoSpaceDE w:val="0"/>
                    <w:autoSpaceDN w:val="0"/>
                    <w:adjustRightInd w:val="0"/>
                    <w:snapToGrid w:val="0"/>
                    <w:jc w:val="center"/>
                    <w:rPr>
                      <w:rFonts w:hint="default" w:eastAsia="宋体"/>
                      <w:szCs w:val="21"/>
                      <w:lang w:val="en-US" w:eastAsia="zh-CN"/>
                    </w:rPr>
                  </w:pPr>
                  <w:r>
                    <w:rPr>
                      <w:rFonts w:hint="eastAsia"/>
                      <w:szCs w:val="21"/>
                      <w:lang w:val="en-US" w:eastAsia="zh-CN"/>
                    </w:rPr>
                    <w:t>0.1604</w:t>
                  </w:r>
                </w:p>
              </w:tc>
              <w:tc>
                <w:tcPr>
                  <w:tcW w:w="585" w:type="pct"/>
                  <w:vAlign w:val="center"/>
                </w:tcPr>
                <w:p w14:paraId="46B534B6">
                  <w:pPr>
                    <w:autoSpaceDE w:val="0"/>
                    <w:autoSpaceDN w:val="0"/>
                    <w:adjustRightInd w:val="0"/>
                    <w:snapToGrid w:val="0"/>
                    <w:jc w:val="center"/>
                    <w:rPr>
                      <w:rFonts w:hint="default" w:eastAsia="宋体"/>
                      <w:szCs w:val="21"/>
                      <w:lang w:val="en-US" w:eastAsia="zh-CN"/>
                    </w:rPr>
                  </w:pPr>
                  <w:r>
                    <w:rPr>
                      <w:rFonts w:hint="eastAsia"/>
                      <w:szCs w:val="21"/>
                      <w:lang w:val="en-US" w:eastAsia="zh-CN"/>
                    </w:rPr>
                    <w:t>0.0079</w:t>
                  </w:r>
                </w:p>
              </w:tc>
              <w:tc>
                <w:tcPr>
                  <w:tcW w:w="474" w:type="pct"/>
                  <w:vAlign w:val="center"/>
                </w:tcPr>
                <w:p w14:paraId="6F723B62">
                  <w:pPr>
                    <w:tabs>
                      <w:tab w:val="left" w:pos="249"/>
                    </w:tabs>
                    <w:autoSpaceDE w:val="0"/>
                    <w:autoSpaceDN w:val="0"/>
                    <w:adjustRightInd w:val="0"/>
                    <w:snapToGrid w:val="0"/>
                    <w:jc w:val="left"/>
                    <w:rPr>
                      <w:rFonts w:hint="default" w:eastAsia="宋体"/>
                      <w:szCs w:val="21"/>
                      <w:lang w:val="en-US" w:eastAsia="zh-CN"/>
                    </w:rPr>
                  </w:pPr>
                  <w:r>
                    <w:rPr>
                      <w:rFonts w:hint="eastAsia"/>
                      <w:szCs w:val="21"/>
                      <w:lang w:val="en-US" w:eastAsia="zh-CN"/>
                    </w:rPr>
                    <w:t>37.73</w:t>
                  </w:r>
                </w:p>
              </w:tc>
              <w:tc>
                <w:tcPr>
                  <w:tcW w:w="414" w:type="pct"/>
                  <w:vAlign w:val="center"/>
                </w:tcPr>
                <w:p w14:paraId="391F35C4">
                  <w:pPr>
                    <w:autoSpaceDE w:val="0"/>
                    <w:autoSpaceDN w:val="0"/>
                    <w:adjustRightInd w:val="0"/>
                    <w:snapToGrid w:val="0"/>
                    <w:jc w:val="center"/>
                    <w:rPr>
                      <w:rFonts w:hint="default" w:eastAsia="宋体"/>
                      <w:szCs w:val="21"/>
                      <w:lang w:val="en-US" w:eastAsia="zh-CN"/>
                    </w:rPr>
                  </w:pPr>
                  <w:r>
                    <w:rPr>
                      <w:rFonts w:hint="eastAsia"/>
                      <w:szCs w:val="21"/>
                      <w:lang w:val="en-US" w:eastAsia="zh-CN"/>
                    </w:rPr>
                    <w:t>19.86</w:t>
                  </w:r>
                </w:p>
              </w:tc>
            </w:tr>
            <w:tr w14:paraId="1CF5B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63FF053A">
                  <w:pPr>
                    <w:autoSpaceDE w:val="0"/>
                    <w:autoSpaceDN w:val="0"/>
                    <w:adjustRightInd w:val="0"/>
                    <w:snapToGrid w:val="0"/>
                    <w:jc w:val="center"/>
                    <w:rPr>
                      <w:szCs w:val="21"/>
                    </w:rPr>
                  </w:pPr>
                  <w:r>
                    <w:rPr>
                      <w:rFonts w:hint="eastAsia"/>
                      <w:szCs w:val="21"/>
                    </w:rPr>
                    <w:t>VOCs</w:t>
                  </w:r>
                </w:p>
              </w:tc>
              <w:tc>
                <w:tcPr>
                  <w:tcW w:w="454" w:type="pct"/>
                  <w:vAlign w:val="center"/>
                </w:tcPr>
                <w:p w14:paraId="4A65582B">
                  <w:pPr>
                    <w:autoSpaceDE w:val="0"/>
                    <w:autoSpaceDN w:val="0"/>
                    <w:adjustRightInd w:val="0"/>
                    <w:snapToGrid w:val="0"/>
                    <w:jc w:val="center"/>
                    <w:rPr>
                      <w:rFonts w:hint="default" w:eastAsia="宋体"/>
                      <w:szCs w:val="21"/>
                      <w:lang w:val="en-US" w:eastAsia="zh-CN"/>
                    </w:rPr>
                  </w:pPr>
                  <w:r>
                    <w:rPr>
                      <w:rFonts w:hint="eastAsia"/>
                      <w:szCs w:val="21"/>
                      <w:lang w:val="en-US" w:eastAsia="zh-CN"/>
                    </w:rPr>
                    <w:t>296.26</w:t>
                  </w:r>
                </w:p>
              </w:tc>
              <w:tc>
                <w:tcPr>
                  <w:tcW w:w="404" w:type="pct"/>
                  <w:vMerge w:val="restart"/>
                  <w:vAlign w:val="center"/>
                </w:tcPr>
                <w:p w14:paraId="0858B8BD">
                  <w:pPr>
                    <w:autoSpaceDE w:val="0"/>
                    <w:autoSpaceDN w:val="0"/>
                    <w:adjustRightInd w:val="0"/>
                    <w:snapToGrid w:val="0"/>
                    <w:jc w:val="center"/>
                    <w:rPr>
                      <w:rFonts w:hint="default"/>
                      <w:szCs w:val="21"/>
                      <w:lang w:val="en-US"/>
                    </w:rPr>
                  </w:pPr>
                  <w:r>
                    <w:rPr>
                      <w:rFonts w:hint="eastAsia"/>
                      <w:color w:val="auto"/>
                      <w:szCs w:val="21"/>
                      <w:lang w:val="en-US" w:eastAsia="zh-CN"/>
                    </w:rPr>
                    <w:t>53600</w:t>
                  </w:r>
                </w:p>
              </w:tc>
              <w:tc>
                <w:tcPr>
                  <w:tcW w:w="328" w:type="pct"/>
                  <w:vMerge w:val="continue"/>
                  <w:vAlign w:val="center"/>
                </w:tcPr>
                <w:p w14:paraId="324A2B1F">
                  <w:pPr>
                    <w:autoSpaceDE w:val="0"/>
                    <w:autoSpaceDN w:val="0"/>
                    <w:adjustRightInd w:val="0"/>
                    <w:snapToGrid w:val="0"/>
                    <w:jc w:val="center"/>
                    <w:rPr>
                      <w:szCs w:val="21"/>
                    </w:rPr>
                  </w:pPr>
                </w:p>
              </w:tc>
              <w:tc>
                <w:tcPr>
                  <w:tcW w:w="260" w:type="pct"/>
                  <w:vMerge w:val="restart"/>
                  <w:vAlign w:val="center"/>
                </w:tcPr>
                <w:p w14:paraId="3E6914B3">
                  <w:pPr>
                    <w:autoSpaceDE w:val="0"/>
                    <w:autoSpaceDN w:val="0"/>
                    <w:adjustRightInd w:val="0"/>
                    <w:snapToGrid w:val="0"/>
                    <w:jc w:val="center"/>
                    <w:rPr>
                      <w:szCs w:val="21"/>
                    </w:rPr>
                  </w:pPr>
                  <w:r>
                    <w:rPr>
                      <w:rFonts w:hint="eastAsia"/>
                      <w:szCs w:val="21"/>
                    </w:rPr>
                    <w:t>1</w:t>
                  </w:r>
                </w:p>
              </w:tc>
              <w:tc>
                <w:tcPr>
                  <w:tcW w:w="297" w:type="pct"/>
                  <w:vMerge w:val="restart"/>
                  <w:vAlign w:val="center"/>
                </w:tcPr>
                <w:p w14:paraId="4E581502">
                  <w:pPr>
                    <w:autoSpaceDE w:val="0"/>
                    <w:autoSpaceDN w:val="0"/>
                    <w:adjustRightInd w:val="0"/>
                    <w:snapToGrid w:val="0"/>
                    <w:jc w:val="center"/>
                    <w:rPr>
                      <w:szCs w:val="21"/>
                    </w:rPr>
                  </w:pPr>
                  <w:r>
                    <w:rPr>
                      <w:rFonts w:hint="eastAsia"/>
                      <w:szCs w:val="21"/>
                      <w:lang w:val="en-US" w:eastAsia="zh-CN"/>
                    </w:rPr>
                    <w:t>15</w:t>
                  </w:r>
                  <w:r>
                    <w:rPr>
                      <w:rFonts w:hint="eastAsia"/>
                      <w:szCs w:val="21"/>
                    </w:rPr>
                    <w:t>m</w:t>
                  </w:r>
                </w:p>
              </w:tc>
              <w:tc>
                <w:tcPr>
                  <w:tcW w:w="300" w:type="pct"/>
                  <w:vMerge w:val="restart"/>
                  <w:vAlign w:val="center"/>
                </w:tcPr>
                <w:p w14:paraId="046E67E4">
                  <w:pPr>
                    <w:autoSpaceDE w:val="0"/>
                    <w:autoSpaceDN w:val="0"/>
                    <w:adjustRightInd w:val="0"/>
                    <w:snapToGrid w:val="0"/>
                    <w:jc w:val="center"/>
                    <w:rPr>
                      <w:szCs w:val="21"/>
                    </w:rPr>
                  </w:pPr>
                  <w:r>
                    <w:rPr>
                      <w:rFonts w:hint="eastAsia"/>
                      <w:szCs w:val="21"/>
                    </w:rPr>
                    <w:t>1m</w:t>
                  </w:r>
                </w:p>
              </w:tc>
              <w:tc>
                <w:tcPr>
                  <w:tcW w:w="318" w:type="pct"/>
                  <w:vMerge w:val="restart"/>
                  <w:vAlign w:val="center"/>
                </w:tcPr>
                <w:p w14:paraId="6F1AFFCA">
                  <w:pPr>
                    <w:wordWrap w:val="0"/>
                    <w:autoSpaceDE w:val="0"/>
                    <w:autoSpaceDN w:val="0"/>
                    <w:adjustRightInd w:val="0"/>
                    <w:snapToGrid w:val="0"/>
                    <w:jc w:val="center"/>
                    <w:rPr>
                      <w:rFonts w:hint="eastAsia" w:eastAsia="宋体"/>
                      <w:szCs w:val="21"/>
                      <w:lang w:eastAsia="zh-CN"/>
                    </w:rPr>
                  </w:pPr>
                  <w:r>
                    <w:rPr>
                      <w:rFonts w:hint="eastAsia"/>
                      <w:szCs w:val="21"/>
                    </w:rPr>
                    <w:t>DA00</w:t>
                  </w:r>
                  <w:r>
                    <w:rPr>
                      <w:rFonts w:hint="eastAsia"/>
                      <w:szCs w:val="21"/>
                      <w:lang w:val="en-US" w:eastAsia="zh-CN"/>
                    </w:rPr>
                    <w:t>4</w:t>
                  </w:r>
                </w:p>
              </w:tc>
              <w:tc>
                <w:tcPr>
                  <w:tcW w:w="579" w:type="pct"/>
                  <w:vAlign w:val="center"/>
                </w:tcPr>
                <w:p w14:paraId="0F9B17EF">
                  <w:pPr>
                    <w:autoSpaceDE w:val="0"/>
                    <w:autoSpaceDN w:val="0"/>
                    <w:adjustRightInd w:val="0"/>
                    <w:snapToGrid w:val="0"/>
                    <w:jc w:val="center"/>
                    <w:rPr>
                      <w:rFonts w:hint="default" w:eastAsia="宋体"/>
                      <w:szCs w:val="21"/>
                      <w:lang w:val="en-US" w:eastAsia="zh-CN"/>
                    </w:rPr>
                  </w:pPr>
                  <w:r>
                    <w:rPr>
                      <w:rFonts w:hint="eastAsia"/>
                      <w:szCs w:val="21"/>
                      <w:lang w:val="en-US" w:eastAsia="zh-CN"/>
                    </w:rPr>
                    <w:t>0.1094</w:t>
                  </w:r>
                </w:p>
              </w:tc>
              <w:tc>
                <w:tcPr>
                  <w:tcW w:w="585" w:type="pct"/>
                  <w:vAlign w:val="center"/>
                </w:tcPr>
                <w:p w14:paraId="1D7E48BD">
                  <w:pPr>
                    <w:autoSpaceDE w:val="0"/>
                    <w:autoSpaceDN w:val="0"/>
                    <w:adjustRightInd w:val="0"/>
                    <w:snapToGrid w:val="0"/>
                    <w:jc w:val="center"/>
                    <w:rPr>
                      <w:rFonts w:hint="default" w:eastAsia="宋体"/>
                      <w:szCs w:val="21"/>
                      <w:lang w:val="en-US" w:eastAsia="zh-CN"/>
                    </w:rPr>
                  </w:pPr>
                  <w:r>
                    <w:rPr>
                      <w:rFonts w:hint="eastAsia"/>
                      <w:szCs w:val="21"/>
                      <w:lang w:val="en-US" w:eastAsia="zh-CN"/>
                    </w:rPr>
                    <w:t>0.0059</w:t>
                  </w:r>
                </w:p>
              </w:tc>
              <w:tc>
                <w:tcPr>
                  <w:tcW w:w="474" w:type="pct"/>
                  <w:vAlign w:val="center"/>
                </w:tcPr>
                <w:p w14:paraId="56F6E91D">
                  <w:pPr>
                    <w:autoSpaceDE w:val="0"/>
                    <w:autoSpaceDN w:val="0"/>
                    <w:adjustRightInd w:val="0"/>
                    <w:snapToGrid w:val="0"/>
                    <w:jc w:val="center"/>
                    <w:rPr>
                      <w:rFonts w:hint="default" w:eastAsia="宋体"/>
                      <w:szCs w:val="21"/>
                      <w:lang w:val="en-US" w:eastAsia="zh-CN"/>
                    </w:rPr>
                  </w:pPr>
                  <w:r>
                    <w:rPr>
                      <w:rFonts w:hint="eastAsia"/>
                      <w:szCs w:val="21"/>
                      <w:lang w:val="en-US" w:eastAsia="zh-CN"/>
                    </w:rPr>
                    <w:t>28.16</w:t>
                  </w:r>
                </w:p>
              </w:tc>
              <w:tc>
                <w:tcPr>
                  <w:tcW w:w="414" w:type="pct"/>
                  <w:vAlign w:val="center"/>
                </w:tcPr>
                <w:p w14:paraId="2CE6E748">
                  <w:pPr>
                    <w:autoSpaceDE w:val="0"/>
                    <w:autoSpaceDN w:val="0"/>
                    <w:adjustRightInd w:val="0"/>
                    <w:snapToGrid w:val="0"/>
                    <w:jc w:val="center"/>
                    <w:rPr>
                      <w:rFonts w:hint="default" w:eastAsia="宋体"/>
                      <w:szCs w:val="21"/>
                      <w:lang w:val="en-US" w:eastAsia="zh-CN"/>
                    </w:rPr>
                  </w:pPr>
                  <w:r>
                    <w:rPr>
                      <w:rFonts w:hint="eastAsia"/>
                      <w:szCs w:val="21"/>
                      <w:lang w:val="en-US" w:eastAsia="zh-CN"/>
                    </w:rPr>
                    <w:t>14.82</w:t>
                  </w:r>
                </w:p>
              </w:tc>
            </w:tr>
            <w:tr w14:paraId="59FE6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1B728104">
                  <w:pPr>
                    <w:autoSpaceDE w:val="0"/>
                    <w:autoSpaceDN w:val="0"/>
                    <w:adjustRightInd w:val="0"/>
                    <w:snapToGrid w:val="0"/>
                    <w:jc w:val="center"/>
                    <w:rPr>
                      <w:szCs w:val="21"/>
                    </w:rPr>
                  </w:pPr>
                  <w:r>
                    <w:rPr>
                      <w:rFonts w:hint="eastAsia"/>
                      <w:szCs w:val="21"/>
                    </w:rPr>
                    <w:t>二甲苯</w:t>
                  </w:r>
                </w:p>
              </w:tc>
              <w:tc>
                <w:tcPr>
                  <w:tcW w:w="454" w:type="pct"/>
                  <w:vAlign w:val="center"/>
                </w:tcPr>
                <w:p w14:paraId="32ECACFA">
                  <w:pPr>
                    <w:autoSpaceDE w:val="0"/>
                    <w:autoSpaceDN w:val="0"/>
                    <w:adjustRightInd w:val="0"/>
                    <w:snapToGrid w:val="0"/>
                    <w:jc w:val="center"/>
                    <w:rPr>
                      <w:rFonts w:hint="default" w:eastAsia="宋体"/>
                      <w:szCs w:val="21"/>
                      <w:lang w:val="en-US" w:eastAsia="zh-CN"/>
                    </w:rPr>
                  </w:pPr>
                  <w:r>
                    <w:rPr>
                      <w:rFonts w:hint="eastAsia"/>
                      <w:szCs w:val="21"/>
                      <w:lang w:val="en-US" w:eastAsia="zh-CN"/>
                    </w:rPr>
                    <w:t>1.25</w:t>
                  </w:r>
                </w:p>
              </w:tc>
              <w:tc>
                <w:tcPr>
                  <w:tcW w:w="404" w:type="pct"/>
                  <w:vMerge w:val="continue"/>
                  <w:vAlign w:val="center"/>
                </w:tcPr>
                <w:p w14:paraId="642E3FEC">
                  <w:pPr>
                    <w:autoSpaceDE w:val="0"/>
                    <w:autoSpaceDN w:val="0"/>
                    <w:adjustRightInd w:val="0"/>
                    <w:snapToGrid w:val="0"/>
                    <w:jc w:val="center"/>
                    <w:rPr>
                      <w:szCs w:val="21"/>
                    </w:rPr>
                  </w:pPr>
                </w:p>
              </w:tc>
              <w:tc>
                <w:tcPr>
                  <w:tcW w:w="328" w:type="pct"/>
                  <w:vMerge w:val="continue"/>
                  <w:vAlign w:val="center"/>
                </w:tcPr>
                <w:p w14:paraId="16B246C3">
                  <w:pPr>
                    <w:autoSpaceDE w:val="0"/>
                    <w:autoSpaceDN w:val="0"/>
                    <w:adjustRightInd w:val="0"/>
                    <w:snapToGrid w:val="0"/>
                    <w:jc w:val="center"/>
                    <w:rPr>
                      <w:szCs w:val="21"/>
                    </w:rPr>
                  </w:pPr>
                </w:p>
              </w:tc>
              <w:tc>
                <w:tcPr>
                  <w:tcW w:w="260" w:type="pct"/>
                  <w:vMerge w:val="continue"/>
                  <w:vAlign w:val="center"/>
                </w:tcPr>
                <w:p w14:paraId="25C89CAA">
                  <w:pPr>
                    <w:autoSpaceDE w:val="0"/>
                    <w:autoSpaceDN w:val="0"/>
                    <w:adjustRightInd w:val="0"/>
                    <w:snapToGrid w:val="0"/>
                    <w:jc w:val="center"/>
                    <w:rPr>
                      <w:szCs w:val="21"/>
                    </w:rPr>
                  </w:pPr>
                </w:p>
              </w:tc>
              <w:tc>
                <w:tcPr>
                  <w:tcW w:w="297" w:type="pct"/>
                  <w:vMerge w:val="continue"/>
                  <w:vAlign w:val="center"/>
                </w:tcPr>
                <w:p w14:paraId="31B087FE">
                  <w:pPr>
                    <w:autoSpaceDE w:val="0"/>
                    <w:autoSpaceDN w:val="0"/>
                    <w:adjustRightInd w:val="0"/>
                    <w:snapToGrid w:val="0"/>
                    <w:jc w:val="center"/>
                    <w:rPr>
                      <w:szCs w:val="21"/>
                    </w:rPr>
                  </w:pPr>
                </w:p>
              </w:tc>
              <w:tc>
                <w:tcPr>
                  <w:tcW w:w="300" w:type="pct"/>
                  <w:vMerge w:val="continue"/>
                  <w:vAlign w:val="center"/>
                </w:tcPr>
                <w:p w14:paraId="525B5028">
                  <w:pPr>
                    <w:autoSpaceDE w:val="0"/>
                    <w:autoSpaceDN w:val="0"/>
                    <w:adjustRightInd w:val="0"/>
                    <w:snapToGrid w:val="0"/>
                    <w:jc w:val="center"/>
                    <w:rPr>
                      <w:szCs w:val="21"/>
                    </w:rPr>
                  </w:pPr>
                </w:p>
              </w:tc>
              <w:tc>
                <w:tcPr>
                  <w:tcW w:w="318" w:type="pct"/>
                  <w:vMerge w:val="continue"/>
                  <w:vAlign w:val="center"/>
                </w:tcPr>
                <w:p w14:paraId="25ACCD9A">
                  <w:pPr>
                    <w:wordWrap w:val="0"/>
                    <w:autoSpaceDE w:val="0"/>
                    <w:autoSpaceDN w:val="0"/>
                    <w:adjustRightInd w:val="0"/>
                    <w:snapToGrid w:val="0"/>
                    <w:jc w:val="center"/>
                    <w:rPr>
                      <w:szCs w:val="21"/>
                    </w:rPr>
                  </w:pPr>
                </w:p>
              </w:tc>
              <w:tc>
                <w:tcPr>
                  <w:tcW w:w="579" w:type="pct"/>
                  <w:vAlign w:val="center"/>
                </w:tcPr>
                <w:p w14:paraId="699160E4">
                  <w:pPr>
                    <w:autoSpaceDE w:val="0"/>
                    <w:autoSpaceDN w:val="0"/>
                    <w:adjustRightInd w:val="0"/>
                    <w:snapToGrid w:val="0"/>
                    <w:jc w:val="center"/>
                    <w:rPr>
                      <w:rFonts w:hint="eastAsia" w:eastAsia="宋体"/>
                      <w:szCs w:val="21"/>
                      <w:lang w:val="en-US" w:eastAsia="zh-CN"/>
                    </w:rPr>
                  </w:pPr>
                  <w:r>
                    <w:rPr>
                      <w:rFonts w:hint="eastAsia"/>
                      <w:szCs w:val="21"/>
                      <w:lang w:val="en-US" w:eastAsia="zh-CN"/>
                    </w:rPr>
                    <w:t>4.6</w:t>
                  </w:r>
                  <w:r>
                    <w:rPr>
                      <w:rFonts w:hint="eastAsia"/>
                      <w:szCs w:val="21"/>
                    </w:rPr>
                    <w:t>×10</w:t>
                  </w:r>
                  <w:r>
                    <w:rPr>
                      <w:rFonts w:hint="eastAsia"/>
                      <w:szCs w:val="21"/>
                      <w:vertAlign w:val="superscript"/>
                    </w:rPr>
                    <w:t>-</w:t>
                  </w:r>
                  <w:r>
                    <w:rPr>
                      <w:rFonts w:hint="eastAsia"/>
                      <w:szCs w:val="21"/>
                      <w:vertAlign w:val="superscript"/>
                      <w:lang w:val="en-US" w:eastAsia="zh-CN"/>
                    </w:rPr>
                    <w:t>4</w:t>
                  </w:r>
                </w:p>
              </w:tc>
              <w:tc>
                <w:tcPr>
                  <w:tcW w:w="585" w:type="pct"/>
                  <w:vAlign w:val="center"/>
                </w:tcPr>
                <w:p w14:paraId="0D8FCAE4">
                  <w:pPr>
                    <w:autoSpaceDE w:val="0"/>
                    <w:autoSpaceDN w:val="0"/>
                    <w:adjustRightInd w:val="0"/>
                    <w:snapToGrid w:val="0"/>
                    <w:jc w:val="center"/>
                    <w:rPr>
                      <w:rFonts w:hint="default" w:eastAsia="宋体"/>
                      <w:szCs w:val="21"/>
                      <w:lang w:val="en-US" w:eastAsia="zh-CN"/>
                    </w:rPr>
                  </w:pPr>
                  <w:r>
                    <w:rPr>
                      <w:rFonts w:hint="eastAsia"/>
                      <w:szCs w:val="21"/>
                      <w:lang w:val="en-US" w:eastAsia="zh-CN"/>
                    </w:rPr>
                    <w:t>2.4</w:t>
                  </w:r>
                  <w:r>
                    <w:rPr>
                      <w:rFonts w:hint="eastAsia"/>
                      <w:szCs w:val="21"/>
                    </w:rPr>
                    <w:t>×10</w:t>
                  </w:r>
                  <w:r>
                    <w:rPr>
                      <w:rFonts w:hint="eastAsia"/>
                      <w:szCs w:val="21"/>
                      <w:vertAlign w:val="superscript"/>
                    </w:rPr>
                    <w:t>-5</w:t>
                  </w:r>
                </w:p>
              </w:tc>
              <w:tc>
                <w:tcPr>
                  <w:tcW w:w="474" w:type="pct"/>
                  <w:vAlign w:val="center"/>
                </w:tcPr>
                <w:p w14:paraId="5F8DF6C8">
                  <w:pPr>
                    <w:autoSpaceDE w:val="0"/>
                    <w:autoSpaceDN w:val="0"/>
                    <w:adjustRightInd w:val="0"/>
                    <w:snapToGrid w:val="0"/>
                    <w:jc w:val="center"/>
                    <w:rPr>
                      <w:rFonts w:hint="default" w:eastAsia="宋体"/>
                      <w:szCs w:val="21"/>
                      <w:lang w:val="en-US" w:eastAsia="zh-CN"/>
                    </w:rPr>
                  </w:pPr>
                  <w:r>
                    <w:rPr>
                      <w:rFonts w:hint="eastAsia"/>
                      <w:szCs w:val="21"/>
                      <w:lang w:val="en-US" w:eastAsia="zh-CN"/>
                    </w:rPr>
                    <w:t>0.12</w:t>
                  </w:r>
                </w:p>
              </w:tc>
              <w:tc>
                <w:tcPr>
                  <w:tcW w:w="414" w:type="pct"/>
                  <w:vAlign w:val="center"/>
                </w:tcPr>
                <w:p w14:paraId="06C3F976">
                  <w:pPr>
                    <w:autoSpaceDE w:val="0"/>
                    <w:autoSpaceDN w:val="0"/>
                    <w:adjustRightInd w:val="0"/>
                    <w:snapToGrid w:val="0"/>
                    <w:jc w:val="center"/>
                    <w:rPr>
                      <w:rFonts w:hint="default" w:eastAsia="宋体"/>
                      <w:szCs w:val="21"/>
                      <w:lang w:val="en-US" w:eastAsia="zh-CN"/>
                    </w:rPr>
                  </w:pPr>
                  <w:r>
                    <w:rPr>
                      <w:rFonts w:hint="eastAsia"/>
                      <w:szCs w:val="21"/>
                      <w:lang w:val="en-US" w:eastAsia="zh-CN"/>
                    </w:rPr>
                    <w:t>0.06</w:t>
                  </w:r>
                </w:p>
              </w:tc>
            </w:tr>
            <w:tr w14:paraId="4BA87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6EE2F4DE">
                  <w:pPr>
                    <w:autoSpaceDE w:val="0"/>
                    <w:autoSpaceDN w:val="0"/>
                    <w:adjustRightInd w:val="0"/>
                    <w:snapToGrid w:val="0"/>
                    <w:jc w:val="center"/>
                    <w:rPr>
                      <w:szCs w:val="21"/>
                    </w:rPr>
                  </w:pPr>
                  <w:r>
                    <w:rPr>
                      <w:rFonts w:hint="eastAsia"/>
                      <w:szCs w:val="21"/>
                    </w:rPr>
                    <w:t>乙苯</w:t>
                  </w:r>
                </w:p>
              </w:tc>
              <w:tc>
                <w:tcPr>
                  <w:tcW w:w="454" w:type="pct"/>
                  <w:vAlign w:val="center"/>
                </w:tcPr>
                <w:p w14:paraId="51746C43">
                  <w:pPr>
                    <w:autoSpaceDE w:val="0"/>
                    <w:autoSpaceDN w:val="0"/>
                    <w:adjustRightInd w:val="0"/>
                    <w:snapToGrid w:val="0"/>
                    <w:jc w:val="center"/>
                    <w:rPr>
                      <w:rFonts w:hint="default" w:eastAsia="宋体"/>
                      <w:szCs w:val="21"/>
                      <w:lang w:val="en-US" w:eastAsia="zh-CN"/>
                    </w:rPr>
                  </w:pPr>
                  <w:r>
                    <w:rPr>
                      <w:rFonts w:hint="eastAsia"/>
                      <w:szCs w:val="21"/>
                      <w:lang w:val="en-US" w:eastAsia="zh-CN"/>
                    </w:rPr>
                    <w:t>0.125</w:t>
                  </w:r>
                </w:p>
              </w:tc>
              <w:tc>
                <w:tcPr>
                  <w:tcW w:w="404" w:type="pct"/>
                  <w:vMerge w:val="continue"/>
                  <w:vAlign w:val="center"/>
                </w:tcPr>
                <w:p w14:paraId="472D0CE9">
                  <w:pPr>
                    <w:autoSpaceDE w:val="0"/>
                    <w:autoSpaceDN w:val="0"/>
                    <w:adjustRightInd w:val="0"/>
                    <w:snapToGrid w:val="0"/>
                    <w:jc w:val="center"/>
                    <w:rPr>
                      <w:szCs w:val="21"/>
                    </w:rPr>
                  </w:pPr>
                </w:p>
              </w:tc>
              <w:tc>
                <w:tcPr>
                  <w:tcW w:w="328" w:type="pct"/>
                  <w:vMerge w:val="continue"/>
                  <w:vAlign w:val="center"/>
                </w:tcPr>
                <w:p w14:paraId="679AF61A">
                  <w:pPr>
                    <w:autoSpaceDE w:val="0"/>
                    <w:autoSpaceDN w:val="0"/>
                    <w:adjustRightInd w:val="0"/>
                    <w:snapToGrid w:val="0"/>
                    <w:jc w:val="center"/>
                    <w:rPr>
                      <w:szCs w:val="21"/>
                    </w:rPr>
                  </w:pPr>
                </w:p>
              </w:tc>
              <w:tc>
                <w:tcPr>
                  <w:tcW w:w="260" w:type="pct"/>
                  <w:vMerge w:val="continue"/>
                  <w:vAlign w:val="center"/>
                </w:tcPr>
                <w:p w14:paraId="4C47164B">
                  <w:pPr>
                    <w:autoSpaceDE w:val="0"/>
                    <w:autoSpaceDN w:val="0"/>
                    <w:adjustRightInd w:val="0"/>
                    <w:snapToGrid w:val="0"/>
                    <w:jc w:val="center"/>
                    <w:rPr>
                      <w:szCs w:val="21"/>
                    </w:rPr>
                  </w:pPr>
                </w:p>
              </w:tc>
              <w:tc>
                <w:tcPr>
                  <w:tcW w:w="297" w:type="pct"/>
                  <w:vMerge w:val="continue"/>
                  <w:vAlign w:val="center"/>
                </w:tcPr>
                <w:p w14:paraId="38A66E8F">
                  <w:pPr>
                    <w:autoSpaceDE w:val="0"/>
                    <w:autoSpaceDN w:val="0"/>
                    <w:adjustRightInd w:val="0"/>
                    <w:snapToGrid w:val="0"/>
                    <w:jc w:val="center"/>
                    <w:rPr>
                      <w:szCs w:val="21"/>
                    </w:rPr>
                  </w:pPr>
                </w:p>
              </w:tc>
              <w:tc>
                <w:tcPr>
                  <w:tcW w:w="300" w:type="pct"/>
                  <w:vMerge w:val="continue"/>
                  <w:vAlign w:val="center"/>
                </w:tcPr>
                <w:p w14:paraId="32E89F6F">
                  <w:pPr>
                    <w:autoSpaceDE w:val="0"/>
                    <w:autoSpaceDN w:val="0"/>
                    <w:adjustRightInd w:val="0"/>
                    <w:snapToGrid w:val="0"/>
                    <w:jc w:val="center"/>
                    <w:rPr>
                      <w:szCs w:val="21"/>
                    </w:rPr>
                  </w:pPr>
                </w:p>
              </w:tc>
              <w:tc>
                <w:tcPr>
                  <w:tcW w:w="318" w:type="pct"/>
                  <w:vMerge w:val="continue"/>
                  <w:vAlign w:val="center"/>
                </w:tcPr>
                <w:p w14:paraId="6904ECDE">
                  <w:pPr>
                    <w:wordWrap w:val="0"/>
                    <w:autoSpaceDE w:val="0"/>
                    <w:autoSpaceDN w:val="0"/>
                    <w:adjustRightInd w:val="0"/>
                    <w:snapToGrid w:val="0"/>
                    <w:jc w:val="center"/>
                    <w:rPr>
                      <w:szCs w:val="21"/>
                    </w:rPr>
                  </w:pPr>
                </w:p>
              </w:tc>
              <w:tc>
                <w:tcPr>
                  <w:tcW w:w="579" w:type="pct"/>
                  <w:vAlign w:val="center"/>
                </w:tcPr>
                <w:p w14:paraId="72ACA4B4">
                  <w:pPr>
                    <w:tabs>
                      <w:tab w:val="left" w:pos="319"/>
                    </w:tabs>
                    <w:autoSpaceDE w:val="0"/>
                    <w:autoSpaceDN w:val="0"/>
                    <w:adjustRightInd w:val="0"/>
                    <w:snapToGrid w:val="0"/>
                    <w:jc w:val="center"/>
                    <w:rPr>
                      <w:rFonts w:hint="eastAsia" w:eastAsia="宋体"/>
                      <w:szCs w:val="21"/>
                      <w:lang w:eastAsia="zh-CN"/>
                    </w:rPr>
                  </w:pPr>
                  <w:r>
                    <w:rPr>
                      <w:rFonts w:hint="eastAsia"/>
                      <w:szCs w:val="21"/>
                      <w:lang w:val="en-US" w:eastAsia="zh-CN"/>
                    </w:rPr>
                    <w:t>4.6</w:t>
                  </w:r>
                  <w:r>
                    <w:rPr>
                      <w:rFonts w:hint="eastAsia"/>
                      <w:szCs w:val="21"/>
                    </w:rPr>
                    <w:t>×10</w:t>
                  </w:r>
                  <w:r>
                    <w:rPr>
                      <w:rFonts w:hint="eastAsia"/>
                      <w:szCs w:val="21"/>
                      <w:vertAlign w:val="superscript"/>
                    </w:rPr>
                    <w:t>-</w:t>
                  </w:r>
                  <w:r>
                    <w:rPr>
                      <w:rFonts w:hint="eastAsia"/>
                      <w:szCs w:val="21"/>
                      <w:vertAlign w:val="superscript"/>
                      <w:lang w:val="en-US" w:eastAsia="zh-CN"/>
                    </w:rPr>
                    <w:t>5</w:t>
                  </w:r>
                </w:p>
              </w:tc>
              <w:tc>
                <w:tcPr>
                  <w:tcW w:w="585" w:type="pct"/>
                  <w:vAlign w:val="center"/>
                </w:tcPr>
                <w:p w14:paraId="1CCF2B9F">
                  <w:pPr>
                    <w:autoSpaceDE w:val="0"/>
                    <w:autoSpaceDN w:val="0"/>
                    <w:adjustRightInd w:val="0"/>
                    <w:snapToGrid w:val="0"/>
                    <w:jc w:val="center"/>
                    <w:rPr>
                      <w:rFonts w:hint="eastAsia" w:eastAsia="宋体"/>
                      <w:szCs w:val="21"/>
                      <w:lang w:eastAsia="zh-CN"/>
                    </w:rPr>
                  </w:pPr>
                  <w:r>
                    <w:rPr>
                      <w:rFonts w:hint="eastAsia"/>
                      <w:szCs w:val="21"/>
                      <w:lang w:val="en-US" w:eastAsia="zh-CN"/>
                    </w:rPr>
                    <w:t>2.4</w:t>
                  </w:r>
                  <w:r>
                    <w:rPr>
                      <w:rFonts w:hint="eastAsia"/>
                      <w:szCs w:val="21"/>
                    </w:rPr>
                    <w:t>×10</w:t>
                  </w:r>
                  <w:r>
                    <w:rPr>
                      <w:rFonts w:hint="eastAsia"/>
                      <w:szCs w:val="21"/>
                      <w:vertAlign w:val="superscript"/>
                    </w:rPr>
                    <w:t>-</w:t>
                  </w:r>
                  <w:r>
                    <w:rPr>
                      <w:rFonts w:hint="eastAsia"/>
                      <w:szCs w:val="21"/>
                      <w:vertAlign w:val="superscript"/>
                      <w:lang w:val="en-US" w:eastAsia="zh-CN"/>
                    </w:rPr>
                    <w:t>6</w:t>
                  </w:r>
                </w:p>
              </w:tc>
              <w:tc>
                <w:tcPr>
                  <w:tcW w:w="474" w:type="pct"/>
                  <w:vAlign w:val="center"/>
                </w:tcPr>
                <w:p w14:paraId="0E7E132A">
                  <w:pPr>
                    <w:autoSpaceDE w:val="0"/>
                    <w:autoSpaceDN w:val="0"/>
                    <w:adjustRightInd w:val="0"/>
                    <w:snapToGrid w:val="0"/>
                    <w:jc w:val="center"/>
                    <w:rPr>
                      <w:rFonts w:hint="default" w:eastAsia="宋体"/>
                      <w:szCs w:val="21"/>
                      <w:lang w:val="en-US" w:eastAsia="zh-CN"/>
                    </w:rPr>
                  </w:pPr>
                  <w:r>
                    <w:rPr>
                      <w:rFonts w:hint="eastAsia"/>
                      <w:szCs w:val="21"/>
                      <w:lang w:val="en-US" w:eastAsia="zh-CN"/>
                    </w:rPr>
                    <w:t>0.01</w:t>
                  </w:r>
                </w:p>
              </w:tc>
              <w:tc>
                <w:tcPr>
                  <w:tcW w:w="414" w:type="pct"/>
                  <w:vAlign w:val="center"/>
                </w:tcPr>
                <w:p w14:paraId="67D9EAB2">
                  <w:pPr>
                    <w:autoSpaceDE w:val="0"/>
                    <w:autoSpaceDN w:val="0"/>
                    <w:adjustRightInd w:val="0"/>
                    <w:snapToGrid w:val="0"/>
                    <w:jc w:val="center"/>
                    <w:rPr>
                      <w:rFonts w:hint="default" w:eastAsia="宋体"/>
                      <w:szCs w:val="21"/>
                      <w:lang w:val="en-US" w:eastAsia="zh-CN"/>
                    </w:rPr>
                  </w:pPr>
                  <w:r>
                    <w:rPr>
                      <w:rFonts w:hint="eastAsia"/>
                      <w:szCs w:val="21"/>
                      <w:lang w:val="en-US" w:eastAsia="zh-CN"/>
                    </w:rPr>
                    <w:t>0.01</w:t>
                  </w:r>
                </w:p>
              </w:tc>
            </w:tr>
            <w:tr w14:paraId="277D7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2CEC1658">
                  <w:pPr>
                    <w:autoSpaceDE w:val="0"/>
                    <w:autoSpaceDN w:val="0"/>
                    <w:adjustRightInd w:val="0"/>
                    <w:snapToGrid w:val="0"/>
                    <w:jc w:val="center"/>
                    <w:rPr>
                      <w:szCs w:val="21"/>
                    </w:rPr>
                  </w:pPr>
                  <w:r>
                    <w:rPr>
                      <w:rFonts w:hint="eastAsia"/>
                      <w:szCs w:val="21"/>
                    </w:rPr>
                    <w:t>VOCs</w:t>
                  </w:r>
                </w:p>
              </w:tc>
              <w:tc>
                <w:tcPr>
                  <w:tcW w:w="454" w:type="pct"/>
                  <w:vAlign w:val="center"/>
                </w:tcPr>
                <w:p w14:paraId="4ACD75D5">
                  <w:pPr>
                    <w:autoSpaceDE w:val="0"/>
                    <w:autoSpaceDN w:val="0"/>
                    <w:adjustRightInd w:val="0"/>
                    <w:snapToGrid w:val="0"/>
                    <w:jc w:val="center"/>
                    <w:rPr>
                      <w:rFonts w:hint="default" w:eastAsia="宋体"/>
                      <w:szCs w:val="21"/>
                      <w:lang w:val="en-US" w:eastAsia="zh-CN"/>
                    </w:rPr>
                  </w:pPr>
                  <w:r>
                    <w:rPr>
                      <w:rFonts w:hint="eastAsia"/>
                      <w:szCs w:val="21"/>
                      <w:lang w:val="en-US" w:eastAsia="zh-CN"/>
                    </w:rPr>
                    <w:t>1919.02</w:t>
                  </w:r>
                </w:p>
              </w:tc>
              <w:tc>
                <w:tcPr>
                  <w:tcW w:w="404" w:type="pct"/>
                  <w:vMerge w:val="restart"/>
                  <w:vAlign w:val="center"/>
                </w:tcPr>
                <w:p w14:paraId="01E12F91">
                  <w:pPr>
                    <w:autoSpaceDE w:val="0"/>
                    <w:autoSpaceDN w:val="0"/>
                    <w:adjustRightInd w:val="0"/>
                    <w:snapToGrid w:val="0"/>
                    <w:jc w:val="center"/>
                    <w:rPr>
                      <w:rFonts w:hint="default"/>
                      <w:szCs w:val="21"/>
                      <w:lang w:val="en-US"/>
                    </w:rPr>
                  </w:pPr>
                  <w:r>
                    <w:rPr>
                      <w:rFonts w:hint="eastAsia"/>
                      <w:szCs w:val="21"/>
                      <w:lang w:val="en-US" w:eastAsia="zh-CN"/>
                    </w:rPr>
                    <w:t>144400</w:t>
                  </w:r>
                </w:p>
              </w:tc>
              <w:tc>
                <w:tcPr>
                  <w:tcW w:w="328" w:type="pct"/>
                  <w:vMerge w:val="continue"/>
                  <w:vAlign w:val="center"/>
                </w:tcPr>
                <w:p w14:paraId="3F66791E">
                  <w:pPr>
                    <w:autoSpaceDE w:val="0"/>
                    <w:autoSpaceDN w:val="0"/>
                    <w:adjustRightInd w:val="0"/>
                    <w:snapToGrid w:val="0"/>
                    <w:jc w:val="center"/>
                    <w:rPr>
                      <w:szCs w:val="21"/>
                    </w:rPr>
                  </w:pPr>
                </w:p>
              </w:tc>
              <w:tc>
                <w:tcPr>
                  <w:tcW w:w="260" w:type="pct"/>
                  <w:vMerge w:val="restart"/>
                  <w:vAlign w:val="center"/>
                </w:tcPr>
                <w:p w14:paraId="56A618BB">
                  <w:pPr>
                    <w:autoSpaceDE w:val="0"/>
                    <w:autoSpaceDN w:val="0"/>
                    <w:adjustRightInd w:val="0"/>
                    <w:snapToGrid w:val="0"/>
                    <w:jc w:val="center"/>
                    <w:rPr>
                      <w:szCs w:val="21"/>
                    </w:rPr>
                  </w:pPr>
                  <w:r>
                    <w:rPr>
                      <w:rFonts w:hint="eastAsia"/>
                      <w:szCs w:val="21"/>
                    </w:rPr>
                    <w:t>1</w:t>
                  </w:r>
                </w:p>
              </w:tc>
              <w:tc>
                <w:tcPr>
                  <w:tcW w:w="297" w:type="pct"/>
                  <w:vMerge w:val="restart"/>
                  <w:vAlign w:val="center"/>
                </w:tcPr>
                <w:p w14:paraId="1C5E92CA">
                  <w:pPr>
                    <w:autoSpaceDE w:val="0"/>
                    <w:autoSpaceDN w:val="0"/>
                    <w:adjustRightInd w:val="0"/>
                    <w:snapToGrid w:val="0"/>
                    <w:jc w:val="center"/>
                    <w:rPr>
                      <w:szCs w:val="21"/>
                    </w:rPr>
                  </w:pPr>
                  <w:r>
                    <w:rPr>
                      <w:rFonts w:hint="eastAsia"/>
                      <w:szCs w:val="21"/>
                      <w:lang w:val="en-US" w:eastAsia="zh-CN"/>
                    </w:rPr>
                    <w:t>15</w:t>
                  </w:r>
                  <w:r>
                    <w:rPr>
                      <w:rFonts w:hint="eastAsia"/>
                      <w:szCs w:val="21"/>
                    </w:rPr>
                    <w:t>m</w:t>
                  </w:r>
                </w:p>
              </w:tc>
              <w:tc>
                <w:tcPr>
                  <w:tcW w:w="300" w:type="pct"/>
                  <w:vMerge w:val="restart"/>
                  <w:vAlign w:val="center"/>
                </w:tcPr>
                <w:p w14:paraId="4301088E">
                  <w:pPr>
                    <w:autoSpaceDE w:val="0"/>
                    <w:autoSpaceDN w:val="0"/>
                    <w:adjustRightInd w:val="0"/>
                    <w:snapToGrid w:val="0"/>
                    <w:jc w:val="center"/>
                    <w:rPr>
                      <w:szCs w:val="21"/>
                    </w:rPr>
                  </w:pPr>
                  <w:r>
                    <w:rPr>
                      <w:rFonts w:hint="eastAsia"/>
                      <w:szCs w:val="21"/>
                    </w:rPr>
                    <w:t>1m</w:t>
                  </w:r>
                </w:p>
              </w:tc>
              <w:tc>
                <w:tcPr>
                  <w:tcW w:w="318" w:type="pct"/>
                  <w:vMerge w:val="restart"/>
                  <w:vAlign w:val="center"/>
                </w:tcPr>
                <w:p w14:paraId="7C4B08A5">
                  <w:pPr>
                    <w:wordWrap w:val="0"/>
                    <w:autoSpaceDE w:val="0"/>
                    <w:autoSpaceDN w:val="0"/>
                    <w:adjustRightInd w:val="0"/>
                    <w:snapToGrid w:val="0"/>
                    <w:jc w:val="center"/>
                    <w:rPr>
                      <w:rFonts w:hint="eastAsia" w:eastAsia="宋体"/>
                      <w:szCs w:val="21"/>
                      <w:lang w:eastAsia="zh-CN"/>
                    </w:rPr>
                  </w:pPr>
                  <w:r>
                    <w:rPr>
                      <w:rFonts w:hint="eastAsia"/>
                      <w:szCs w:val="21"/>
                    </w:rPr>
                    <w:t>DA00</w:t>
                  </w:r>
                  <w:r>
                    <w:rPr>
                      <w:rFonts w:hint="eastAsia"/>
                      <w:szCs w:val="21"/>
                      <w:lang w:val="en-US" w:eastAsia="zh-CN"/>
                    </w:rPr>
                    <w:t>5</w:t>
                  </w:r>
                </w:p>
              </w:tc>
              <w:tc>
                <w:tcPr>
                  <w:tcW w:w="579" w:type="pct"/>
                  <w:vAlign w:val="center"/>
                </w:tcPr>
                <w:p w14:paraId="42E44988">
                  <w:pPr>
                    <w:autoSpaceDE w:val="0"/>
                    <w:autoSpaceDN w:val="0"/>
                    <w:adjustRightInd w:val="0"/>
                    <w:snapToGrid w:val="0"/>
                    <w:jc w:val="center"/>
                    <w:rPr>
                      <w:rFonts w:hint="default" w:eastAsia="宋体"/>
                      <w:szCs w:val="21"/>
                      <w:lang w:val="en-US" w:eastAsia="zh-CN"/>
                    </w:rPr>
                  </w:pPr>
                  <w:r>
                    <w:rPr>
                      <w:rFonts w:hint="eastAsia"/>
                      <w:szCs w:val="21"/>
                      <w:lang w:val="en-US" w:eastAsia="zh-CN"/>
                    </w:rPr>
                    <w:t>0.2630</w:t>
                  </w:r>
                </w:p>
              </w:tc>
              <w:tc>
                <w:tcPr>
                  <w:tcW w:w="585" w:type="pct"/>
                  <w:vAlign w:val="center"/>
                </w:tcPr>
                <w:p w14:paraId="32521372">
                  <w:pPr>
                    <w:autoSpaceDE w:val="0"/>
                    <w:autoSpaceDN w:val="0"/>
                    <w:adjustRightInd w:val="0"/>
                    <w:snapToGrid w:val="0"/>
                    <w:jc w:val="center"/>
                    <w:rPr>
                      <w:rFonts w:hint="default" w:eastAsia="宋体"/>
                      <w:szCs w:val="21"/>
                      <w:lang w:val="en-US" w:eastAsia="zh-CN"/>
                    </w:rPr>
                  </w:pPr>
                  <w:r>
                    <w:rPr>
                      <w:rFonts w:hint="eastAsia"/>
                      <w:szCs w:val="21"/>
                      <w:lang w:val="en-US" w:eastAsia="zh-CN"/>
                    </w:rPr>
                    <w:t>0.0378</w:t>
                  </w:r>
                </w:p>
              </w:tc>
              <w:tc>
                <w:tcPr>
                  <w:tcW w:w="474" w:type="pct"/>
                  <w:vAlign w:val="center"/>
                </w:tcPr>
                <w:p w14:paraId="6F551824">
                  <w:pPr>
                    <w:autoSpaceDE w:val="0"/>
                    <w:autoSpaceDN w:val="0"/>
                    <w:adjustRightInd w:val="0"/>
                    <w:snapToGrid w:val="0"/>
                    <w:jc w:val="center"/>
                    <w:rPr>
                      <w:rFonts w:hint="default" w:eastAsia="宋体"/>
                      <w:szCs w:val="21"/>
                      <w:lang w:val="en-US" w:eastAsia="zh-CN"/>
                    </w:rPr>
                  </w:pPr>
                  <w:r>
                    <w:rPr>
                      <w:rFonts w:hint="eastAsia"/>
                      <w:szCs w:val="21"/>
                      <w:lang w:val="en-US" w:eastAsia="zh-CN"/>
                    </w:rPr>
                    <w:t>1822.31</w:t>
                  </w:r>
                </w:p>
              </w:tc>
              <w:tc>
                <w:tcPr>
                  <w:tcW w:w="414" w:type="pct"/>
                  <w:vAlign w:val="center"/>
                </w:tcPr>
                <w:p w14:paraId="7ACBEE11">
                  <w:pPr>
                    <w:autoSpaceDE w:val="0"/>
                    <w:autoSpaceDN w:val="0"/>
                    <w:adjustRightInd w:val="0"/>
                    <w:snapToGrid w:val="0"/>
                    <w:jc w:val="center"/>
                    <w:rPr>
                      <w:rFonts w:hint="default" w:eastAsia="宋体"/>
                      <w:szCs w:val="21"/>
                      <w:lang w:val="en-US" w:eastAsia="zh-CN"/>
                    </w:rPr>
                  </w:pPr>
                  <w:r>
                    <w:rPr>
                      <w:rFonts w:hint="eastAsia"/>
                      <w:szCs w:val="21"/>
                      <w:lang w:val="en-US" w:eastAsia="zh-CN"/>
                    </w:rPr>
                    <w:t>95.95</w:t>
                  </w:r>
                </w:p>
              </w:tc>
            </w:tr>
            <w:tr w14:paraId="249AE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7B9E9924">
                  <w:pPr>
                    <w:autoSpaceDE w:val="0"/>
                    <w:autoSpaceDN w:val="0"/>
                    <w:adjustRightInd w:val="0"/>
                    <w:snapToGrid w:val="0"/>
                    <w:jc w:val="center"/>
                    <w:rPr>
                      <w:szCs w:val="21"/>
                    </w:rPr>
                  </w:pPr>
                  <w:r>
                    <w:rPr>
                      <w:rFonts w:hint="eastAsia"/>
                      <w:szCs w:val="21"/>
                    </w:rPr>
                    <w:t>二甲苯</w:t>
                  </w:r>
                </w:p>
              </w:tc>
              <w:tc>
                <w:tcPr>
                  <w:tcW w:w="454" w:type="pct"/>
                  <w:vAlign w:val="center"/>
                </w:tcPr>
                <w:p w14:paraId="3453A1E5">
                  <w:pPr>
                    <w:autoSpaceDE w:val="0"/>
                    <w:autoSpaceDN w:val="0"/>
                    <w:adjustRightInd w:val="0"/>
                    <w:snapToGrid w:val="0"/>
                    <w:jc w:val="center"/>
                    <w:rPr>
                      <w:rFonts w:hint="default" w:eastAsia="宋体"/>
                      <w:szCs w:val="21"/>
                      <w:lang w:val="en-US" w:eastAsia="zh-CN"/>
                    </w:rPr>
                  </w:pPr>
                  <w:r>
                    <w:rPr>
                      <w:rFonts w:hint="eastAsia"/>
                      <w:szCs w:val="21"/>
                      <w:lang w:val="en-US" w:eastAsia="zh-CN"/>
                    </w:rPr>
                    <w:t>31.25</w:t>
                  </w:r>
                </w:p>
              </w:tc>
              <w:tc>
                <w:tcPr>
                  <w:tcW w:w="404" w:type="pct"/>
                  <w:vMerge w:val="continue"/>
                  <w:vAlign w:val="center"/>
                </w:tcPr>
                <w:p w14:paraId="5CECCB03">
                  <w:pPr>
                    <w:autoSpaceDE w:val="0"/>
                    <w:autoSpaceDN w:val="0"/>
                    <w:adjustRightInd w:val="0"/>
                    <w:snapToGrid w:val="0"/>
                    <w:jc w:val="center"/>
                    <w:rPr>
                      <w:szCs w:val="21"/>
                    </w:rPr>
                  </w:pPr>
                </w:p>
              </w:tc>
              <w:tc>
                <w:tcPr>
                  <w:tcW w:w="328" w:type="pct"/>
                  <w:vMerge w:val="continue"/>
                  <w:vAlign w:val="center"/>
                </w:tcPr>
                <w:p w14:paraId="0D3F368D">
                  <w:pPr>
                    <w:autoSpaceDE w:val="0"/>
                    <w:autoSpaceDN w:val="0"/>
                    <w:adjustRightInd w:val="0"/>
                    <w:snapToGrid w:val="0"/>
                    <w:jc w:val="center"/>
                    <w:rPr>
                      <w:szCs w:val="21"/>
                    </w:rPr>
                  </w:pPr>
                </w:p>
              </w:tc>
              <w:tc>
                <w:tcPr>
                  <w:tcW w:w="260" w:type="pct"/>
                  <w:vMerge w:val="continue"/>
                  <w:vAlign w:val="center"/>
                </w:tcPr>
                <w:p w14:paraId="16F1ACF6">
                  <w:pPr>
                    <w:autoSpaceDE w:val="0"/>
                    <w:autoSpaceDN w:val="0"/>
                    <w:adjustRightInd w:val="0"/>
                    <w:snapToGrid w:val="0"/>
                    <w:jc w:val="center"/>
                    <w:rPr>
                      <w:szCs w:val="21"/>
                    </w:rPr>
                  </w:pPr>
                </w:p>
              </w:tc>
              <w:tc>
                <w:tcPr>
                  <w:tcW w:w="297" w:type="pct"/>
                  <w:vMerge w:val="continue"/>
                  <w:vAlign w:val="center"/>
                </w:tcPr>
                <w:p w14:paraId="6357FD1F">
                  <w:pPr>
                    <w:autoSpaceDE w:val="0"/>
                    <w:autoSpaceDN w:val="0"/>
                    <w:adjustRightInd w:val="0"/>
                    <w:snapToGrid w:val="0"/>
                    <w:jc w:val="center"/>
                    <w:rPr>
                      <w:szCs w:val="21"/>
                    </w:rPr>
                  </w:pPr>
                </w:p>
              </w:tc>
              <w:tc>
                <w:tcPr>
                  <w:tcW w:w="300" w:type="pct"/>
                  <w:vMerge w:val="continue"/>
                  <w:vAlign w:val="center"/>
                </w:tcPr>
                <w:p w14:paraId="2E04AC4B">
                  <w:pPr>
                    <w:autoSpaceDE w:val="0"/>
                    <w:autoSpaceDN w:val="0"/>
                    <w:adjustRightInd w:val="0"/>
                    <w:snapToGrid w:val="0"/>
                    <w:jc w:val="center"/>
                    <w:rPr>
                      <w:szCs w:val="21"/>
                    </w:rPr>
                  </w:pPr>
                </w:p>
              </w:tc>
              <w:tc>
                <w:tcPr>
                  <w:tcW w:w="318" w:type="pct"/>
                  <w:vMerge w:val="continue"/>
                  <w:vAlign w:val="center"/>
                </w:tcPr>
                <w:p w14:paraId="2DF10607">
                  <w:pPr>
                    <w:wordWrap w:val="0"/>
                    <w:autoSpaceDE w:val="0"/>
                    <w:autoSpaceDN w:val="0"/>
                    <w:adjustRightInd w:val="0"/>
                    <w:snapToGrid w:val="0"/>
                    <w:jc w:val="center"/>
                    <w:rPr>
                      <w:szCs w:val="21"/>
                    </w:rPr>
                  </w:pPr>
                </w:p>
              </w:tc>
              <w:tc>
                <w:tcPr>
                  <w:tcW w:w="579" w:type="pct"/>
                  <w:vAlign w:val="center"/>
                </w:tcPr>
                <w:p w14:paraId="6B789AF0">
                  <w:pPr>
                    <w:autoSpaceDE w:val="0"/>
                    <w:autoSpaceDN w:val="0"/>
                    <w:adjustRightInd w:val="0"/>
                    <w:snapToGrid w:val="0"/>
                    <w:jc w:val="center"/>
                    <w:rPr>
                      <w:rFonts w:hint="default" w:eastAsia="宋体"/>
                      <w:szCs w:val="21"/>
                      <w:lang w:val="en-US" w:eastAsia="zh-CN"/>
                    </w:rPr>
                  </w:pPr>
                  <w:r>
                    <w:rPr>
                      <w:rFonts w:hint="eastAsia"/>
                      <w:szCs w:val="21"/>
                      <w:lang w:val="en-US" w:eastAsia="zh-CN"/>
                    </w:rPr>
                    <w:t>0.0043</w:t>
                  </w:r>
                </w:p>
              </w:tc>
              <w:tc>
                <w:tcPr>
                  <w:tcW w:w="585" w:type="pct"/>
                  <w:vAlign w:val="center"/>
                </w:tcPr>
                <w:p w14:paraId="779E7EBE">
                  <w:pPr>
                    <w:autoSpaceDE w:val="0"/>
                    <w:autoSpaceDN w:val="0"/>
                    <w:adjustRightInd w:val="0"/>
                    <w:snapToGrid w:val="0"/>
                    <w:jc w:val="center"/>
                    <w:rPr>
                      <w:rFonts w:hint="default" w:eastAsia="宋体"/>
                      <w:szCs w:val="21"/>
                      <w:lang w:val="en-US" w:eastAsia="zh-CN"/>
                    </w:rPr>
                  </w:pPr>
                  <w:r>
                    <w:rPr>
                      <w:rFonts w:hint="eastAsia"/>
                      <w:szCs w:val="21"/>
                      <w:lang w:val="en-US" w:eastAsia="zh-CN"/>
                    </w:rPr>
                    <w:t>0.0006</w:t>
                  </w:r>
                </w:p>
              </w:tc>
              <w:tc>
                <w:tcPr>
                  <w:tcW w:w="474" w:type="pct"/>
                  <w:vAlign w:val="center"/>
                </w:tcPr>
                <w:p w14:paraId="7CFB4A11">
                  <w:pPr>
                    <w:autoSpaceDE w:val="0"/>
                    <w:autoSpaceDN w:val="0"/>
                    <w:adjustRightInd w:val="0"/>
                    <w:snapToGrid w:val="0"/>
                    <w:jc w:val="center"/>
                    <w:rPr>
                      <w:rFonts w:hint="default" w:eastAsia="宋体"/>
                      <w:szCs w:val="21"/>
                      <w:lang w:val="en-US" w:eastAsia="zh-CN"/>
                    </w:rPr>
                  </w:pPr>
                  <w:r>
                    <w:rPr>
                      <w:rFonts w:hint="eastAsia"/>
                      <w:szCs w:val="21"/>
                      <w:lang w:val="en-US" w:eastAsia="zh-CN"/>
                    </w:rPr>
                    <w:t>2.97</w:t>
                  </w:r>
                </w:p>
              </w:tc>
              <w:tc>
                <w:tcPr>
                  <w:tcW w:w="414" w:type="pct"/>
                  <w:vAlign w:val="center"/>
                </w:tcPr>
                <w:p w14:paraId="12D81128">
                  <w:pPr>
                    <w:autoSpaceDE w:val="0"/>
                    <w:autoSpaceDN w:val="0"/>
                    <w:adjustRightInd w:val="0"/>
                    <w:snapToGrid w:val="0"/>
                    <w:jc w:val="center"/>
                    <w:rPr>
                      <w:rFonts w:hint="default" w:eastAsia="宋体"/>
                      <w:szCs w:val="21"/>
                      <w:lang w:val="en-US" w:eastAsia="zh-CN"/>
                    </w:rPr>
                  </w:pPr>
                  <w:r>
                    <w:rPr>
                      <w:rFonts w:hint="eastAsia"/>
                      <w:szCs w:val="21"/>
                      <w:lang w:val="en-US" w:eastAsia="zh-CN"/>
                    </w:rPr>
                    <w:t>1.56</w:t>
                  </w:r>
                </w:p>
              </w:tc>
            </w:tr>
            <w:tr w14:paraId="24B47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275D0F5A">
                  <w:pPr>
                    <w:autoSpaceDE w:val="0"/>
                    <w:autoSpaceDN w:val="0"/>
                    <w:adjustRightInd w:val="0"/>
                    <w:snapToGrid w:val="0"/>
                    <w:jc w:val="center"/>
                    <w:rPr>
                      <w:szCs w:val="21"/>
                    </w:rPr>
                  </w:pPr>
                  <w:r>
                    <w:rPr>
                      <w:rFonts w:hint="eastAsia"/>
                      <w:szCs w:val="21"/>
                    </w:rPr>
                    <w:t>乙苯</w:t>
                  </w:r>
                </w:p>
              </w:tc>
              <w:tc>
                <w:tcPr>
                  <w:tcW w:w="454" w:type="pct"/>
                  <w:vAlign w:val="center"/>
                </w:tcPr>
                <w:p w14:paraId="589FE402">
                  <w:pPr>
                    <w:autoSpaceDE w:val="0"/>
                    <w:autoSpaceDN w:val="0"/>
                    <w:adjustRightInd w:val="0"/>
                    <w:snapToGrid w:val="0"/>
                    <w:jc w:val="center"/>
                    <w:rPr>
                      <w:rFonts w:hint="default" w:eastAsia="宋体"/>
                      <w:szCs w:val="21"/>
                      <w:lang w:val="en-US" w:eastAsia="zh-CN"/>
                    </w:rPr>
                  </w:pPr>
                  <w:r>
                    <w:rPr>
                      <w:rFonts w:hint="eastAsia"/>
                      <w:szCs w:val="21"/>
                      <w:lang w:val="en-US" w:eastAsia="zh-CN"/>
                    </w:rPr>
                    <w:t>4.625</w:t>
                  </w:r>
                </w:p>
              </w:tc>
              <w:tc>
                <w:tcPr>
                  <w:tcW w:w="404" w:type="pct"/>
                  <w:vMerge w:val="continue"/>
                  <w:vAlign w:val="center"/>
                </w:tcPr>
                <w:p w14:paraId="5B217FFD">
                  <w:pPr>
                    <w:autoSpaceDE w:val="0"/>
                    <w:autoSpaceDN w:val="0"/>
                    <w:adjustRightInd w:val="0"/>
                    <w:snapToGrid w:val="0"/>
                    <w:jc w:val="center"/>
                    <w:rPr>
                      <w:szCs w:val="21"/>
                    </w:rPr>
                  </w:pPr>
                </w:p>
              </w:tc>
              <w:tc>
                <w:tcPr>
                  <w:tcW w:w="328" w:type="pct"/>
                  <w:vMerge w:val="continue"/>
                  <w:vAlign w:val="center"/>
                </w:tcPr>
                <w:p w14:paraId="1B1AF8F9">
                  <w:pPr>
                    <w:autoSpaceDE w:val="0"/>
                    <w:autoSpaceDN w:val="0"/>
                    <w:adjustRightInd w:val="0"/>
                    <w:snapToGrid w:val="0"/>
                    <w:jc w:val="center"/>
                    <w:rPr>
                      <w:szCs w:val="21"/>
                    </w:rPr>
                  </w:pPr>
                </w:p>
              </w:tc>
              <w:tc>
                <w:tcPr>
                  <w:tcW w:w="260" w:type="pct"/>
                  <w:vMerge w:val="continue"/>
                  <w:vAlign w:val="center"/>
                </w:tcPr>
                <w:p w14:paraId="120AD328">
                  <w:pPr>
                    <w:autoSpaceDE w:val="0"/>
                    <w:autoSpaceDN w:val="0"/>
                    <w:adjustRightInd w:val="0"/>
                    <w:snapToGrid w:val="0"/>
                    <w:jc w:val="center"/>
                    <w:rPr>
                      <w:szCs w:val="21"/>
                    </w:rPr>
                  </w:pPr>
                </w:p>
              </w:tc>
              <w:tc>
                <w:tcPr>
                  <w:tcW w:w="297" w:type="pct"/>
                  <w:vMerge w:val="continue"/>
                  <w:vAlign w:val="center"/>
                </w:tcPr>
                <w:p w14:paraId="4F0EA34C">
                  <w:pPr>
                    <w:autoSpaceDE w:val="0"/>
                    <w:autoSpaceDN w:val="0"/>
                    <w:adjustRightInd w:val="0"/>
                    <w:snapToGrid w:val="0"/>
                    <w:jc w:val="center"/>
                    <w:rPr>
                      <w:szCs w:val="21"/>
                    </w:rPr>
                  </w:pPr>
                </w:p>
              </w:tc>
              <w:tc>
                <w:tcPr>
                  <w:tcW w:w="300" w:type="pct"/>
                  <w:vMerge w:val="continue"/>
                  <w:vAlign w:val="center"/>
                </w:tcPr>
                <w:p w14:paraId="7B953454">
                  <w:pPr>
                    <w:autoSpaceDE w:val="0"/>
                    <w:autoSpaceDN w:val="0"/>
                    <w:adjustRightInd w:val="0"/>
                    <w:snapToGrid w:val="0"/>
                    <w:jc w:val="center"/>
                    <w:rPr>
                      <w:szCs w:val="21"/>
                    </w:rPr>
                  </w:pPr>
                </w:p>
              </w:tc>
              <w:tc>
                <w:tcPr>
                  <w:tcW w:w="318" w:type="pct"/>
                  <w:vMerge w:val="continue"/>
                  <w:vAlign w:val="center"/>
                </w:tcPr>
                <w:p w14:paraId="357CD274">
                  <w:pPr>
                    <w:wordWrap w:val="0"/>
                    <w:autoSpaceDE w:val="0"/>
                    <w:autoSpaceDN w:val="0"/>
                    <w:adjustRightInd w:val="0"/>
                    <w:snapToGrid w:val="0"/>
                    <w:jc w:val="center"/>
                    <w:rPr>
                      <w:szCs w:val="21"/>
                    </w:rPr>
                  </w:pPr>
                </w:p>
              </w:tc>
              <w:tc>
                <w:tcPr>
                  <w:tcW w:w="579" w:type="pct"/>
                  <w:vAlign w:val="center"/>
                </w:tcPr>
                <w:p w14:paraId="0AFA57A0">
                  <w:pPr>
                    <w:autoSpaceDE w:val="0"/>
                    <w:autoSpaceDN w:val="0"/>
                    <w:adjustRightInd w:val="0"/>
                    <w:snapToGrid w:val="0"/>
                    <w:jc w:val="center"/>
                    <w:rPr>
                      <w:rFonts w:hint="default" w:eastAsia="宋体"/>
                      <w:szCs w:val="21"/>
                      <w:lang w:val="en-US" w:eastAsia="zh-CN"/>
                    </w:rPr>
                  </w:pPr>
                  <w:r>
                    <w:rPr>
                      <w:rFonts w:hint="eastAsia"/>
                      <w:szCs w:val="21"/>
                      <w:lang w:val="en-US" w:eastAsia="zh-CN"/>
                    </w:rPr>
                    <w:t>6.3</w:t>
                  </w:r>
                  <w:r>
                    <w:rPr>
                      <w:rFonts w:hint="eastAsia"/>
                      <w:szCs w:val="21"/>
                    </w:rPr>
                    <w:t>×10</w:t>
                  </w:r>
                  <w:r>
                    <w:rPr>
                      <w:rFonts w:hint="eastAsia"/>
                      <w:szCs w:val="21"/>
                      <w:vertAlign w:val="superscript"/>
                    </w:rPr>
                    <w:t>-</w:t>
                  </w:r>
                  <w:r>
                    <w:rPr>
                      <w:rFonts w:hint="eastAsia"/>
                      <w:szCs w:val="21"/>
                      <w:vertAlign w:val="superscript"/>
                      <w:lang w:val="en-US" w:eastAsia="zh-CN"/>
                    </w:rPr>
                    <w:t>6</w:t>
                  </w:r>
                </w:p>
              </w:tc>
              <w:tc>
                <w:tcPr>
                  <w:tcW w:w="585" w:type="pct"/>
                  <w:vAlign w:val="center"/>
                </w:tcPr>
                <w:p w14:paraId="45DA76AC">
                  <w:pPr>
                    <w:autoSpaceDE w:val="0"/>
                    <w:autoSpaceDN w:val="0"/>
                    <w:adjustRightInd w:val="0"/>
                    <w:snapToGrid w:val="0"/>
                    <w:jc w:val="center"/>
                    <w:rPr>
                      <w:rFonts w:hint="default" w:eastAsia="宋体"/>
                      <w:szCs w:val="21"/>
                      <w:lang w:val="en-US" w:eastAsia="zh-CN"/>
                    </w:rPr>
                  </w:pPr>
                  <w:r>
                    <w:rPr>
                      <w:rFonts w:hint="eastAsia"/>
                      <w:szCs w:val="21"/>
                      <w:lang w:val="en-US" w:eastAsia="zh-CN"/>
                    </w:rPr>
                    <w:t>9.2</w:t>
                  </w:r>
                  <w:r>
                    <w:rPr>
                      <w:rFonts w:hint="eastAsia"/>
                      <w:szCs w:val="21"/>
                    </w:rPr>
                    <w:t>×10</w:t>
                  </w:r>
                  <w:r>
                    <w:rPr>
                      <w:rFonts w:hint="eastAsia"/>
                      <w:szCs w:val="21"/>
                      <w:vertAlign w:val="superscript"/>
                    </w:rPr>
                    <w:t>-5</w:t>
                  </w:r>
                </w:p>
              </w:tc>
              <w:tc>
                <w:tcPr>
                  <w:tcW w:w="474" w:type="pct"/>
                  <w:vAlign w:val="center"/>
                </w:tcPr>
                <w:p w14:paraId="332D376A">
                  <w:pPr>
                    <w:autoSpaceDE w:val="0"/>
                    <w:autoSpaceDN w:val="0"/>
                    <w:adjustRightInd w:val="0"/>
                    <w:snapToGrid w:val="0"/>
                    <w:jc w:val="center"/>
                    <w:rPr>
                      <w:rFonts w:hint="default" w:eastAsia="宋体"/>
                      <w:szCs w:val="21"/>
                      <w:lang w:val="en-US" w:eastAsia="zh-CN"/>
                    </w:rPr>
                  </w:pPr>
                  <w:r>
                    <w:rPr>
                      <w:rFonts w:hint="eastAsia"/>
                      <w:szCs w:val="21"/>
                      <w:lang w:val="en-US" w:eastAsia="zh-CN"/>
                    </w:rPr>
                    <w:t>0.44</w:t>
                  </w:r>
                </w:p>
              </w:tc>
              <w:tc>
                <w:tcPr>
                  <w:tcW w:w="414" w:type="pct"/>
                  <w:vAlign w:val="center"/>
                </w:tcPr>
                <w:p w14:paraId="36D05BD6">
                  <w:pPr>
                    <w:autoSpaceDE w:val="0"/>
                    <w:autoSpaceDN w:val="0"/>
                    <w:adjustRightInd w:val="0"/>
                    <w:snapToGrid w:val="0"/>
                    <w:jc w:val="center"/>
                    <w:rPr>
                      <w:rFonts w:hint="default" w:eastAsia="宋体"/>
                      <w:szCs w:val="21"/>
                      <w:lang w:val="en-US" w:eastAsia="zh-CN"/>
                    </w:rPr>
                  </w:pPr>
                  <w:r>
                    <w:rPr>
                      <w:rFonts w:hint="eastAsia"/>
                      <w:szCs w:val="21"/>
                      <w:lang w:val="en-US" w:eastAsia="zh-CN"/>
                    </w:rPr>
                    <w:t>0.23</w:t>
                  </w:r>
                </w:p>
              </w:tc>
            </w:tr>
            <w:tr w14:paraId="0FDF0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57EBFC6E">
                  <w:pPr>
                    <w:autoSpaceDE w:val="0"/>
                    <w:autoSpaceDN w:val="0"/>
                    <w:adjustRightInd w:val="0"/>
                    <w:snapToGrid w:val="0"/>
                    <w:jc w:val="center"/>
                    <w:rPr>
                      <w:szCs w:val="21"/>
                    </w:rPr>
                  </w:pPr>
                  <w:r>
                    <w:rPr>
                      <w:rFonts w:hint="eastAsia"/>
                      <w:szCs w:val="21"/>
                    </w:rPr>
                    <w:t>VOCs</w:t>
                  </w:r>
                </w:p>
              </w:tc>
              <w:tc>
                <w:tcPr>
                  <w:tcW w:w="744" w:type="dxa"/>
                  <w:vAlign w:val="center"/>
                </w:tcPr>
                <w:p w14:paraId="43D357BD">
                  <w:pPr>
                    <w:autoSpaceDE w:val="0"/>
                    <w:autoSpaceDN w:val="0"/>
                    <w:adjustRightInd w:val="0"/>
                    <w:snapToGrid w:val="0"/>
                    <w:jc w:val="center"/>
                    <w:rPr>
                      <w:szCs w:val="21"/>
                    </w:rPr>
                  </w:pPr>
                  <w:r>
                    <w:rPr>
                      <w:rFonts w:hint="eastAsia"/>
                      <w:szCs w:val="21"/>
                      <w:lang w:val="en-US" w:eastAsia="zh-CN"/>
                    </w:rPr>
                    <w:t>1919.02</w:t>
                  </w:r>
                </w:p>
              </w:tc>
              <w:tc>
                <w:tcPr>
                  <w:tcW w:w="404" w:type="pct"/>
                  <w:vMerge w:val="restart"/>
                  <w:vAlign w:val="center"/>
                </w:tcPr>
                <w:p w14:paraId="1C483D61">
                  <w:pPr>
                    <w:autoSpaceDE w:val="0"/>
                    <w:autoSpaceDN w:val="0"/>
                    <w:adjustRightInd w:val="0"/>
                    <w:snapToGrid w:val="0"/>
                    <w:jc w:val="center"/>
                    <w:rPr>
                      <w:rFonts w:hint="default"/>
                      <w:szCs w:val="21"/>
                      <w:lang w:val="en-US"/>
                    </w:rPr>
                  </w:pPr>
                  <w:r>
                    <w:rPr>
                      <w:rFonts w:hint="eastAsia"/>
                      <w:szCs w:val="21"/>
                      <w:lang w:val="en-US" w:eastAsia="zh-CN"/>
                    </w:rPr>
                    <w:t>75800</w:t>
                  </w:r>
                </w:p>
              </w:tc>
              <w:tc>
                <w:tcPr>
                  <w:tcW w:w="328" w:type="pct"/>
                  <w:vMerge w:val="continue"/>
                  <w:vAlign w:val="center"/>
                </w:tcPr>
                <w:p w14:paraId="799CFB8C">
                  <w:pPr>
                    <w:autoSpaceDE w:val="0"/>
                    <w:autoSpaceDN w:val="0"/>
                    <w:adjustRightInd w:val="0"/>
                    <w:snapToGrid w:val="0"/>
                    <w:jc w:val="center"/>
                    <w:rPr>
                      <w:szCs w:val="21"/>
                    </w:rPr>
                  </w:pPr>
                </w:p>
              </w:tc>
              <w:tc>
                <w:tcPr>
                  <w:tcW w:w="260" w:type="pct"/>
                  <w:vMerge w:val="restart"/>
                  <w:vAlign w:val="center"/>
                </w:tcPr>
                <w:p w14:paraId="7E2EFB56">
                  <w:pPr>
                    <w:autoSpaceDE w:val="0"/>
                    <w:autoSpaceDN w:val="0"/>
                    <w:adjustRightInd w:val="0"/>
                    <w:snapToGrid w:val="0"/>
                    <w:jc w:val="center"/>
                    <w:rPr>
                      <w:szCs w:val="21"/>
                    </w:rPr>
                  </w:pPr>
                  <w:r>
                    <w:rPr>
                      <w:rFonts w:hint="eastAsia"/>
                      <w:szCs w:val="21"/>
                    </w:rPr>
                    <w:t>1</w:t>
                  </w:r>
                </w:p>
              </w:tc>
              <w:tc>
                <w:tcPr>
                  <w:tcW w:w="297" w:type="pct"/>
                  <w:vMerge w:val="restart"/>
                  <w:vAlign w:val="center"/>
                </w:tcPr>
                <w:p w14:paraId="368828AF">
                  <w:pPr>
                    <w:autoSpaceDE w:val="0"/>
                    <w:autoSpaceDN w:val="0"/>
                    <w:adjustRightInd w:val="0"/>
                    <w:snapToGrid w:val="0"/>
                    <w:jc w:val="center"/>
                    <w:rPr>
                      <w:szCs w:val="21"/>
                    </w:rPr>
                  </w:pPr>
                  <w:r>
                    <w:rPr>
                      <w:rFonts w:hint="eastAsia"/>
                      <w:szCs w:val="21"/>
                      <w:lang w:val="en-US" w:eastAsia="zh-CN"/>
                    </w:rPr>
                    <w:t>15</w:t>
                  </w:r>
                  <w:r>
                    <w:rPr>
                      <w:rFonts w:hint="eastAsia"/>
                      <w:szCs w:val="21"/>
                    </w:rPr>
                    <w:t>m</w:t>
                  </w:r>
                </w:p>
              </w:tc>
              <w:tc>
                <w:tcPr>
                  <w:tcW w:w="300" w:type="pct"/>
                  <w:vMerge w:val="restart"/>
                  <w:vAlign w:val="center"/>
                </w:tcPr>
                <w:p w14:paraId="27EFFFAB">
                  <w:pPr>
                    <w:autoSpaceDE w:val="0"/>
                    <w:autoSpaceDN w:val="0"/>
                    <w:adjustRightInd w:val="0"/>
                    <w:snapToGrid w:val="0"/>
                    <w:jc w:val="center"/>
                    <w:rPr>
                      <w:szCs w:val="21"/>
                    </w:rPr>
                  </w:pPr>
                  <w:r>
                    <w:rPr>
                      <w:rFonts w:hint="eastAsia"/>
                      <w:szCs w:val="21"/>
                    </w:rPr>
                    <w:t>1m</w:t>
                  </w:r>
                </w:p>
              </w:tc>
              <w:tc>
                <w:tcPr>
                  <w:tcW w:w="318" w:type="pct"/>
                  <w:vMerge w:val="restart"/>
                  <w:vAlign w:val="center"/>
                </w:tcPr>
                <w:p w14:paraId="2F10C6A0">
                  <w:pPr>
                    <w:wordWrap w:val="0"/>
                    <w:autoSpaceDE w:val="0"/>
                    <w:autoSpaceDN w:val="0"/>
                    <w:adjustRightInd w:val="0"/>
                    <w:snapToGrid w:val="0"/>
                    <w:jc w:val="center"/>
                    <w:rPr>
                      <w:rFonts w:hint="eastAsia" w:eastAsia="宋体"/>
                      <w:szCs w:val="21"/>
                      <w:lang w:eastAsia="zh-CN"/>
                    </w:rPr>
                  </w:pPr>
                  <w:r>
                    <w:rPr>
                      <w:rFonts w:hint="eastAsia"/>
                      <w:szCs w:val="21"/>
                    </w:rPr>
                    <w:t>DA00</w:t>
                  </w:r>
                  <w:r>
                    <w:rPr>
                      <w:rFonts w:hint="eastAsia"/>
                      <w:szCs w:val="21"/>
                      <w:lang w:val="en-US" w:eastAsia="zh-CN"/>
                    </w:rPr>
                    <w:t>6</w:t>
                  </w:r>
                </w:p>
              </w:tc>
              <w:tc>
                <w:tcPr>
                  <w:tcW w:w="579" w:type="pct"/>
                  <w:vAlign w:val="center"/>
                </w:tcPr>
                <w:p w14:paraId="34574F71">
                  <w:pPr>
                    <w:autoSpaceDE w:val="0"/>
                    <w:autoSpaceDN w:val="0"/>
                    <w:adjustRightInd w:val="0"/>
                    <w:snapToGrid w:val="0"/>
                    <w:jc w:val="center"/>
                    <w:rPr>
                      <w:rFonts w:hint="default" w:eastAsia="宋体"/>
                      <w:szCs w:val="21"/>
                      <w:lang w:val="en-US" w:eastAsia="zh-CN"/>
                    </w:rPr>
                  </w:pPr>
                  <w:r>
                    <w:rPr>
                      <w:rFonts w:hint="eastAsia"/>
                      <w:szCs w:val="21"/>
                      <w:lang w:val="en-US" w:eastAsia="zh-CN"/>
                    </w:rPr>
                    <w:t>0.4987</w:t>
                  </w:r>
                </w:p>
              </w:tc>
              <w:tc>
                <w:tcPr>
                  <w:tcW w:w="958" w:type="dxa"/>
                  <w:vAlign w:val="center"/>
                </w:tcPr>
                <w:p w14:paraId="26ABD494">
                  <w:pPr>
                    <w:autoSpaceDE w:val="0"/>
                    <w:autoSpaceDN w:val="0"/>
                    <w:adjustRightInd w:val="0"/>
                    <w:snapToGrid w:val="0"/>
                    <w:jc w:val="center"/>
                    <w:rPr>
                      <w:szCs w:val="21"/>
                    </w:rPr>
                  </w:pPr>
                  <w:r>
                    <w:rPr>
                      <w:rFonts w:hint="eastAsia"/>
                      <w:szCs w:val="21"/>
                      <w:lang w:val="en-US" w:eastAsia="zh-CN"/>
                    </w:rPr>
                    <w:t>0.0378</w:t>
                  </w:r>
                </w:p>
              </w:tc>
              <w:tc>
                <w:tcPr>
                  <w:tcW w:w="777" w:type="dxa"/>
                  <w:vAlign w:val="center"/>
                </w:tcPr>
                <w:p w14:paraId="5FBFDEA1">
                  <w:pPr>
                    <w:autoSpaceDE w:val="0"/>
                    <w:autoSpaceDN w:val="0"/>
                    <w:adjustRightInd w:val="0"/>
                    <w:snapToGrid w:val="0"/>
                    <w:jc w:val="center"/>
                    <w:rPr>
                      <w:szCs w:val="21"/>
                    </w:rPr>
                  </w:pPr>
                  <w:r>
                    <w:rPr>
                      <w:rFonts w:hint="eastAsia"/>
                      <w:szCs w:val="21"/>
                      <w:lang w:val="en-US" w:eastAsia="zh-CN"/>
                    </w:rPr>
                    <w:t>1822.31</w:t>
                  </w:r>
                </w:p>
              </w:tc>
              <w:tc>
                <w:tcPr>
                  <w:tcW w:w="679" w:type="dxa"/>
                  <w:vAlign w:val="center"/>
                </w:tcPr>
                <w:p w14:paraId="193FB228">
                  <w:pPr>
                    <w:autoSpaceDE w:val="0"/>
                    <w:autoSpaceDN w:val="0"/>
                    <w:adjustRightInd w:val="0"/>
                    <w:snapToGrid w:val="0"/>
                    <w:jc w:val="center"/>
                    <w:rPr>
                      <w:szCs w:val="21"/>
                    </w:rPr>
                  </w:pPr>
                  <w:r>
                    <w:rPr>
                      <w:rFonts w:hint="eastAsia"/>
                      <w:szCs w:val="21"/>
                      <w:lang w:val="en-US" w:eastAsia="zh-CN"/>
                    </w:rPr>
                    <w:t>95.95</w:t>
                  </w:r>
                </w:p>
              </w:tc>
            </w:tr>
            <w:tr w14:paraId="341FA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56435BC7">
                  <w:pPr>
                    <w:autoSpaceDE w:val="0"/>
                    <w:autoSpaceDN w:val="0"/>
                    <w:adjustRightInd w:val="0"/>
                    <w:snapToGrid w:val="0"/>
                    <w:jc w:val="center"/>
                    <w:rPr>
                      <w:szCs w:val="21"/>
                    </w:rPr>
                  </w:pPr>
                  <w:r>
                    <w:rPr>
                      <w:rFonts w:hint="eastAsia"/>
                      <w:szCs w:val="21"/>
                    </w:rPr>
                    <w:t>二甲苯</w:t>
                  </w:r>
                </w:p>
              </w:tc>
              <w:tc>
                <w:tcPr>
                  <w:tcW w:w="744" w:type="dxa"/>
                  <w:vAlign w:val="center"/>
                </w:tcPr>
                <w:p w14:paraId="305FA615">
                  <w:pPr>
                    <w:autoSpaceDE w:val="0"/>
                    <w:autoSpaceDN w:val="0"/>
                    <w:adjustRightInd w:val="0"/>
                    <w:snapToGrid w:val="0"/>
                    <w:jc w:val="center"/>
                    <w:rPr>
                      <w:szCs w:val="21"/>
                    </w:rPr>
                  </w:pPr>
                  <w:r>
                    <w:rPr>
                      <w:rFonts w:hint="eastAsia"/>
                      <w:szCs w:val="21"/>
                      <w:lang w:val="en-US" w:eastAsia="zh-CN"/>
                    </w:rPr>
                    <w:t>31.25</w:t>
                  </w:r>
                </w:p>
              </w:tc>
              <w:tc>
                <w:tcPr>
                  <w:tcW w:w="404" w:type="pct"/>
                  <w:vMerge w:val="continue"/>
                  <w:vAlign w:val="center"/>
                </w:tcPr>
                <w:p w14:paraId="098B8491">
                  <w:pPr>
                    <w:autoSpaceDE w:val="0"/>
                    <w:autoSpaceDN w:val="0"/>
                    <w:adjustRightInd w:val="0"/>
                    <w:snapToGrid w:val="0"/>
                    <w:jc w:val="center"/>
                    <w:rPr>
                      <w:szCs w:val="21"/>
                    </w:rPr>
                  </w:pPr>
                </w:p>
              </w:tc>
              <w:tc>
                <w:tcPr>
                  <w:tcW w:w="328" w:type="pct"/>
                  <w:vMerge w:val="continue"/>
                  <w:vAlign w:val="center"/>
                </w:tcPr>
                <w:p w14:paraId="5BA38C96">
                  <w:pPr>
                    <w:autoSpaceDE w:val="0"/>
                    <w:autoSpaceDN w:val="0"/>
                    <w:adjustRightInd w:val="0"/>
                    <w:snapToGrid w:val="0"/>
                    <w:jc w:val="center"/>
                    <w:rPr>
                      <w:szCs w:val="21"/>
                    </w:rPr>
                  </w:pPr>
                </w:p>
              </w:tc>
              <w:tc>
                <w:tcPr>
                  <w:tcW w:w="260" w:type="pct"/>
                  <w:vMerge w:val="continue"/>
                  <w:vAlign w:val="center"/>
                </w:tcPr>
                <w:p w14:paraId="2731774B">
                  <w:pPr>
                    <w:autoSpaceDE w:val="0"/>
                    <w:autoSpaceDN w:val="0"/>
                    <w:adjustRightInd w:val="0"/>
                    <w:snapToGrid w:val="0"/>
                    <w:jc w:val="center"/>
                    <w:rPr>
                      <w:szCs w:val="21"/>
                    </w:rPr>
                  </w:pPr>
                </w:p>
              </w:tc>
              <w:tc>
                <w:tcPr>
                  <w:tcW w:w="297" w:type="pct"/>
                  <w:vMerge w:val="continue"/>
                  <w:vAlign w:val="center"/>
                </w:tcPr>
                <w:p w14:paraId="73A75810">
                  <w:pPr>
                    <w:autoSpaceDE w:val="0"/>
                    <w:autoSpaceDN w:val="0"/>
                    <w:adjustRightInd w:val="0"/>
                    <w:snapToGrid w:val="0"/>
                    <w:jc w:val="center"/>
                    <w:rPr>
                      <w:szCs w:val="21"/>
                    </w:rPr>
                  </w:pPr>
                </w:p>
              </w:tc>
              <w:tc>
                <w:tcPr>
                  <w:tcW w:w="300" w:type="pct"/>
                  <w:vMerge w:val="continue"/>
                  <w:vAlign w:val="center"/>
                </w:tcPr>
                <w:p w14:paraId="1739AE53">
                  <w:pPr>
                    <w:autoSpaceDE w:val="0"/>
                    <w:autoSpaceDN w:val="0"/>
                    <w:adjustRightInd w:val="0"/>
                    <w:snapToGrid w:val="0"/>
                    <w:jc w:val="center"/>
                    <w:rPr>
                      <w:szCs w:val="21"/>
                    </w:rPr>
                  </w:pPr>
                </w:p>
              </w:tc>
              <w:tc>
                <w:tcPr>
                  <w:tcW w:w="318" w:type="pct"/>
                  <w:vMerge w:val="continue"/>
                  <w:vAlign w:val="center"/>
                </w:tcPr>
                <w:p w14:paraId="41DCD92A">
                  <w:pPr>
                    <w:autoSpaceDE w:val="0"/>
                    <w:autoSpaceDN w:val="0"/>
                    <w:adjustRightInd w:val="0"/>
                    <w:snapToGrid w:val="0"/>
                    <w:jc w:val="center"/>
                    <w:rPr>
                      <w:szCs w:val="21"/>
                    </w:rPr>
                  </w:pPr>
                </w:p>
              </w:tc>
              <w:tc>
                <w:tcPr>
                  <w:tcW w:w="579" w:type="pct"/>
                  <w:vAlign w:val="center"/>
                </w:tcPr>
                <w:p w14:paraId="25A8B1F4">
                  <w:pPr>
                    <w:autoSpaceDE w:val="0"/>
                    <w:autoSpaceDN w:val="0"/>
                    <w:adjustRightInd w:val="0"/>
                    <w:snapToGrid w:val="0"/>
                    <w:jc w:val="center"/>
                    <w:rPr>
                      <w:rFonts w:hint="default" w:eastAsia="宋体"/>
                      <w:szCs w:val="21"/>
                      <w:lang w:val="en-US" w:eastAsia="zh-CN"/>
                    </w:rPr>
                  </w:pPr>
                  <w:r>
                    <w:rPr>
                      <w:rFonts w:hint="eastAsia"/>
                      <w:szCs w:val="21"/>
                      <w:lang w:val="en-US" w:eastAsia="zh-CN"/>
                    </w:rPr>
                    <w:t>0.0079</w:t>
                  </w:r>
                </w:p>
              </w:tc>
              <w:tc>
                <w:tcPr>
                  <w:tcW w:w="958" w:type="dxa"/>
                  <w:vAlign w:val="center"/>
                </w:tcPr>
                <w:p w14:paraId="545B4A21">
                  <w:pPr>
                    <w:autoSpaceDE w:val="0"/>
                    <w:autoSpaceDN w:val="0"/>
                    <w:adjustRightInd w:val="0"/>
                    <w:snapToGrid w:val="0"/>
                    <w:jc w:val="center"/>
                    <w:rPr>
                      <w:szCs w:val="21"/>
                    </w:rPr>
                  </w:pPr>
                  <w:r>
                    <w:rPr>
                      <w:rFonts w:hint="eastAsia"/>
                      <w:szCs w:val="21"/>
                      <w:lang w:val="en-US" w:eastAsia="zh-CN"/>
                    </w:rPr>
                    <w:t>0.0006</w:t>
                  </w:r>
                </w:p>
              </w:tc>
              <w:tc>
                <w:tcPr>
                  <w:tcW w:w="777" w:type="dxa"/>
                  <w:vAlign w:val="center"/>
                </w:tcPr>
                <w:p w14:paraId="3974E82F">
                  <w:pPr>
                    <w:autoSpaceDE w:val="0"/>
                    <w:autoSpaceDN w:val="0"/>
                    <w:adjustRightInd w:val="0"/>
                    <w:snapToGrid w:val="0"/>
                    <w:jc w:val="center"/>
                    <w:rPr>
                      <w:szCs w:val="21"/>
                    </w:rPr>
                  </w:pPr>
                  <w:r>
                    <w:rPr>
                      <w:rFonts w:hint="eastAsia"/>
                      <w:szCs w:val="21"/>
                      <w:lang w:val="en-US" w:eastAsia="zh-CN"/>
                    </w:rPr>
                    <w:t>2.97</w:t>
                  </w:r>
                </w:p>
              </w:tc>
              <w:tc>
                <w:tcPr>
                  <w:tcW w:w="679" w:type="dxa"/>
                  <w:vAlign w:val="center"/>
                </w:tcPr>
                <w:p w14:paraId="153C8DC6">
                  <w:pPr>
                    <w:autoSpaceDE w:val="0"/>
                    <w:autoSpaceDN w:val="0"/>
                    <w:adjustRightInd w:val="0"/>
                    <w:snapToGrid w:val="0"/>
                    <w:jc w:val="center"/>
                    <w:rPr>
                      <w:szCs w:val="21"/>
                    </w:rPr>
                  </w:pPr>
                  <w:r>
                    <w:rPr>
                      <w:rFonts w:hint="eastAsia"/>
                      <w:szCs w:val="21"/>
                      <w:lang w:val="en-US" w:eastAsia="zh-CN"/>
                    </w:rPr>
                    <w:t>1.56</w:t>
                  </w:r>
                </w:p>
              </w:tc>
            </w:tr>
            <w:tr w14:paraId="01582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69D0854B">
                  <w:pPr>
                    <w:autoSpaceDE w:val="0"/>
                    <w:autoSpaceDN w:val="0"/>
                    <w:adjustRightInd w:val="0"/>
                    <w:snapToGrid w:val="0"/>
                    <w:jc w:val="center"/>
                    <w:rPr>
                      <w:szCs w:val="21"/>
                    </w:rPr>
                  </w:pPr>
                  <w:r>
                    <w:rPr>
                      <w:rFonts w:hint="eastAsia"/>
                      <w:szCs w:val="21"/>
                    </w:rPr>
                    <w:t>乙苯</w:t>
                  </w:r>
                </w:p>
              </w:tc>
              <w:tc>
                <w:tcPr>
                  <w:tcW w:w="744" w:type="dxa"/>
                  <w:vAlign w:val="center"/>
                </w:tcPr>
                <w:p w14:paraId="51740C00">
                  <w:pPr>
                    <w:autoSpaceDE w:val="0"/>
                    <w:autoSpaceDN w:val="0"/>
                    <w:adjustRightInd w:val="0"/>
                    <w:snapToGrid w:val="0"/>
                    <w:jc w:val="center"/>
                    <w:rPr>
                      <w:szCs w:val="21"/>
                    </w:rPr>
                  </w:pPr>
                  <w:r>
                    <w:rPr>
                      <w:rFonts w:hint="eastAsia"/>
                      <w:szCs w:val="21"/>
                      <w:lang w:val="en-US" w:eastAsia="zh-CN"/>
                    </w:rPr>
                    <w:t>4.625</w:t>
                  </w:r>
                </w:p>
              </w:tc>
              <w:tc>
                <w:tcPr>
                  <w:tcW w:w="404" w:type="pct"/>
                  <w:vMerge w:val="continue"/>
                  <w:vAlign w:val="center"/>
                </w:tcPr>
                <w:p w14:paraId="6F8A7DF5">
                  <w:pPr>
                    <w:autoSpaceDE w:val="0"/>
                    <w:autoSpaceDN w:val="0"/>
                    <w:adjustRightInd w:val="0"/>
                    <w:snapToGrid w:val="0"/>
                    <w:jc w:val="center"/>
                    <w:rPr>
                      <w:szCs w:val="21"/>
                    </w:rPr>
                  </w:pPr>
                </w:p>
              </w:tc>
              <w:tc>
                <w:tcPr>
                  <w:tcW w:w="328" w:type="pct"/>
                  <w:vMerge w:val="continue"/>
                  <w:vAlign w:val="center"/>
                </w:tcPr>
                <w:p w14:paraId="368B7381">
                  <w:pPr>
                    <w:autoSpaceDE w:val="0"/>
                    <w:autoSpaceDN w:val="0"/>
                    <w:adjustRightInd w:val="0"/>
                    <w:snapToGrid w:val="0"/>
                    <w:jc w:val="center"/>
                    <w:rPr>
                      <w:szCs w:val="21"/>
                    </w:rPr>
                  </w:pPr>
                </w:p>
              </w:tc>
              <w:tc>
                <w:tcPr>
                  <w:tcW w:w="260" w:type="pct"/>
                  <w:vMerge w:val="continue"/>
                  <w:vAlign w:val="center"/>
                </w:tcPr>
                <w:p w14:paraId="36EAA9F2">
                  <w:pPr>
                    <w:autoSpaceDE w:val="0"/>
                    <w:autoSpaceDN w:val="0"/>
                    <w:adjustRightInd w:val="0"/>
                    <w:snapToGrid w:val="0"/>
                    <w:jc w:val="center"/>
                    <w:rPr>
                      <w:szCs w:val="21"/>
                    </w:rPr>
                  </w:pPr>
                </w:p>
              </w:tc>
              <w:tc>
                <w:tcPr>
                  <w:tcW w:w="297" w:type="pct"/>
                  <w:vMerge w:val="continue"/>
                  <w:vAlign w:val="center"/>
                </w:tcPr>
                <w:p w14:paraId="082E96C3">
                  <w:pPr>
                    <w:autoSpaceDE w:val="0"/>
                    <w:autoSpaceDN w:val="0"/>
                    <w:adjustRightInd w:val="0"/>
                    <w:snapToGrid w:val="0"/>
                    <w:jc w:val="center"/>
                    <w:rPr>
                      <w:szCs w:val="21"/>
                    </w:rPr>
                  </w:pPr>
                </w:p>
              </w:tc>
              <w:tc>
                <w:tcPr>
                  <w:tcW w:w="300" w:type="pct"/>
                  <w:vMerge w:val="continue"/>
                  <w:vAlign w:val="center"/>
                </w:tcPr>
                <w:p w14:paraId="0A6FF8E8">
                  <w:pPr>
                    <w:autoSpaceDE w:val="0"/>
                    <w:autoSpaceDN w:val="0"/>
                    <w:adjustRightInd w:val="0"/>
                    <w:snapToGrid w:val="0"/>
                    <w:jc w:val="center"/>
                    <w:rPr>
                      <w:szCs w:val="21"/>
                    </w:rPr>
                  </w:pPr>
                </w:p>
              </w:tc>
              <w:tc>
                <w:tcPr>
                  <w:tcW w:w="318" w:type="pct"/>
                  <w:vMerge w:val="continue"/>
                  <w:vAlign w:val="center"/>
                </w:tcPr>
                <w:p w14:paraId="4A9BFC1C">
                  <w:pPr>
                    <w:autoSpaceDE w:val="0"/>
                    <w:autoSpaceDN w:val="0"/>
                    <w:adjustRightInd w:val="0"/>
                    <w:snapToGrid w:val="0"/>
                    <w:jc w:val="center"/>
                    <w:rPr>
                      <w:szCs w:val="21"/>
                    </w:rPr>
                  </w:pPr>
                </w:p>
              </w:tc>
              <w:tc>
                <w:tcPr>
                  <w:tcW w:w="579" w:type="pct"/>
                  <w:vAlign w:val="center"/>
                </w:tcPr>
                <w:p w14:paraId="5A2BC5A1">
                  <w:pPr>
                    <w:autoSpaceDE w:val="0"/>
                    <w:autoSpaceDN w:val="0"/>
                    <w:adjustRightInd w:val="0"/>
                    <w:snapToGrid w:val="0"/>
                    <w:jc w:val="center"/>
                    <w:rPr>
                      <w:rFonts w:hint="default" w:eastAsia="宋体"/>
                      <w:szCs w:val="21"/>
                      <w:lang w:val="en-US" w:eastAsia="zh-CN"/>
                    </w:rPr>
                  </w:pPr>
                  <w:r>
                    <w:rPr>
                      <w:rFonts w:hint="eastAsia"/>
                      <w:szCs w:val="21"/>
                      <w:lang w:val="en-US" w:eastAsia="zh-CN"/>
                    </w:rPr>
                    <w:t>1.2</w:t>
                  </w:r>
                  <w:r>
                    <w:rPr>
                      <w:rFonts w:hint="eastAsia"/>
                      <w:szCs w:val="21"/>
                    </w:rPr>
                    <w:t>×10</w:t>
                  </w:r>
                  <w:r>
                    <w:rPr>
                      <w:rFonts w:hint="eastAsia"/>
                      <w:szCs w:val="21"/>
                      <w:vertAlign w:val="superscript"/>
                    </w:rPr>
                    <w:t>-5</w:t>
                  </w:r>
                </w:p>
              </w:tc>
              <w:tc>
                <w:tcPr>
                  <w:tcW w:w="958" w:type="dxa"/>
                  <w:vAlign w:val="center"/>
                </w:tcPr>
                <w:p w14:paraId="009846D7">
                  <w:pPr>
                    <w:autoSpaceDE w:val="0"/>
                    <w:autoSpaceDN w:val="0"/>
                    <w:adjustRightInd w:val="0"/>
                    <w:snapToGrid w:val="0"/>
                    <w:jc w:val="center"/>
                    <w:rPr>
                      <w:szCs w:val="21"/>
                    </w:rPr>
                  </w:pPr>
                  <w:r>
                    <w:rPr>
                      <w:rFonts w:hint="eastAsia"/>
                      <w:szCs w:val="21"/>
                      <w:lang w:val="en-US" w:eastAsia="zh-CN"/>
                    </w:rPr>
                    <w:t>9.2</w:t>
                  </w:r>
                  <w:r>
                    <w:rPr>
                      <w:rFonts w:hint="eastAsia"/>
                      <w:szCs w:val="21"/>
                    </w:rPr>
                    <w:t>×10</w:t>
                  </w:r>
                  <w:r>
                    <w:rPr>
                      <w:rFonts w:hint="eastAsia"/>
                      <w:szCs w:val="21"/>
                      <w:vertAlign w:val="superscript"/>
                    </w:rPr>
                    <w:t>-5</w:t>
                  </w:r>
                </w:p>
              </w:tc>
              <w:tc>
                <w:tcPr>
                  <w:tcW w:w="777" w:type="dxa"/>
                  <w:vAlign w:val="center"/>
                </w:tcPr>
                <w:p w14:paraId="600C1207">
                  <w:pPr>
                    <w:autoSpaceDE w:val="0"/>
                    <w:autoSpaceDN w:val="0"/>
                    <w:adjustRightInd w:val="0"/>
                    <w:snapToGrid w:val="0"/>
                    <w:jc w:val="center"/>
                    <w:rPr>
                      <w:szCs w:val="21"/>
                    </w:rPr>
                  </w:pPr>
                  <w:r>
                    <w:rPr>
                      <w:rFonts w:hint="eastAsia"/>
                      <w:szCs w:val="21"/>
                      <w:lang w:val="en-US" w:eastAsia="zh-CN"/>
                    </w:rPr>
                    <w:t>0.44</w:t>
                  </w:r>
                </w:p>
              </w:tc>
              <w:tc>
                <w:tcPr>
                  <w:tcW w:w="679" w:type="dxa"/>
                  <w:vAlign w:val="center"/>
                </w:tcPr>
                <w:p w14:paraId="1D74AB92">
                  <w:pPr>
                    <w:autoSpaceDE w:val="0"/>
                    <w:autoSpaceDN w:val="0"/>
                    <w:adjustRightInd w:val="0"/>
                    <w:snapToGrid w:val="0"/>
                    <w:jc w:val="center"/>
                    <w:rPr>
                      <w:szCs w:val="21"/>
                    </w:rPr>
                  </w:pPr>
                  <w:r>
                    <w:rPr>
                      <w:rFonts w:hint="eastAsia"/>
                      <w:szCs w:val="21"/>
                      <w:lang w:val="en-US" w:eastAsia="zh-CN"/>
                    </w:rPr>
                    <w:t>0.23</w:t>
                  </w:r>
                </w:p>
              </w:tc>
            </w:tr>
            <w:tr w14:paraId="0875E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1B38969D">
                  <w:pPr>
                    <w:autoSpaceDE w:val="0"/>
                    <w:autoSpaceDN w:val="0"/>
                    <w:adjustRightInd w:val="0"/>
                    <w:snapToGrid w:val="0"/>
                    <w:jc w:val="center"/>
                    <w:rPr>
                      <w:rFonts w:hint="eastAsia"/>
                      <w:szCs w:val="21"/>
                    </w:rPr>
                  </w:pPr>
                  <w:r>
                    <w:rPr>
                      <w:rFonts w:hint="eastAsia"/>
                      <w:szCs w:val="21"/>
                    </w:rPr>
                    <w:t>VOCs</w:t>
                  </w:r>
                </w:p>
              </w:tc>
              <w:tc>
                <w:tcPr>
                  <w:tcW w:w="744" w:type="dxa"/>
                  <w:vAlign w:val="center"/>
                </w:tcPr>
                <w:p w14:paraId="4EF1A6EB">
                  <w:pPr>
                    <w:autoSpaceDE w:val="0"/>
                    <w:autoSpaceDN w:val="0"/>
                    <w:adjustRightInd w:val="0"/>
                    <w:snapToGrid w:val="0"/>
                    <w:jc w:val="center"/>
                    <w:rPr>
                      <w:rFonts w:hint="eastAsia"/>
                      <w:szCs w:val="21"/>
                    </w:rPr>
                  </w:pPr>
                  <w:r>
                    <w:rPr>
                      <w:rFonts w:hint="eastAsia"/>
                      <w:szCs w:val="21"/>
                      <w:lang w:val="en-US" w:eastAsia="zh-CN"/>
                    </w:rPr>
                    <w:t>1919.02</w:t>
                  </w:r>
                </w:p>
              </w:tc>
              <w:tc>
                <w:tcPr>
                  <w:tcW w:w="404" w:type="pct"/>
                  <w:vMerge w:val="restart"/>
                  <w:vAlign w:val="center"/>
                </w:tcPr>
                <w:p w14:paraId="3FD1FD2D">
                  <w:pPr>
                    <w:autoSpaceDE w:val="0"/>
                    <w:autoSpaceDN w:val="0"/>
                    <w:adjustRightInd w:val="0"/>
                    <w:snapToGrid w:val="0"/>
                    <w:jc w:val="center"/>
                    <w:rPr>
                      <w:rFonts w:hint="default"/>
                      <w:szCs w:val="21"/>
                      <w:lang w:val="en-US"/>
                    </w:rPr>
                  </w:pPr>
                  <w:r>
                    <w:rPr>
                      <w:rFonts w:hint="eastAsia"/>
                      <w:szCs w:val="21"/>
                      <w:lang w:val="en-US" w:eastAsia="zh-CN"/>
                    </w:rPr>
                    <w:t>75800</w:t>
                  </w:r>
                </w:p>
              </w:tc>
              <w:tc>
                <w:tcPr>
                  <w:tcW w:w="328" w:type="pct"/>
                  <w:vMerge w:val="restart"/>
                  <w:vAlign w:val="center"/>
                </w:tcPr>
                <w:p w14:paraId="7C637896">
                  <w:pPr>
                    <w:autoSpaceDE w:val="0"/>
                    <w:autoSpaceDN w:val="0"/>
                    <w:adjustRightInd w:val="0"/>
                    <w:snapToGrid w:val="0"/>
                    <w:jc w:val="center"/>
                    <w:rPr>
                      <w:szCs w:val="21"/>
                    </w:rPr>
                  </w:pPr>
                </w:p>
              </w:tc>
              <w:tc>
                <w:tcPr>
                  <w:tcW w:w="260" w:type="pct"/>
                  <w:vMerge w:val="restart"/>
                  <w:vAlign w:val="center"/>
                </w:tcPr>
                <w:p w14:paraId="7C312E29">
                  <w:pPr>
                    <w:autoSpaceDE w:val="0"/>
                    <w:autoSpaceDN w:val="0"/>
                    <w:adjustRightInd w:val="0"/>
                    <w:snapToGrid w:val="0"/>
                    <w:jc w:val="center"/>
                    <w:rPr>
                      <w:szCs w:val="21"/>
                    </w:rPr>
                  </w:pPr>
                  <w:r>
                    <w:rPr>
                      <w:rFonts w:hint="eastAsia"/>
                      <w:szCs w:val="21"/>
                    </w:rPr>
                    <w:t>1</w:t>
                  </w:r>
                </w:p>
              </w:tc>
              <w:tc>
                <w:tcPr>
                  <w:tcW w:w="297" w:type="pct"/>
                  <w:vMerge w:val="restart"/>
                  <w:vAlign w:val="center"/>
                </w:tcPr>
                <w:p w14:paraId="306982C0">
                  <w:pPr>
                    <w:autoSpaceDE w:val="0"/>
                    <w:autoSpaceDN w:val="0"/>
                    <w:adjustRightInd w:val="0"/>
                    <w:snapToGrid w:val="0"/>
                    <w:jc w:val="center"/>
                    <w:rPr>
                      <w:szCs w:val="21"/>
                    </w:rPr>
                  </w:pPr>
                  <w:r>
                    <w:rPr>
                      <w:rFonts w:hint="eastAsia"/>
                      <w:szCs w:val="21"/>
                      <w:lang w:val="en-US" w:eastAsia="zh-CN"/>
                    </w:rPr>
                    <w:t>15</w:t>
                  </w:r>
                  <w:r>
                    <w:rPr>
                      <w:rFonts w:hint="eastAsia"/>
                      <w:szCs w:val="21"/>
                    </w:rPr>
                    <w:t>m</w:t>
                  </w:r>
                </w:p>
              </w:tc>
              <w:tc>
                <w:tcPr>
                  <w:tcW w:w="300" w:type="pct"/>
                  <w:vMerge w:val="restart"/>
                  <w:vAlign w:val="center"/>
                </w:tcPr>
                <w:p w14:paraId="72B47C5F">
                  <w:pPr>
                    <w:autoSpaceDE w:val="0"/>
                    <w:autoSpaceDN w:val="0"/>
                    <w:adjustRightInd w:val="0"/>
                    <w:snapToGrid w:val="0"/>
                    <w:jc w:val="center"/>
                    <w:rPr>
                      <w:szCs w:val="21"/>
                    </w:rPr>
                  </w:pPr>
                  <w:r>
                    <w:rPr>
                      <w:rFonts w:hint="eastAsia"/>
                      <w:szCs w:val="21"/>
                    </w:rPr>
                    <w:t>1m</w:t>
                  </w:r>
                </w:p>
              </w:tc>
              <w:tc>
                <w:tcPr>
                  <w:tcW w:w="318" w:type="pct"/>
                  <w:vMerge w:val="restart"/>
                  <w:vAlign w:val="center"/>
                </w:tcPr>
                <w:p w14:paraId="407891F1">
                  <w:pPr>
                    <w:wordWrap w:val="0"/>
                    <w:autoSpaceDE w:val="0"/>
                    <w:autoSpaceDN w:val="0"/>
                    <w:adjustRightInd w:val="0"/>
                    <w:snapToGrid w:val="0"/>
                    <w:jc w:val="center"/>
                    <w:rPr>
                      <w:szCs w:val="21"/>
                    </w:rPr>
                  </w:pPr>
                  <w:r>
                    <w:rPr>
                      <w:rFonts w:hint="eastAsia"/>
                      <w:szCs w:val="21"/>
                    </w:rPr>
                    <w:t>DA00</w:t>
                  </w:r>
                  <w:r>
                    <w:rPr>
                      <w:rFonts w:hint="eastAsia"/>
                      <w:szCs w:val="21"/>
                      <w:lang w:val="en-US" w:eastAsia="zh-CN"/>
                    </w:rPr>
                    <w:t>7</w:t>
                  </w:r>
                </w:p>
              </w:tc>
              <w:tc>
                <w:tcPr>
                  <w:tcW w:w="579" w:type="pct"/>
                  <w:vAlign w:val="center"/>
                </w:tcPr>
                <w:p w14:paraId="71D85CA8">
                  <w:pPr>
                    <w:autoSpaceDE w:val="0"/>
                    <w:autoSpaceDN w:val="0"/>
                    <w:adjustRightInd w:val="0"/>
                    <w:snapToGrid w:val="0"/>
                    <w:jc w:val="center"/>
                    <w:rPr>
                      <w:rFonts w:hint="default" w:eastAsia="宋体"/>
                      <w:szCs w:val="21"/>
                      <w:lang w:val="en-US" w:eastAsia="zh-CN"/>
                    </w:rPr>
                  </w:pPr>
                  <w:r>
                    <w:rPr>
                      <w:rFonts w:hint="eastAsia"/>
                      <w:szCs w:val="21"/>
                      <w:lang w:val="en-US" w:eastAsia="zh-CN"/>
                    </w:rPr>
                    <w:t>0.4987</w:t>
                  </w:r>
                </w:p>
              </w:tc>
              <w:tc>
                <w:tcPr>
                  <w:tcW w:w="958" w:type="dxa"/>
                  <w:vAlign w:val="center"/>
                </w:tcPr>
                <w:p w14:paraId="38389923">
                  <w:pPr>
                    <w:autoSpaceDE w:val="0"/>
                    <w:autoSpaceDN w:val="0"/>
                    <w:adjustRightInd w:val="0"/>
                    <w:snapToGrid w:val="0"/>
                    <w:jc w:val="center"/>
                    <w:rPr>
                      <w:rFonts w:hint="eastAsia"/>
                      <w:szCs w:val="21"/>
                    </w:rPr>
                  </w:pPr>
                  <w:r>
                    <w:rPr>
                      <w:rFonts w:hint="eastAsia"/>
                      <w:szCs w:val="21"/>
                      <w:lang w:val="en-US" w:eastAsia="zh-CN"/>
                    </w:rPr>
                    <w:t>0.0378</w:t>
                  </w:r>
                </w:p>
              </w:tc>
              <w:tc>
                <w:tcPr>
                  <w:tcW w:w="777" w:type="dxa"/>
                  <w:vAlign w:val="center"/>
                </w:tcPr>
                <w:p w14:paraId="732A89CF">
                  <w:pPr>
                    <w:autoSpaceDE w:val="0"/>
                    <w:autoSpaceDN w:val="0"/>
                    <w:adjustRightInd w:val="0"/>
                    <w:snapToGrid w:val="0"/>
                    <w:jc w:val="center"/>
                    <w:rPr>
                      <w:rFonts w:hint="eastAsia"/>
                      <w:szCs w:val="21"/>
                    </w:rPr>
                  </w:pPr>
                  <w:r>
                    <w:rPr>
                      <w:rFonts w:hint="eastAsia"/>
                      <w:szCs w:val="21"/>
                      <w:lang w:val="en-US" w:eastAsia="zh-CN"/>
                    </w:rPr>
                    <w:t>1822.31</w:t>
                  </w:r>
                </w:p>
              </w:tc>
              <w:tc>
                <w:tcPr>
                  <w:tcW w:w="679" w:type="dxa"/>
                  <w:vAlign w:val="center"/>
                </w:tcPr>
                <w:p w14:paraId="5EF8406B">
                  <w:pPr>
                    <w:autoSpaceDE w:val="0"/>
                    <w:autoSpaceDN w:val="0"/>
                    <w:adjustRightInd w:val="0"/>
                    <w:snapToGrid w:val="0"/>
                    <w:jc w:val="center"/>
                    <w:rPr>
                      <w:rFonts w:hint="eastAsia"/>
                      <w:szCs w:val="21"/>
                    </w:rPr>
                  </w:pPr>
                  <w:r>
                    <w:rPr>
                      <w:rFonts w:hint="eastAsia"/>
                      <w:szCs w:val="21"/>
                      <w:lang w:val="en-US" w:eastAsia="zh-CN"/>
                    </w:rPr>
                    <w:t>95.95</w:t>
                  </w:r>
                </w:p>
              </w:tc>
            </w:tr>
            <w:tr w14:paraId="1DAEA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68F2A58C">
                  <w:pPr>
                    <w:autoSpaceDE w:val="0"/>
                    <w:autoSpaceDN w:val="0"/>
                    <w:adjustRightInd w:val="0"/>
                    <w:snapToGrid w:val="0"/>
                    <w:jc w:val="center"/>
                    <w:rPr>
                      <w:rFonts w:hint="eastAsia"/>
                      <w:szCs w:val="21"/>
                    </w:rPr>
                  </w:pPr>
                  <w:r>
                    <w:rPr>
                      <w:rFonts w:hint="eastAsia"/>
                      <w:szCs w:val="21"/>
                    </w:rPr>
                    <w:t>二甲苯</w:t>
                  </w:r>
                </w:p>
              </w:tc>
              <w:tc>
                <w:tcPr>
                  <w:tcW w:w="744" w:type="dxa"/>
                  <w:vAlign w:val="center"/>
                </w:tcPr>
                <w:p w14:paraId="5993A190">
                  <w:pPr>
                    <w:autoSpaceDE w:val="0"/>
                    <w:autoSpaceDN w:val="0"/>
                    <w:adjustRightInd w:val="0"/>
                    <w:snapToGrid w:val="0"/>
                    <w:jc w:val="center"/>
                    <w:rPr>
                      <w:rFonts w:hint="eastAsia"/>
                      <w:szCs w:val="21"/>
                    </w:rPr>
                  </w:pPr>
                  <w:r>
                    <w:rPr>
                      <w:rFonts w:hint="eastAsia"/>
                      <w:szCs w:val="21"/>
                      <w:lang w:val="en-US" w:eastAsia="zh-CN"/>
                    </w:rPr>
                    <w:t>31.25</w:t>
                  </w:r>
                </w:p>
              </w:tc>
              <w:tc>
                <w:tcPr>
                  <w:tcW w:w="404" w:type="pct"/>
                  <w:vMerge w:val="continue"/>
                  <w:vAlign w:val="center"/>
                </w:tcPr>
                <w:p w14:paraId="077EEA54">
                  <w:pPr>
                    <w:autoSpaceDE w:val="0"/>
                    <w:autoSpaceDN w:val="0"/>
                    <w:adjustRightInd w:val="0"/>
                    <w:snapToGrid w:val="0"/>
                    <w:jc w:val="center"/>
                    <w:rPr>
                      <w:szCs w:val="21"/>
                    </w:rPr>
                  </w:pPr>
                </w:p>
              </w:tc>
              <w:tc>
                <w:tcPr>
                  <w:tcW w:w="328" w:type="pct"/>
                  <w:vMerge w:val="continue"/>
                  <w:vAlign w:val="center"/>
                </w:tcPr>
                <w:p w14:paraId="20BF454F">
                  <w:pPr>
                    <w:autoSpaceDE w:val="0"/>
                    <w:autoSpaceDN w:val="0"/>
                    <w:adjustRightInd w:val="0"/>
                    <w:snapToGrid w:val="0"/>
                    <w:jc w:val="center"/>
                    <w:rPr>
                      <w:szCs w:val="21"/>
                    </w:rPr>
                  </w:pPr>
                </w:p>
              </w:tc>
              <w:tc>
                <w:tcPr>
                  <w:tcW w:w="260" w:type="pct"/>
                  <w:vMerge w:val="continue"/>
                  <w:vAlign w:val="center"/>
                </w:tcPr>
                <w:p w14:paraId="29F988C8">
                  <w:pPr>
                    <w:autoSpaceDE w:val="0"/>
                    <w:autoSpaceDN w:val="0"/>
                    <w:adjustRightInd w:val="0"/>
                    <w:snapToGrid w:val="0"/>
                    <w:jc w:val="center"/>
                    <w:rPr>
                      <w:szCs w:val="21"/>
                    </w:rPr>
                  </w:pPr>
                </w:p>
              </w:tc>
              <w:tc>
                <w:tcPr>
                  <w:tcW w:w="297" w:type="pct"/>
                  <w:vMerge w:val="continue"/>
                  <w:vAlign w:val="center"/>
                </w:tcPr>
                <w:p w14:paraId="001A98CA">
                  <w:pPr>
                    <w:autoSpaceDE w:val="0"/>
                    <w:autoSpaceDN w:val="0"/>
                    <w:adjustRightInd w:val="0"/>
                    <w:snapToGrid w:val="0"/>
                    <w:jc w:val="center"/>
                    <w:rPr>
                      <w:szCs w:val="21"/>
                    </w:rPr>
                  </w:pPr>
                </w:p>
              </w:tc>
              <w:tc>
                <w:tcPr>
                  <w:tcW w:w="300" w:type="pct"/>
                  <w:vMerge w:val="continue"/>
                  <w:vAlign w:val="center"/>
                </w:tcPr>
                <w:p w14:paraId="307736A1">
                  <w:pPr>
                    <w:autoSpaceDE w:val="0"/>
                    <w:autoSpaceDN w:val="0"/>
                    <w:adjustRightInd w:val="0"/>
                    <w:snapToGrid w:val="0"/>
                    <w:jc w:val="center"/>
                    <w:rPr>
                      <w:szCs w:val="21"/>
                    </w:rPr>
                  </w:pPr>
                </w:p>
              </w:tc>
              <w:tc>
                <w:tcPr>
                  <w:tcW w:w="318" w:type="pct"/>
                  <w:vMerge w:val="continue"/>
                  <w:vAlign w:val="center"/>
                </w:tcPr>
                <w:p w14:paraId="0515079A">
                  <w:pPr>
                    <w:autoSpaceDE w:val="0"/>
                    <w:autoSpaceDN w:val="0"/>
                    <w:adjustRightInd w:val="0"/>
                    <w:snapToGrid w:val="0"/>
                    <w:jc w:val="center"/>
                    <w:rPr>
                      <w:szCs w:val="21"/>
                    </w:rPr>
                  </w:pPr>
                </w:p>
              </w:tc>
              <w:tc>
                <w:tcPr>
                  <w:tcW w:w="579" w:type="pct"/>
                  <w:vAlign w:val="center"/>
                </w:tcPr>
                <w:p w14:paraId="796FD6A6">
                  <w:pPr>
                    <w:autoSpaceDE w:val="0"/>
                    <w:autoSpaceDN w:val="0"/>
                    <w:adjustRightInd w:val="0"/>
                    <w:snapToGrid w:val="0"/>
                    <w:jc w:val="center"/>
                    <w:rPr>
                      <w:rFonts w:hint="default" w:eastAsia="宋体"/>
                      <w:szCs w:val="21"/>
                      <w:lang w:val="en-US" w:eastAsia="zh-CN"/>
                    </w:rPr>
                  </w:pPr>
                  <w:r>
                    <w:rPr>
                      <w:rFonts w:hint="eastAsia"/>
                      <w:szCs w:val="21"/>
                      <w:lang w:val="en-US" w:eastAsia="zh-CN"/>
                    </w:rPr>
                    <w:t>0.0079</w:t>
                  </w:r>
                </w:p>
              </w:tc>
              <w:tc>
                <w:tcPr>
                  <w:tcW w:w="958" w:type="dxa"/>
                  <w:vAlign w:val="center"/>
                </w:tcPr>
                <w:p w14:paraId="75C4E882">
                  <w:pPr>
                    <w:autoSpaceDE w:val="0"/>
                    <w:autoSpaceDN w:val="0"/>
                    <w:adjustRightInd w:val="0"/>
                    <w:snapToGrid w:val="0"/>
                    <w:jc w:val="center"/>
                    <w:rPr>
                      <w:rFonts w:hint="eastAsia"/>
                      <w:szCs w:val="21"/>
                    </w:rPr>
                  </w:pPr>
                  <w:r>
                    <w:rPr>
                      <w:rFonts w:hint="eastAsia"/>
                      <w:szCs w:val="21"/>
                      <w:lang w:val="en-US" w:eastAsia="zh-CN"/>
                    </w:rPr>
                    <w:t>0.0006</w:t>
                  </w:r>
                </w:p>
              </w:tc>
              <w:tc>
                <w:tcPr>
                  <w:tcW w:w="777" w:type="dxa"/>
                  <w:vAlign w:val="center"/>
                </w:tcPr>
                <w:p w14:paraId="4A0CABB8">
                  <w:pPr>
                    <w:autoSpaceDE w:val="0"/>
                    <w:autoSpaceDN w:val="0"/>
                    <w:adjustRightInd w:val="0"/>
                    <w:snapToGrid w:val="0"/>
                    <w:jc w:val="center"/>
                    <w:rPr>
                      <w:rFonts w:hint="eastAsia"/>
                      <w:szCs w:val="21"/>
                    </w:rPr>
                  </w:pPr>
                  <w:r>
                    <w:rPr>
                      <w:rFonts w:hint="eastAsia"/>
                      <w:szCs w:val="21"/>
                      <w:lang w:val="en-US" w:eastAsia="zh-CN"/>
                    </w:rPr>
                    <w:t>2.97</w:t>
                  </w:r>
                </w:p>
              </w:tc>
              <w:tc>
                <w:tcPr>
                  <w:tcW w:w="679" w:type="dxa"/>
                  <w:vAlign w:val="center"/>
                </w:tcPr>
                <w:p w14:paraId="43B68FAC">
                  <w:pPr>
                    <w:autoSpaceDE w:val="0"/>
                    <w:autoSpaceDN w:val="0"/>
                    <w:adjustRightInd w:val="0"/>
                    <w:snapToGrid w:val="0"/>
                    <w:jc w:val="center"/>
                    <w:rPr>
                      <w:rFonts w:hint="eastAsia"/>
                      <w:szCs w:val="21"/>
                    </w:rPr>
                  </w:pPr>
                  <w:r>
                    <w:rPr>
                      <w:rFonts w:hint="eastAsia"/>
                      <w:szCs w:val="21"/>
                      <w:lang w:val="en-US" w:eastAsia="zh-CN"/>
                    </w:rPr>
                    <w:t>1.56</w:t>
                  </w:r>
                </w:p>
              </w:tc>
            </w:tr>
            <w:tr w14:paraId="6AFD2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2" w:type="pct"/>
                  <w:vAlign w:val="center"/>
                </w:tcPr>
                <w:p w14:paraId="0504EDA8">
                  <w:pPr>
                    <w:autoSpaceDE w:val="0"/>
                    <w:autoSpaceDN w:val="0"/>
                    <w:adjustRightInd w:val="0"/>
                    <w:snapToGrid w:val="0"/>
                    <w:jc w:val="center"/>
                    <w:rPr>
                      <w:rFonts w:hint="eastAsia"/>
                      <w:szCs w:val="21"/>
                    </w:rPr>
                  </w:pPr>
                  <w:r>
                    <w:rPr>
                      <w:rFonts w:hint="eastAsia"/>
                      <w:szCs w:val="21"/>
                    </w:rPr>
                    <w:t>乙苯</w:t>
                  </w:r>
                </w:p>
              </w:tc>
              <w:tc>
                <w:tcPr>
                  <w:tcW w:w="744" w:type="dxa"/>
                  <w:vAlign w:val="center"/>
                </w:tcPr>
                <w:p w14:paraId="5160F728">
                  <w:pPr>
                    <w:autoSpaceDE w:val="0"/>
                    <w:autoSpaceDN w:val="0"/>
                    <w:adjustRightInd w:val="0"/>
                    <w:snapToGrid w:val="0"/>
                    <w:jc w:val="center"/>
                    <w:rPr>
                      <w:rFonts w:hint="eastAsia"/>
                      <w:szCs w:val="21"/>
                    </w:rPr>
                  </w:pPr>
                  <w:r>
                    <w:rPr>
                      <w:rFonts w:hint="eastAsia"/>
                      <w:szCs w:val="21"/>
                      <w:lang w:val="en-US" w:eastAsia="zh-CN"/>
                    </w:rPr>
                    <w:t>4.625</w:t>
                  </w:r>
                </w:p>
              </w:tc>
              <w:tc>
                <w:tcPr>
                  <w:tcW w:w="404" w:type="pct"/>
                  <w:vMerge w:val="continue"/>
                  <w:vAlign w:val="center"/>
                </w:tcPr>
                <w:p w14:paraId="4D5A2C8B">
                  <w:pPr>
                    <w:autoSpaceDE w:val="0"/>
                    <w:autoSpaceDN w:val="0"/>
                    <w:adjustRightInd w:val="0"/>
                    <w:snapToGrid w:val="0"/>
                    <w:jc w:val="center"/>
                    <w:rPr>
                      <w:szCs w:val="21"/>
                    </w:rPr>
                  </w:pPr>
                </w:p>
              </w:tc>
              <w:tc>
                <w:tcPr>
                  <w:tcW w:w="328" w:type="pct"/>
                  <w:vMerge w:val="continue"/>
                  <w:vAlign w:val="center"/>
                </w:tcPr>
                <w:p w14:paraId="50676996">
                  <w:pPr>
                    <w:autoSpaceDE w:val="0"/>
                    <w:autoSpaceDN w:val="0"/>
                    <w:adjustRightInd w:val="0"/>
                    <w:snapToGrid w:val="0"/>
                    <w:jc w:val="center"/>
                    <w:rPr>
                      <w:szCs w:val="21"/>
                    </w:rPr>
                  </w:pPr>
                </w:p>
              </w:tc>
              <w:tc>
                <w:tcPr>
                  <w:tcW w:w="260" w:type="pct"/>
                  <w:vMerge w:val="continue"/>
                  <w:vAlign w:val="center"/>
                </w:tcPr>
                <w:p w14:paraId="50741B6B">
                  <w:pPr>
                    <w:autoSpaceDE w:val="0"/>
                    <w:autoSpaceDN w:val="0"/>
                    <w:adjustRightInd w:val="0"/>
                    <w:snapToGrid w:val="0"/>
                    <w:jc w:val="center"/>
                    <w:rPr>
                      <w:szCs w:val="21"/>
                    </w:rPr>
                  </w:pPr>
                </w:p>
              </w:tc>
              <w:tc>
                <w:tcPr>
                  <w:tcW w:w="297" w:type="pct"/>
                  <w:vMerge w:val="continue"/>
                  <w:vAlign w:val="center"/>
                </w:tcPr>
                <w:p w14:paraId="20CC4570">
                  <w:pPr>
                    <w:autoSpaceDE w:val="0"/>
                    <w:autoSpaceDN w:val="0"/>
                    <w:adjustRightInd w:val="0"/>
                    <w:snapToGrid w:val="0"/>
                    <w:jc w:val="center"/>
                    <w:rPr>
                      <w:szCs w:val="21"/>
                    </w:rPr>
                  </w:pPr>
                </w:p>
              </w:tc>
              <w:tc>
                <w:tcPr>
                  <w:tcW w:w="300" w:type="pct"/>
                  <w:vMerge w:val="continue"/>
                  <w:vAlign w:val="center"/>
                </w:tcPr>
                <w:p w14:paraId="40A8FCE7">
                  <w:pPr>
                    <w:autoSpaceDE w:val="0"/>
                    <w:autoSpaceDN w:val="0"/>
                    <w:adjustRightInd w:val="0"/>
                    <w:snapToGrid w:val="0"/>
                    <w:jc w:val="center"/>
                    <w:rPr>
                      <w:szCs w:val="21"/>
                    </w:rPr>
                  </w:pPr>
                </w:p>
              </w:tc>
              <w:tc>
                <w:tcPr>
                  <w:tcW w:w="318" w:type="pct"/>
                  <w:vMerge w:val="continue"/>
                  <w:vAlign w:val="center"/>
                </w:tcPr>
                <w:p w14:paraId="6AD3F822">
                  <w:pPr>
                    <w:autoSpaceDE w:val="0"/>
                    <w:autoSpaceDN w:val="0"/>
                    <w:adjustRightInd w:val="0"/>
                    <w:snapToGrid w:val="0"/>
                    <w:jc w:val="center"/>
                    <w:rPr>
                      <w:szCs w:val="21"/>
                    </w:rPr>
                  </w:pPr>
                </w:p>
              </w:tc>
              <w:tc>
                <w:tcPr>
                  <w:tcW w:w="579" w:type="pct"/>
                  <w:vAlign w:val="center"/>
                </w:tcPr>
                <w:p w14:paraId="729A4F60">
                  <w:pPr>
                    <w:autoSpaceDE w:val="0"/>
                    <w:autoSpaceDN w:val="0"/>
                    <w:adjustRightInd w:val="0"/>
                    <w:snapToGrid w:val="0"/>
                    <w:jc w:val="center"/>
                    <w:rPr>
                      <w:rFonts w:hint="eastAsia"/>
                      <w:szCs w:val="21"/>
                    </w:rPr>
                  </w:pPr>
                  <w:r>
                    <w:rPr>
                      <w:rFonts w:hint="eastAsia"/>
                      <w:szCs w:val="21"/>
                      <w:lang w:val="en-US" w:eastAsia="zh-CN"/>
                    </w:rPr>
                    <w:t>1.2</w:t>
                  </w:r>
                  <w:r>
                    <w:rPr>
                      <w:rFonts w:hint="eastAsia"/>
                      <w:szCs w:val="21"/>
                    </w:rPr>
                    <w:t>×10</w:t>
                  </w:r>
                  <w:r>
                    <w:rPr>
                      <w:rFonts w:hint="eastAsia"/>
                      <w:szCs w:val="21"/>
                      <w:vertAlign w:val="superscript"/>
                    </w:rPr>
                    <w:t>-5</w:t>
                  </w:r>
                </w:p>
              </w:tc>
              <w:tc>
                <w:tcPr>
                  <w:tcW w:w="958" w:type="dxa"/>
                  <w:vAlign w:val="center"/>
                </w:tcPr>
                <w:p w14:paraId="1CA19496">
                  <w:pPr>
                    <w:autoSpaceDE w:val="0"/>
                    <w:autoSpaceDN w:val="0"/>
                    <w:adjustRightInd w:val="0"/>
                    <w:snapToGrid w:val="0"/>
                    <w:jc w:val="center"/>
                    <w:rPr>
                      <w:rFonts w:hint="eastAsia"/>
                      <w:szCs w:val="21"/>
                    </w:rPr>
                  </w:pPr>
                  <w:r>
                    <w:rPr>
                      <w:rFonts w:hint="eastAsia"/>
                      <w:szCs w:val="21"/>
                      <w:lang w:val="en-US" w:eastAsia="zh-CN"/>
                    </w:rPr>
                    <w:t>9.2</w:t>
                  </w:r>
                  <w:r>
                    <w:rPr>
                      <w:rFonts w:hint="eastAsia"/>
                      <w:szCs w:val="21"/>
                    </w:rPr>
                    <w:t>×10</w:t>
                  </w:r>
                  <w:r>
                    <w:rPr>
                      <w:rFonts w:hint="eastAsia"/>
                      <w:szCs w:val="21"/>
                      <w:vertAlign w:val="superscript"/>
                    </w:rPr>
                    <w:t>-5</w:t>
                  </w:r>
                </w:p>
              </w:tc>
              <w:tc>
                <w:tcPr>
                  <w:tcW w:w="777" w:type="dxa"/>
                  <w:vAlign w:val="center"/>
                </w:tcPr>
                <w:p w14:paraId="13302634">
                  <w:pPr>
                    <w:autoSpaceDE w:val="0"/>
                    <w:autoSpaceDN w:val="0"/>
                    <w:adjustRightInd w:val="0"/>
                    <w:snapToGrid w:val="0"/>
                    <w:jc w:val="center"/>
                    <w:rPr>
                      <w:rFonts w:hint="eastAsia"/>
                      <w:szCs w:val="21"/>
                    </w:rPr>
                  </w:pPr>
                  <w:r>
                    <w:rPr>
                      <w:rFonts w:hint="eastAsia"/>
                      <w:szCs w:val="21"/>
                      <w:lang w:val="en-US" w:eastAsia="zh-CN"/>
                    </w:rPr>
                    <w:t>0.44</w:t>
                  </w:r>
                </w:p>
              </w:tc>
              <w:tc>
                <w:tcPr>
                  <w:tcW w:w="679" w:type="dxa"/>
                  <w:vAlign w:val="center"/>
                </w:tcPr>
                <w:p w14:paraId="1D68C008">
                  <w:pPr>
                    <w:autoSpaceDE w:val="0"/>
                    <w:autoSpaceDN w:val="0"/>
                    <w:adjustRightInd w:val="0"/>
                    <w:snapToGrid w:val="0"/>
                    <w:jc w:val="center"/>
                    <w:rPr>
                      <w:rFonts w:hint="eastAsia"/>
                      <w:szCs w:val="21"/>
                    </w:rPr>
                  </w:pPr>
                  <w:r>
                    <w:rPr>
                      <w:rFonts w:hint="eastAsia"/>
                      <w:szCs w:val="21"/>
                      <w:lang w:val="en-US" w:eastAsia="zh-CN"/>
                    </w:rPr>
                    <w:t>0.23</w:t>
                  </w:r>
                </w:p>
              </w:tc>
            </w:tr>
          </w:tbl>
          <w:p w14:paraId="3930AFBF">
            <w:pPr>
              <w:numPr>
                <w:ilvl w:val="0"/>
                <w:numId w:val="0"/>
              </w:numPr>
              <w:spacing w:line="360" w:lineRule="auto"/>
              <w:ind w:firstLine="422" w:firstLineChars="200"/>
              <w:rPr>
                <w:rFonts w:hint="eastAsia"/>
                <w:b/>
                <w:bCs/>
                <w:snapToGrid w:val="0"/>
                <w:kern w:val="0"/>
                <w:sz w:val="21"/>
                <w:szCs w:val="21"/>
                <w:lang w:val="en-US" w:eastAsia="zh-CN"/>
              </w:rPr>
            </w:pPr>
            <w:r>
              <w:rPr>
                <w:rFonts w:hint="eastAsia"/>
                <w:b/>
                <w:bCs/>
                <w:snapToGrid w:val="0"/>
                <w:kern w:val="0"/>
                <w:sz w:val="21"/>
                <w:szCs w:val="21"/>
                <w:lang w:val="en-US" w:eastAsia="zh-CN"/>
              </w:rPr>
              <w:t>（4）破碎粉尘</w:t>
            </w:r>
          </w:p>
          <w:p w14:paraId="734D0405">
            <w:pPr>
              <w:keepNext w:val="0"/>
              <w:keepLines w:val="0"/>
              <w:widowControl/>
              <w:suppressLineNumbers w:val="0"/>
              <w:spacing w:line="360" w:lineRule="auto"/>
              <w:ind w:firstLine="422" w:firstLineChars="200"/>
              <w:jc w:val="left"/>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①破碎粉尘产生情况</w:t>
            </w:r>
          </w:p>
          <w:p w14:paraId="32AD8490">
            <w:pPr>
              <w:keepNext w:val="0"/>
              <w:keepLines w:val="0"/>
              <w:widowControl/>
              <w:suppressLineNumbers w:val="0"/>
              <w:spacing w:line="360" w:lineRule="auto"/>
              <w:ind w:firstLine="420" w:firstLineChars="2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项目不合格品和废角料将破碎后重新回用生产。</w:t>
            </w:r>
          </w:p>
          <w:p w14:paraId="0C36A142">
            <w:pPr>
              <w:keepNext w:val="0"/>
              <w:keepLines w:val="0"/>
              <w:widowControl/>
              <w:suppressLineNumbers w:val="0"/>
              <w:spacing w:line="360" w:lineRule="auto"/>
              <w:ind w:firstLine="420" w:firstLineChars="200"/>
              <w:jc w:val="left"/>
              <w:rPr>
                <w:rFonts w:hint="default" w:ascii="Times New Roman" w:hAnsi="Times New Roman" w:cs="Times New Roman"/>
                <w:sz w:val="21"/>
                <w:szCs w:val="21"/>
              </w:rPr>
            </w:pPr>
            <w:r>
              <w:rPr>
                <w:rFonts w:hint="eastAsia"/>
                <w:b w:val="0"/>
                <w:bCs w:val="0"/>
                <w:sz w:val="21"/>
                <w:szCs w:val="21"/>
                <w:lang w:val="en-US" w:eastAsia="zh-CN"/>
              </w:rPr>
              <w:t>本项目设置2台破碎</w:t>
            </w:r>
            <w:r>
              <w:rPr>
                <w:rFonts w:hint="default" w:ascii="Times New Roman" w:hAnsi="Times New Roman" w:cs="Times New Roman"/>
                <w:b w:val="0"/>
                <w:bCs w:val="0"/>
                <w:sz w:val="21"/>
                <w:szCs w:val="21"/>
                <w:lang w:val="en-US" w:eastAsia="zh-CN"/>
              </w:rPr>
              <w:t>机，</w:t>
            </w:r>
            <w:r>
              <w:rPr>
                <w:rFonts w:hint="default" w:ascii="Times New Roman" w:hAnsi="Times New Roman" w:eastAsia="宋体" w:cs="Times New Roman"/>
                <w:color w:val="000000"/>
                <w:kern w:val="0"/>
                <w:sz w:val="21"/>
                <w:szCs w:val="21"/>
                <w:lang w:val="en-US" w:eastAsia="zh-CN" w:bidi="ar"/>
              </w:rPr>
              <w:t>根据企业其他工厂的实际生产经验，不合格品和废角料占原料用量1</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，则塑料颗粒总量为</w:t>
            </w:r>
            <w:r>
              <w:rPr>
                <w:rFonts w:hint="default" w:ascii="Times New Roman" w:hAnsi="Times New Roman" w:eastAsia="宋体" w:cs="Times New Roman"/>
                <w:color w:val="auto"/>
                <w:kern w:val="0"/>
                <w:sz w:val="21"/>
                <w:szCs w:val="21"/>
                <w:lang w:val="en-US" w:eastAsia="zh-CN" w:bidi="ar"/>
              </w:rPr>
              <w:t>25t</w:t>
            </w:r>
            <w:r>
              <w:rPr>
                <w:rFonts w:hint="default" w:ascii="Times New Roman" w:hAnsi="Times New Roman" w:eastAsia="宋体" w:cs="Times New Roman"/>
                <w:color w:val="000000"/>
                <w:kern w:val="0"/>
                <w:sz w:val="21"/>
                <w:szCs w:val="21"/>
                <w:lang w:val="en-US" w:eastAsia="zh-CN" w:bidi="ar"/>
              </w:rPr>
              <w:t>/a，不合格品和废角料产生量为0.25t/a。本次评价参考《排放源统计调查产排污核算方法和系数手册》中《42 废弃资源综合利用行业系数手册》非金属废料和碎屑加工处理行业产排污系数，颗粒物产污系数为0.425kg/t-原料。则破碎粉尘颗粒物产生量约0.</w:t>
            </w:r>
            <w:r>
              <w:rPr>
                <w:rFonts w:hint="eastAsia" w:cs="Times New Roman"/>
                <w:color w:val="000000"/>
                <w:kern w:val="0"/>
                <w:sz w:val="21"/>
                <w:szCs w:val="21"/>
                <w:lang w:val="en-US" w:eastAsia="zh-CN" w:bidi="ar"/>
              </w:rPr>
              <w:t>106</w:t>
            </w:r>
            <w:r>
              <w:rPr>
                <w:rFonts w:hint="eastAsia" w:ascii="Times New Roman" w:hAnsi="Times New Roman" w:eastAsia="宋体" w:cs="Times New Roman"/>
                <w:color w:val="000000"/>
                <w:kern w:val="0"/>
                <w:sz w:val="21"/>
                <w:szCs w:val="21"/>
                <w:lang w:val="en-US" w:eastAsia="zh-CN" w:bidi="ar"/>
              </w:rPr>
              <w:t>kg</w:t>
            </w:r>
            <w:r>
              <w:rPr>
                <w:rFonts w:hint="default" w:ascii="Times New Roman" w:hAnsi="Times New Roman" w:eastAsia="宋体" w:cs="Times New Roman"/>
                <w:color w:val="000000"/>
                <w:kern w:val="0"/>
                <w:sz w:val="21"/>
                <w:szCs w:val="21"/>
                <w:lang w:val="en-US" w:eastAsia="zh-CN" w:bidi="ar"/>
              </w:rPr>
              <w:t>/a，本项目不合格品及边角料产生量较小，废品会在每个月破碎一次，破碎时间约1h，则产生速率约0.00</w:t>
            </w:r>
            <w:r>
              <w:rPr>
                <w:rFonts w:hint="eastAsia" w:cs="Times New Roman"/>
                <w:color w:val="000000"/>
                <w:kern w:val="0"/>
                <w:sz w:val="21"/>
                <w:szCs w:val="21"/>
                <w:lang w:val="en-US" w:eastAsia="zh-CN" w:bidi="ar"/>
              </w:rPr>
              <w:t>89</w:t>
            </w:r>
            <w:r>
              <w:rPr>
                <w:rFonts w:hint="default" w:ascii="Times New Roman" w:hAnsi="Times New Roman" w:eastAsia="宋体" w:cs="Times New Roman"/>
                <w:color w:val="000000"/>
                <w:kern w:val="0"/>
                <w:sz w:val="21"/>
                <w:szCs w:val="21"/>
                <w:lang w:val="en-US" w:eastAsia="zh-CN" w:bidi="ar"/>
              </w:rPr>
              <w:t>kg/h。</w:t>
            </w:r>
          </w:p>
          <w:p w14:paraId="350C507A">
            <w:pPr>
              <w:keepNext w:val="0"/>
              <w:keepLines w:val="0"/>
              <w:widowControl/>
              <w:suppressLineNumbers w:val="0"/>
              <w:spacing w:line="360" w:lineRule="auto"/>
              <w:ind w:firstLine="422" w:firstLineChars="200"/>
              <w:jc w:val="left"/>
              <w:rPr>
                <w:rFonts w:hint="default"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②破碎粉尘治理措施</w:t>
            </w:r>
          </w:p>
          <w:p w14:paraId="1E48E8E1">
            <w:pPr>
              <w:keepNext w:val="0"/>
              <w:keepLines w:val="0"/>
              <w:widowControl/>
              <w:suppressLineNumbers w:val="0"/>
              <w:spacing w:line="360" w:lineRule="auto"/>
              <w:ind w:firstLine="420" w:firstLineChars="200"/>
              <w:jc w:val="left"/>
              <w:rPr>
                <w:rFonts w:hint="default" w:ascii="Times New Roman" w:hAnsi="Times New Roman" w:cs="Times New Roman"/>
                <w:sz w:val="21"/>
                <w:szCs w:val="21"/>
                <w:lang w:val="en-US"/>
              </w:rPr>
            </w:pPr>
            <w:r>
              <w:rPr>
                <w:rFonts w:hint="default" w:ascii="Times New Roman" w:hAnsi="Times New Roman" w:eastAsia="宋体" w:cs="Times New Roman"/>
                <w:color w:val="000000"/>
                <w:kern w:val="0"/>
                <w:sz w:val="21"/>
                <w:szCs w:val="21"/>
                <w:lang w:val="en-US" w:eastAsia="zh-CN" w:bidi="ar"/>
              </w:rPr>
              <w:t>本项目破碎设备位于</w:t>
            </w:r>
            <w:r>
              <w:rPr>
                <w:rFonts w:hint="eastAsia" w:cs="Times New Roman"/>
                <w:color w:val="000000"/>
                <w:kern w:val="0"/>
                <w:sz w:val="21"/>
                <w:szCs w:val="21"/>
                <w:lang w:val="en-US" w:eastAsia="zh-CN" w:bidi="ar"/>
              </w:rPr>
              <w:t>注塑</w:t>
            </w:r>
            <w:r>
              <w:rPr>
                <w:rFonts w:hint="default" w:ascii="Times New Roman" w:hAnsi="Times New Roman" w:eastAsia="宋体" w:cs="Times New Roman"/>
                <w:color w:val="000000"/>
                <w:kern w:val="0"/>
                <w:sz w:val="21"/>
                <w:szCs w:val="21"/>
                <w:lang w:val="en-US" w:eastAsia="zh-CN" w:bidi="ar"/>
              </w:rPr>
              <w:t>厂房西北侧密闭车间内，破碎机</w:t>
            </w:r>
            <w:r>
              <w:rPr>
                <w:rFonts w:hint="eastAsia" w:ascii="Times New Roman" w:hAnsi="Times New Roman" w:eastAsia="宋体" w:cs="Times New Roman"/>
                <w:color w:val="000000"/>
                <w:kern w:val="0"/>
                <w:sz w:val="21"/>
                <w:szCs w:val="21"/>
                <w:lang w:val="en-US" w:eastAsia="zh-CN" w:bidi="ar"/>
              </w:rPr>
              <w:t>上料口</w:t>
            </w:r>
            <w:r>
              <w:rPr>
                <w:rFonts w:hint="default" w:ascii="Times New Roman" w:hAnsi="Times New Roman" w:eastAsia="宋体" w:cs="Times New Roman"/>
                <w:color w:val="000000"/>
                <w:kern w:val="0"/>
                <w:sz w:val="21"/>
                <w:szCs w:val="21"/>
                <w:lang w:val="en-US" w:eastAsia="zh-CN" w:bidi="ar"/>
              </w:rPr>
              <w:t>设置1个集气罩（收集效率为90%）并配备1台布袋除尘器（净化效率9</w:t>
            </w:r>
            <w:r>
              <w:rPr>
                <w:rFonts w:hint="eastAsia" w:ascii="Times New Roman" w:hAnsi="Times New Roman" w:eastAsia="宋体"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val="en-US" w:eastAsia="zh-CN" w:bidi="ar"/>
              </w:rPr>
              <w:t>%）处理后</w:t>
            </w:r>
            <w:r>
              <w:rPr>
                <w:rFonts w:hint="eastAsia" w:cs="Times New Roman"/>
                <w:color w:val="000000"/>
                <w:kern w:val="0"/>
                <w:sz w:val="21"/>
                <w:szCs w:val="21"/>
                <w:lang w:val="en-US" w:eastAsia="zh-CN" w:bidi="ar"/>
              </w:rPr>
              <w:t>并入排气筒DA001</w:t>
            </w:r>
            <w:r>
              <w:rPr>
                <w:rFonts w:hint="default" w:ascii="Times New Roman" w:hAnsi="Times New Roman" w:eastAsia="宋体" w:cs="Times New Roman"/>
                <w:color w:val="000000"/>
                <w:kern w:val="0"/>
                <w:sz w:val="21"/>
                <w:szCs w:val="21"/>
                <w:lang w:val="en-US" w:eastAsia="zh-CN" w:bidi="ar"/>
              </w:rPr>
              <w:t>排放。</w:t>
            </w:r>
          </w:p>
          <w:p w14:paraId="2F71950D">
            <w:pPr>
              <w:keepNext w:val="0"/>
              <w:keepLines w:val="0"/>
              <w:widowControl/>
              <w:suppressLineNumbers w:val="0"/>
              <w:spacing w:line="360" w:lineRule="auto"/>
              <w:ind w:firstLine="420" w:firstLineChars="200"/>
              <w:jc w:val="left"/>
              <w:rPr>
                <w:sz w:val="21"/>
                <w:szCs w:val="21"/>
              </w:rPr>
            </w:pPr>
            <w:r>
              <w:rPr>
                <w:rFonts w:hint="eastAsia"/>
                <w:lang w:val="en-US" w:eastAsia="zh-CN"/>
              </w:rPr>
              <w:t>破碎机</w:t>
            </w:r>
            <w:r>
              <w:rPr>
                <w:rFonts w:hint="eastAsia" w:ascii="Times New Roman" w:hAnsi="Times New Roman" w:eastAsia="宋体" w:cs="Times New Roman"/>
                <w:color w:val="000000"/>
                <w:kern w:val="0"/>
                <w:sz w:val="21"/>
                <w:szCs w:val="21"/>
                <w:lang w:val="en-US" w:eastAsia="zh-CN" w:bidi="ar"/>
              </w:rPr>
              <w:t>上料口</w:t>
            </w:r>
            <w:r>
              <w:rPr>
                <w:rFonts w:hint="eastAsia"/>
                <w:lang w:val="en-US" w:eastAsia="zh-CN"/>
              </w:rPr>
              <w:t>集气罩尺寸0.6m×0.6m，</w:t>
            </w:r>
            <w:r>
              <w:rPr>
                <w:rFonts w:hint="eastAsia" w:ascii="宋体" w:hAnsi="宋体" w:eastAsia="宋体" w:cs="宋体"/>
                <w:color w:val="000000"/>
                <w:kern w:val="0"/>
                <w:sz w:val="21"/>
                <w:szCs w:val="21"/>
                <w:lang w:val="en-US" w:eastAsia="zh-CN" w:bidi="ar"/>
              </w:rPr>
              <w:t>本次评价根据《简明通风设计手册》，集气罩风量计算公式为：</w:t>
            </w:r>
          </w:p>
          <w:p w14:paraId="75811250">
            <w:pPr>
              <w:keepNext w:val="0"/>
              <w:keepLines w:val="0"/>
              <w:widowControl/>
              <w:suppressLineNumbers w:val="0"/>
              <w:jc w:val="center"/>
              <w:rPr>
                <w:rFonts w:hint="eastAsia" w:eastAsia="宋体"/>
                <w:lang w:eastAsia="zh-CN"/>
              </w:rPr>
            </w:pPr>
            <w:r>
              <w:rPr>
                <w:rFonts w:hint="eastAsia" w:eastAsia="宋体"/>
                <w:lang w:eastAsia="zh-CN"/>
              </w:rPr>
              <w:drawing>
                <wp:inline distT="0" distB="0" distL="114300" distR="114300">
                  <wp:extent cx="1676400" cy="312420"/>
                  <wp:effectExtent l="0" t="0" r="0" b="7620"/>
                  <wp:docPr id="12" name="图片 12" descr="172672733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6727339818"/>
                          <pic:cNvPicPr>
                            <a:picLocks noChangeAspect="1"/>
                          </pic:cNvPicPr>
                        </pic:nvPicPr>
                        <pic:blipFill>
                          <a:blip r:embed="rId19"/>
                          <a:stretch>
                            <a:fillRect/>
                          </a:stretch>
                        </pic:blipFill>
                        <pic:spPr>
                          <a:xfrm>
                            <a:off x="0" y="0"/>
                            <a:ext cx="1676400" cy="312420"/>
                          </a:xfrm>
                          <a:prstGeom prst="rect">
                            <a:avLst/>
                          </a:prstGeom>
                        </pic:spPr>
                      </pic:pic>
                    </a:graphicData>
                  </a:graphic>
                </wp:inline>
              </w:drawing>
            </w:r>
          </w:p>
          <w:p w14:paraId="4DA5EA73">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式中： </w:t>
            </w:r>
          </w:p>
          <w:p w14:paraId="5F026008">
            <w:pPr>
              <w:keepNext w:val="0"/>
              <w:keepLines w:val="0"/>
              <w:widowControl/>
              <w:suppressLineNumbers w:val="0"/>
              <w:spacing w:line="360" w:lineRule="auto"/>
              <w:ind w:firstLine="840" w:firstLineChars="400"/>
              <w:jc w:val="left"/>
              <w:rPr>
                <w:sz w:val="21"/>
                <w:szCs w:val="21"/>
              </w:rPr>
            </w:pPr>
            <w:r>
              <w:rPr>
                <w:rFonts w:hint="default" w:ascii="Times New Roman" w:hAnsi="Times New Roman" w:eastAsia="宋体" w:cs="Times New Roman"/>
                <w:color w:val="000000"/>
                <w:kern w:val="0"/>
                <w:sz w:val="21"/>
                <w:szCs w:val="21"/>
                <w:lang w:val="en-US" w:eastAsia="zh-CN" w:bidi="ar"/>
              </w:rPr>
              <w:t>Q—</w:t>
            </w:r>
            <w:r>
              <w:rPr>
                <w:rFonts w:hint="eastAsia" w:ascii="宋体" w:hAnsi="宋体" w:eastAsia="宋体" w:cs="宋体"/>
                <w:color w:val="000000"/>
                <w:kern w:val="0"/>
                <w:sz w:val="21"/>
                <w:szCs w:val="21"/>
                <w:lang w:val="en-US" w:eastAsia="zh-CN" w:bidi="ar"/>
              </w:rPr>
              <w:t>设计风量，</w:t>
            </w: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 xml:space="preserve">/h </w:t>
            </w:r>
          </w:p>
          <w:p w14:paraId="05BA6CFE">
            <w:pPr>
              <w:keepNext w:val="0"/>
              <w:keepLines w:val="0"/>
              <w:widowControl/>
              <w:suppressLineNumbers w:val="0"/>
              <w:spacing w:line="360" w:lineRule="auto"/>
              <w:ind w:firstLine="840" w:firstLineChars="400"/>
              <w:jc w:val="left"/>
              <w:rPr>
                <w:sz w:val="21"/>
                <w:szCs w:val="21"/>
              </w:rPr>
            </w:pPr>
            <w:r>
              <w:rPr>
                <w:rFonts w:hint="default" w:ascii="Times New Roman" w:hAnsi="Times New Roman" w:eastAsia="宋体" w:cs="Times New Roman"/>
                <w:color w:val="000000"/>
                <w:kern w:val="0"/>
                <w:sz w:val="21"/>
                <w:szCs w:val="21"/>
                <w:lang w:val="en-US" w:eastAsia="zh-CN" w:bidi="ar"/>
              </w:rPr>
              <w:t>K—</w:t>
            </w:r>
            <w:r>
              <w:rPr>
                <w:rFonts w:hint="eastAsia" w:ascii="宋体" w:hAnsi="宋体" w:eastAsia="宋体" w:cs="宋体"/>
                <w:color w:val="000000"/>
                <w:kern w:val="0"/>
                <w:sz w:val="21"/>
                <w:szCs w:val="21"/>
                <w:lang w:val="en-US" w:eastAsia="zh-CN" w:bidi="ar"/>
              </w:rPr>
              <w:t>考虑沿高度分布不均匀的安全系数，取</w:t>
            </w:r>
            <w:r>
              <w:rPr>
                <w:rFonts w:hint="default" w:ascii="Times New Roman" w:hAnsi="Times New Roman" w:eastAsia="宋体" w:cs="Times New Roman"/>
                <w:color w:val="000000"/>
                <w:kern w:val="0"/>
                <w:sz w:val="21"/>
                <w:szCs w:val="21"/>
                <w:lang w:val="en-US" w:eastAsia="zh-CN" w:bidi="ar"/>
              </w:rPr>
              <w:t>1.4</w:t>
            </w:r>
            <w:r>
              <w:rPr>
                <w:rFonts w:hint="eastAsia" w:ascii="宋体" w:hAnsi="宋体" w:eastAsia="宋体" w:cs="宋体"/>
                <w:color w:val="000000"/>
                <w:kern w:val="0"/>
                <w:sz w:val="21"/>
                <w:szCs w:val="21"/>
                <w:lang w:val="en-US" w:eastAsia="zh-CN" w:bidi="ar"/>
              </w:rPr>
              <w:t>；</w:t>
            </w:r>
          </w:p>
          <w:p w14:paraId="095F1159">
            <w:pPr>
              <w:keepNext w:val="0"/>
              <w:keepLines w:val="0"/>
              <w:widowControl/>
              <w:suppressLineNumbers w:val="0"/>
              <w:tabs>
                <w:tab w:val="left" w:pos="1098"/>
              </w:tabs>
              <w:spacing w:line="360" w:lineRule="auto"/>
              <w:ind w:firstLine="840" w:firstLineChars="400"/>
              <w:jc w:val="left"/>
              <w:rPr>
                <w:sz w:val="21"/>
                <w:szCs w:val="21"/>
              </w:rPr>
            </w:pPr>
            <w:r>
              <w:rPr>
                <w:rFonts w:hint="default" w:ascii="Times New Roman" w:hAnsi="Times New Roman" w:eastAsia="宋体" w:cs="Times New Roman"/>
                <w:color w:val="000000"/>
                <w:kern w:val="0"/>
                <w:sz w:val="21"/>
                <w:szCs w:val="21"/>
                <w:lang w:val="en-US" w:eastAsia="zh-CN" w:bidi="ar"/>
              </w:rPr>
              <w:t>P—</w:t>
            </w:r>
            <w:r>
              <w:rPr>
                <w:rFonts w:hint="eastAsia" w:ascii="宋体" w:hAnsi="宋体" w:eastAsia="宋体" w:cs="宋体"/>
                <w:color w:val="000000"/>
                <w:kern w:val="0"/>
                <w:sz w:val="21"/>
                <w:szCs w:val="21"/>
                <w:lang w:val="en-US" w:eastAsia="zh-CN" w:bidi="ar"/>
              </w:rPr>
              <w:t>排风罩敞开面周长，</w:t>
            </w:r>
            <w:r>
              <w:rPr>
                <w:rFonts w:hint="default" w:ascii="Times New Roman" w:hAnsi="Times New Roman" w:eastAsia="宋体" w:cs="Times New Roman"/>
                <w:color w:val="000000"/>
                <w:kern w:val="0"/>
                <w:sz w:val="21"/>
                <w:szCs w:val="21"/>
                <w:lang w:val="en-US" w:eastAsia="zh-CN" w:bidi="ar"/>
              </w:rPr>
              <w:t>m</w:t>
            </w:r>
          </w:p>
          <w:p w14:paraId="02DC9D69">
            <w:pPr>
              <w:keepNext w:val="0"/>
              <w:keepLines w:val="0"/>
              <w:widowControl/>
              <w:suppressLineNumbers w:val="0"/>
              <w:spacing w:line="360" w:lineRule="auto"/>
              <w:ind w:firstLine="840" w:firstLineChars="400"/>
              <w:jc w:val="left"/>
              <w:rPr>
                <w:sz w:val="21"/>
                <w:szCs w:val="21"/>
              </w:rPr>
            </w:pPr>
            <w:r>
              <w:rPr>
                <w:rFonts w:hint="default" w:ascii="Times New Roman" w:hAnsi="Times New Roman" w:eastAsia="宋体" w:cs="Times New Roman"/>
                <w:color w:val="000000"/>
                <w:kern w:val="0"/>
                <w:sz w:val="21"/>
                <w:szCs w:val="21"/>
                <w:lang w:val="en-US" w:eastAsia="zh-CN" w:bidi="ar"/>
              </w:rPr>
              <w:t>H—</w:t>
            </w:r>
            <w:r>
              <w:rPr>
                <w:rFonts w:hint="eastAsia" w:ascii="宋体" w:hAnsi="宋体" w:eastAsia="宋体" w:cs="宋体"/>
                <w:color w:val="000000"/>
                <w:kern w:val="0"/>
                <w:sz w:val="21"/>
                <w:szCs w:val="21"/>
                <w:lang w:val="en-US" w:eastAsia="zh-CN" w:bidi="ar"/>
              </w:rPr>
              <w:t>罩口至废气源距离，</w:t>
            </w:r>
            <w:r>
              <w:rPr>
                <w:rFonts w:hint="default" w:ascii="Times New Roman" w:hAnsi="Times New Roman" w:eastAsia="宋体" w:cs="Times New Roman"/>
                <w:color w:val="000000"/>
                <w:kern w:val="0"/>
                <w:sz w:val="21"/>
                <w:szCs w:val="21"/>
                <w:lang w:val="en-US" w:eastAsia="zh-CN" w:bidi="ar"/>
              </w:rPr>
              <w:t>m</w:t>
            </w:r>
            <w:r>
              <w:rPr>
                <w:rFonts w:hint="eastAsia" w:ascii="宋体" w:hAnsi="宋体" w:eastAsia="宋体" w:cs="宋体"/>
                <w:color w:val="000000"/>
                <w:kern w:val="0"/>
                <w:sz w:val="21"/>
                <w:szCs w:val="21"/>
                <w:lang w:val="en-US" w:eastAsia="zh-CN" w:bidi="ar"/>
              </w:rPr>
              <w:t>，取</w:t>
            </w:r>
            <w:r>
              <w:rPr>
                <w:rFonts w:hint="default" w:ascii="Times New Roman" w:hAnsi="Times New Roman" w:eastAsia="宋体" w:cs="Times New Roman"/>
                <w:color w:val="000000"/>
                <w:kern w:val="0"/>
                <w:sz w:val="21"/>
                <w:szCs w:val="21"/>
                <w:lang w:val="en-US" w:eastAsia="zh-CN" w:bidi="ar"/>
              </w:rPr>
              <w:t>0.2m</w:t>
            </w:r>
            <w:r>
              <w:rPr>
                <w:rFonts w:hint="eastAsia" w:ascii="宋体" w:hAnsi="宋体" w:eastAsia="宋体" w:cs="宋体"/>
                <w:color w:val="000000"/>
                <w:kern w:val="0"/>
                <w:sz w:val="21"/>
                <w:szCs w:val="21"/>
                <w:lang w:val="en-US" w:eastAsia="zh-CN" w:bidi="ar"/>
              </w:rPr>
              <w:t xml:space="preserve">； </w:t>
            </w:r>
          </w:p>
          <w:p w14:paraId="72FA126C">
            <w:pPr>
              <w:keepNext w:val="0"/>
              <w:keepLines w:val="0"/>
              <w:widowControl/>
              <w:suppressLineNumbers w:val="0"/>
              <w:spacing w:line="360" w:lineRule="auto"/>
              <w:ind w:firstLine="840" w:firstLineChars="400"/>
              <w:jc w:val="left"/>
              <w:rPr>
                <w:sz w:val="21"/>
                <w:szCs w:val="21"/>
              </w:rPr>
            </w:pPr>
            <w:r>
              <w:rPr>
                <w:rFonts w:hint="default" w:ascii="Times New Roman" w:hAnsi="Times New Roman" w:eastAsia="宋体" w:cs="Times New Roman"/>
                <w:color w:val="000000"/>
                <w:kern w:val="0"/>
                <w:sz w:val="21"/>
                <w:szCs w:val="21"/>
                <w:lang w:val="en-US" w:eastAsia="zh-CN" w:bidi="ar"/>
              </w:rPr>
              <w:t>V</w:t>
            </w:r>
            <w:r>
              <w:rPr>
                <w:rFonts w:hint="default" w:ascii="Times New Roman" w:hAnsi="Times New Roman" w:eastAsia="宋体" w:cs="Times New Roman"/>
                <w:color w:val="000000"/>
                <w:kern w:val="0"/>
                <w:sz w:val="21"/>
                <w:szCs w:val="21"/>
                <w:vertAlign w:val="subscript"/>
                <w:lang w:val="en-US" w:eastAsia="zh-CN" w:bidi="ar"/>
              </w:rPr>
              <w:t>0</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边缘控制点控制风速，</w:t>
            </w:r>
            <w:r>
              <w:rPr>
                <w:rFonts w:hint="default" w:ascii="Times New Roman" w:hAnsi="Times New Roman" w:eastAsia="宋体" w:cs="Times New Roman"/>
                <w:color w:val="000000"/>
                <w:kern w:val="0"/>
                <w:sz w:val="21"/>
                <w:szCs w:val="21"/>
                <w:lang w:val="en-US" w:eastAsia="zh-CN" w:bidi="ar"/>
              </w:rPr>
              <w:t>m/s</w:t>
            </w:r>
            <w:r>
              <w:rPr>
                <w:rFonts w:hint="eastAsia" w:ascii="宋体" w:hAnsi="宋体" w:eastAsia="宋体" w:cs="宋体"/>
                <w:color w:val="000000"/>
                <w:kern w:val="0"/>
                <w:sz w:val="21"/>
                <w:szCs w:val="21"/>
                <w:lang w:val="en-US" w:eastAsia="zh-CN" w:bidi="ar"/>
              </w:rPr>
              <w:t>，取</w:t>
            </w:r>
            <w:r>
              <w:rPr>
                <w:rFonts w:hint="default" w:ascii="Times New Roman" w:hAnsi="Times New Roman" w:eastAsia="宋体" w:cs="Times New Roman"/>
                <w:color w:val="000000"/>
                <w:kern w:val="0"/>
                <w:sz w:val="21"/>
                <w:szCs w:val="21"/>
                <w:lang w:val="en-US" w:eastAsia="zh-CN" w:bidi="ar"/>
              </w:rPr>
              <w:t>0.5m/s</w:t>
            </w:r>
            <w:r>
              <w:rPr>
                <w:rFonts w:hint="eastAsia" w:ascii="宋体" w:hAnsi="宋体" w:eastAsia="宋体" w:cs="宋体"/>
                <w:color w:val="000000"/>
                <w:kern w:val="0"/>
                <w:sz w:val="21"/>
                <w:szCs w:val="21"/>
                <w:lang w:val="en-US" w:eastAsia="zh-CN" w:bidi="ar"/>
              </w:rPr>
              <w:t>。</w:t>
            </w:r>
          </w:p>
          <w:p w14:paraId="6E2BB14E">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根据《环境工程设计技术手册》（</w:t>
            </w:r>
            <w:r>
              <w:rPr>
                <w:rFonts w:hint="default" w:ascii="Times New Roman" w:hAnsi="Times New Roman" w:eastAsia="宋体" w:cs="Times New Roman"/>
                <w:color w:val="000000"/>
                <w:kern w:val="0"/>
                <w:sz w:val="21"/>
                <w:szCs w:val="21"/>
                <w:lang w:val="en-US" w:eastAsia="zh-CN" w:bidi="ar"/>
              </w:rPr>
              <w:t>2002</w:t>
            </w:r>
            <w:r>
              <w:rPr>
                <w:rFonts w:hint="eastAsia" w:ascii="宋体" w:hAnsi="宋体" w:eastAsia="宋体" w:cs="宋体"/>
                <w:color w:val="000000"/>
                <w:kern w:val="0"/>
                <w:sz w:val="21"/>
                <w:szCs w:val="21"/>
                <w:lang w:val="en-US" w:eastAsia="zh-CN" w:bidi="ar"/>
              </w:rPr>
              <w:t>年版），在废气扩散速度较低、稳定的状态下，集气罩罩面风速宜</w:t>
            </w:r>
            <w:r>
              <w:rPr>
                <w:rFonts w:hint="default" w:ascii="Times New Roman" w:hAnsi="Times New Roman" w:eastAsia="宋体" w:cs="Times New Roman"/>
                <w:color w:val="000000"/>
                <w:kern w:val="0"/>
                <w:sz w:val="21"/>
                <w:szCs w:val="21"/>
                <w:lang w:val="en-US" w:eastAsia="zh-CN" w:bidi="ar"/>
              </w:rPr>
              <w:t>≥0.5m/s</w:t>
            </w:r>
            <w:r>
              <w:rPr>
                <w:rFonts w:hint="eastAsia" w:ascii="宋体" w:hAnsi="宋体" w:eastAsia="宋体" w:cs="宋体"/>
                <w:color w:val="000000"/>
                <w:kern w:val="0"/>
                <w:sz w:val="21"/>
                <w:szCs w:val="21"/>
                <w:lang w:val="en-US" w:eastAsia="zh-CN" w:bidi="ar"/>
              </w:rPr>
              <w:t>，本次取值</w:t>
            </w:r>
            <w:r>
              <w:rPr>
                <w:rFonts w:hint="default" w:ascii="Times New Roman" w:hAnsi="Times New Roman" w:eastAsia="宋体" w:cs="Times New Roman"/>
                <w:color w:val="000000"/>
                <w:kern w:val="0"/>
                <w:sz w:val="21"/>
                <w:szCs w:val="21"/>
                <w:lang w:val="en-US" w:eastAsia="zh-CN" w:bidi="ar"/>
              </w:rPr>
              <w:t>0.5m/s</w:t>
            </w:r>
            <w:r>
              <w:rPr>
                <w:rFonts w:hint="eastAsia" w:ascii="宋体" w:hAnsi="宋体" w:eastAsia="宋体" w:cs="宋体"/>
                <w:color w:val="000000"/>
                <w:kern w:val="0"/>
                <w:sz w:val="21"/>
                <w:szCs w:val="21"/>
                <w:lang w:val="en-US" w:eastAsia="zh-CN" w:bidi="ar"/>
              </w:rPr>
              <w:t>。</w:t>
            </w:r>
            <w:r>
              <w:rPr>
                <w:rFonts w:hint="eastAsia" w:ascii="Times New Roman" w:hAnsi="Times New Roman" w:cs="Times New Roman"/>
                <w:color w:val="auto"/>
                <w:szCs w:val="24"/>
                <w:highlight w:val="none"/>
                <w:lang w:val="en-US" w:eastAsia="zh-CN"/>
              </w:rPr>
              <w:t>根据以上计算，本项目粉尘收集系统风量</w:t>
            </w:r>
            <w:r>
              <w:rPr>
                <w:rFonts w:hint="eastAsia" w:cs="Times New Roman"/>
                <w:color w:val="auto"/>
                <w:szCs w:val="24"/>
                <w:highlight w:val="none"/>
                <w:lang w:val="en-US" w:eastAsia="zh-CN"/>
              </w:rPr>
              <w:t>为1209.6</w:t>
            </w:r>
            <w:r>
              <w:rPr>
                <w:rFonts w:hint="eastAsia" w:ascii="Times New Roman" w:hAnsi="Times New Roman" w:cs="Times New Roman"/>
                <w:color w:val="auto"/>
                <w:szCs w:val="24"/>
                <w:highlight w:val="none"/>
                <w:lang w:val="en-US" w:eastAsia="zh-CN"/>
              </w:rPr>
              <w:t>m³/h</w:t>
            </w:r>
            <w:r>
              <w:rPr>
                <w:rFonts w:hint="eastAsia" w:cs="Times New Roman"/>
                <w:color w:val="auto"/>
                <w:szCs w:val="24"/>
                <w:highlight w:val="none"/>
                <w:lang w:val="en-US" w:eastAsia="zh-CN"/>
              </w:rPr>
              <w:t>，</w:t>
            </w:r>
            <w:r>
              <w:rPr>
                <w:rFonts w:hint="eastAsia" w:ascii="Times New Roman" w:hAnsi="Times New Roman" w:cs="Times New Roman"/>
                <w:color w:val="auto"/>
                <w:szCs w:val="24"/>
                <w:highlight w:val="none"/>
                <w:lang w:val="en-US" w:eastAsia="zh-CN"/>
              </w:rPr>
              <w:t>取整为</w:t>
            </w:r>
            <w:r>
              <w:rPr>
                <w:rFonts w:hint="eastAsia" w:cs="Times New Roman"/>
                <w:color w:val="auto"/>
                <w:szCs w:val="24"/>
                <w:highlight w:val="none"/>
                <w:lang w:val="en-US" w:eastAsia="zh-CN"/>
              </w:rPr>
              <w:t>13</w:t>
            </w:r>
            <w:r>
              <w:rPr>
                <w:rFonts w:hint="eastAsia" w:ascii="Times New Roman" w:hAnsi="Times New Roman" w:cs="Times New Roman"/>
                <w:color w:val="auto"/>
                <w:szCs w:val="24"/>
                <w:highlight w:val="none"/>
                <w:lang w:val="en-US" w:eastAsia="zh-CN"/>
              </w:rPr>
              <w:t>00m³/h。</w:t>
            </w:r>
          </w:p>
          <w:p w14:paraId="4FCDE67C">
            <w:pPr>
              <w:keepNext w:val="0"/>
              <w:keepLines w:val="0"/>
              <w:widowControl/>
              <w:suppressLineNumbers w:val="0"/>
              <w:spacing w:line="360" w:lineRule="auto"/>
              <w:ind w:firstLine="420" w:firstLineChars="200"/>
              <w:jc w:val="left"/>
              <w:rPr>
                <w:rFonts w:hint="eastAsia"/>
                <w:sz w:val="21"/>
                <w:szCs w:val="21"/>
                <w:lang w:val="en-US" w:eastAsia="zh-CN"/>
              </w:rPr>
            </w:pPr>
            <w:r>
              <w:rPr>
                <w:rFonts w:hint="eastAsia"/>
                <w:sz w:val="21"/>
                <w:szCs w:val="21"/>
                <w:lang w:val="en-US" w:eastAsia="zh-CN"/>
              </w:rPr>
              <w:t>破碎粉尘有组织排放量为0.0096kg/a，排放速率0.0008</w:t>
            </w:r>
            <w:r>
              <w:rPr>
                <w:rFonts w:hint="default" w:ascii="Times New Roman" w:hAnsi="Times New Roman" w:eastAsia="宋体" w:cs="Times New Roman"/>
                <w:color w:val="000000"/>
                <w:kern w:val="0"/>
                <w:sz w:val="21"/>
                <w:szCs w:val="21"/>
                <w:lang w:val="en-US" w:eastAsia="zh-CN" w:bidi="ar"/>
              </w:rPr>
              <w:t>kg/h</w:t>
            </w:r>
            <w:r>
              <w:rPr>
                <w:rFonts w:hint="eastAsia"/>
                <w:sz w:val="21"/>
                <w:szCs w:val="21"/>
                <w:lang w:val="en-US" w:eastAsia="zh-CN"/>
              </w:rPr>
              <w:t>。</w:t>
            </w:r>
          </w:p>
          <w:p w14:paraId="6C706260">
            <w:pPr>
              <w:numPr>
                <w:ilvl w:val="0"/>
                <w:numId w:val="0"/>
              </w:numPr>
              <w:bidi w:val="0"/>
              <w:spacing w:line="360" w:lineRule="auto"/>
              <w:ind w:leftChars="200"/>
              <w:rPr>
                <w:rFonts w:hint="eastAsia"/>
                <w:b/>
                <w:bCs/>
                <w:lang w:val="en-US" w:eastAsia="zh-CN"/>
              </w:rPr>
            </w:pPr>
            <w:r>
              <w:rPr>
                <w:rFonts w:hint="eastAsia"/>
                <w:b/>
                <w:bCs/>
                <w:lang w:val="en-US" w:eastAsia="zh-CN"/>
              </w:rPr>
              <w:t>（5）抛光、打磨粉尘</w:t>
            </w:r>
          </w:p>
          <w:p w14:paraId="59AB7078">
            <w:pPr>
              <w:bidi w:val="0"/>
              <w:spacing w:line="360" w:lineRule="auto"/>
              <w:ind w:firstLine="422" w:firstLineChars="200"/>
              <w:rPr>
                <w:rFonts w:hint="default"/>
                <w:b/>
                <w:bCs/>
                <w:sz w:val="21"/>
                <w:szCs w:val="21"/>
                <w:lang w:val="en-US" w:eastAsia="zh-CN"/>
              </w:rPr>
            </w:pPr>
            <w:r>
              <w:rPr>
                <w:rFonts w:hint="eastAsia"/>
                <w:b/>
                <w:bCs/>
                <w:sz w:val="21"/>
                <w:szCs w:val="21"/>
                <w:lang w:val="en-US" w:eastAsia="zh-CN"/>
              </w:rPr>
              <w:t>①抛光打磨粉尘产生情况</w:t>
            </w:r>
          </w:p>
          <w:p w14:paraId="41DDE7DC">
            <w:pPr>
              <w:bidi w:val="0"/>
              <w:spacing w:line="360" w:lineRule="auto"/>
              <w:ind w:firstLine="420" w:firstLineChars="200"/>
              <w:rPr>
                <w:sz w:val="21"/>
                <w:szCs w:val="21"/>
              </w:rPr>
            </w:pPr>
            <w:r>
              <w:rPr>
                <w:sz w:val="21"/>
                <w:szCs w:val="21"/>
              </w:rPr>
              <w:t>项目在喷漆完成后，会对喷漆区域进行检查，</w:t>
            </w:r>
            <w:r>
              <w:rPr>
                <w:rFonts w:hint="eastAsia" w:ascii="宋体" w:hAnsi="宋体" w:cs="宋体"/>
                <w:color w:val="auto"/>
                <w:kern w:val="0"/>
                <w:lang w:bidi="ar"/>
              </w:rPr>
              <w:t>项目抛光</w:t>
            </w:r>
            <w:r>
              <w:rPr>
                <w:rFonts w:hint="eastAsia" w:ascii="宋体" w:hAnsi="宋体" w:cs="宋体"/>
                <w:color w:val="auto"/>
                <w:kern w:val="0"/>
                <w:lang w:val="en-US" w:eastAsia="zh-CN" w:bidi="ar"/>
              </w:rPr>
              <w:t>前，根据实际情况对部分不合格产品进行打磨，打磨使用砂纸人工手动打磨，打磨过程中会产生粉尘量较少，</w:t>
            </w:r>
            <w:r>
              <w:rPr>
                <w:rFonts w:ascii="宋体" w:hAnsi="宋体" w:cs="宋体"/>
                <w:color w:val="auto"/>
              </w:rPr>
              <w:t>因此产生的</w:t>
            </w:r>
            <w:r>
              <w:rPr>
                <w:rFonts w:hint="eastAsia" w:ascii="宋体" w:hAnsi="宋体" w:cs="宋体"/>
                <w:color w:val="auto"/>
                <w:lang w:val="en-US" w:eastAsia="zh-CN"/>
              </w:rPr>
              <w:t>打磨粉尘</w:t>
            </w:r>
            <w:r>
              <w:rPr>
                <w:rFonts w:ascii="宋体" w:hAnsi="宋体" w:cs="宋体"/>
                <w:color w:val="auto"/>
              </w:rPr>
              <w:t>量可忽略不计。</w:t>
            </w:r>
            <w:r>
              <w:rPr>
                <w:color w:val="auto"/>
                <w:sz w:val="21"/>
                <w:szCs w:val="21"/>
              </w:rPr>
              <w:t>漆面不平整的只</w:t>
            </w:r>
            <w:r>
              <w:rPr>
                <w:sz w:val="21"/>
                <w:szCs w:val="21"/>
              </w:rPr>
              <w:t>需利用</w:t>
            </w:r>
            <w:r>
              <w:rPr>
                <w:rFonts w:hint="eastAsia"/>
                <w:sz w:val="21"/>
                <w:szCs w:val="21"/>
                <w:lang w:val="en-US" w:eastAsia="zh-CN"/>
              </w:rPr>
              <w:t>手持</w:t>
            </w:r>
            <w:r>
              <w:rPr>
                <w:sz w:val="21"/>
                <w:szCs w:val="21"/>
              </w:rPr>
              <w:t>抛光枪打磨抛光</w:t>
            </w:r>
            <w:r>
              <w:rPr>
                <w:rFonts w:hint="eastAsia"/>
                <w:sz w:val="21"/>
                <w:szCs w:val="21"/>
                <w:lang w:eastAsia="zh-CN"/>
              </w:rPr>
              <w:t>，</w:t>
            </w:r>
            <w:r>
              <w:rPr>
                <w:sz w:val="21"/>
                <w:szCs w:val="21"/>
              </w:rPr>
              <w:t>抛光时利用海绵高速运转发生热量分散在漆膜表面</w:t>
            </w:r>
            <w:r>
              <w:rPr>
                <w:rFonts w:hint="eastAsia"/>
                <w:sz w:val="21"/>
                <w:szCs w:val="21"/>
                <w:lang w:eastAsia="zh-CN"/>
              </w:rPr>
              <w:t>，</w:t>
            </w:r>
            <w:r>
              <w:rPr>
                <w:sz w:val="21"/>
                <w:szCs w:val="21"/>
              </w:rPr>
              <w:t>以达到修饰漆膜轻微缺陷的作用。其在打磨过程中几乎不产生粉尘。抛光工位用房间密闭，所以抛光粉尘几乎可以忽略不计。</w:t>
            </w:r>
          </w:p>
          <w:p w14:paraId="5DBA50BD">
            <w:pPr>
              <w:bidi w:val="0"/>
              <w:spacing w:line="360" w:lineRule="auto"/>
              <w:ind w:firstLine="422" w:firstLineChars="200"/>
              <w:rPr>
                <w:rFonts w:hint="eastAsia"/>
                <w:b/>
                <w:bCs/>
                <w:sz w:val="21"/>
                <w:szCs w:val="21"/>
                <w:lang w:val="en-US" w:eastAsia="zh-CN"/>
              </w:rPr>
            </w:pPr>
            <w:r>
              <w:rPr>
                <w:rFonts w:hint="eastAsia"/>
                <w:b/>
                <w:bCs/>
                <w:lang w:val="en-US" w:eastAsia="zh-CN"/>
              </w:rPr>
              <w:t>②</w:t>
            </w:r>
            <w:r>
              <w:rPr>
                <w:rFonts w:hint="eastAsia"/>
                <w:b/>
                <w:bCs/>
                <w:sz w:val="21"/>
                <w:szCs w:val="21"/>
                <w:lang w:val="en-US" w:eastAsia="zh-CN"/>
              </w:rPr>
              <w:t>抛光打磨粉尘治理措施</w:t>
            </w:r>
          </w:p>
          <w:p w14:paraId="5FADFEAE">
            <w:pPr>
              <w:keepNext w:val="0"/>
              <w:keepLines w:val="0"/>
              <w:widowControl/>
              <w:suppressLineNumbers w:val="0"/>
              <w:spacing w:line="360" w:lineRule="auto"/>
              <w:ind w:firstLine="420" w:firstLineChars="2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打磨、抛光工序位于单独的封闭塑胶抛光间内。打磨抛光工作台上方送风，工作台下方抽风，工作带上设置多孔，在微负压作用下，打磨/抛光粉尘通过孔隙进入下方的集气管道，通过洁净厂房高效过滤器过滤收集。</w:t>
            </w:r>
          </w:p>
          <w:p w14:paraId="4B6E632B">
            <w:pPr>
              <w:keepNext w:val="0"/>
              <w:keepLines w:val="0"/>
              <w:widowControl/>
              <w:numPr>
                <w:ilvl w:val="0"/>
                <w:numId w:val="12"/>
              </w:numPr>
              <w:suppressLineNumbers w:val="0"/>
              <w:spacing w:line="360" w:lineRule="auto"/>
              <w:ind w:firstLine="422" w:firstLineChars="200"/>
              <w:jc w:val="left"/>
              <w:rPr>
                <w:rFonts w:hint="default" w:ascii="Times New Roman" w:hAnsi="Times New Roman" w:cs="Times New Roman"/>
                <w:b/>
                <w:bCs/>
                <w:sz w:val="21"/>
                <w:szCs w:val="21"/>
              </w:rPr>
            </w:pPr>
            <w:r>
              <w:rPr>
                <w:rFonts w:hint="default" w:ascii="Times New Roman" w:hAnsi="Times New Roman" w:cs="Times New Roman"/>
                <w:b/>
                <w:bCs/>
                <w:sz w:val="21"/>
                <w:szCs w:val="21"/>
              </w:rPr>
              <w:t>污染防治措施可行性分析</w:t>
            </w:r>
          </w:p>
          <w:p w14:paraId="3C6083FE">
            <w:pPr>
              <w:bidi w:val="0"/>
              <w:spacing w:line="360" w:lineRule="auto"/>
              <w:ind w:firstLine="420" w:firstLineChars="200"/>
              <w:rPr>
                <w:rFonts w:hint="default" w:ascii="Times New Roman" w:hAnsi="Times New Roman" w:cs="Times New Roman"/>
                <w:bCs/>
                <w:sz w:val="21"/>
                <w:szCs w:val="21"/>
              </w:rPr>
            </w:pPr>
            <w:r>
              <w:rPr>
                <w:rFonts w:hint="eastAsia"/>
                <w:lang w:val="en-US" w:eastAsia="zh-CN"/>
              </w:rPr>
              <w:t>参照《</w:t>
            </w:r>
            <w:r>
              <w:t>排污许可证申请与核发技术规范 汽车制造业</w:t>
            </w:r>
            <w:r>
              <w:rPr>
                <w:rFonts w:hint="eastAsia"/>
                <w:lang w:val="en-US" w:eastAsia="zh-CN"/>
              </w:rPr>
              <w:t>》（HJ971-2018）</w:t>
            </w:r>
            <w:r>
              <w:rPr>
                <w:rFonts w:hint="eastAsia"/>
                <w:sz w:val="21"/>
                <w:szCs w:val="21"/>
                <w:lang w:val="en-US" w:eastAsia="zh-CN"/>
              </w:rPr>
              <w:t>汽车制造业</w:t>
            </w:r>
            <w:r>
              <w:rPr>
                <w:rFonts w:hint="default" w:ascii="Times New Roman" w:hAnsi="Times New Roman" w:cs="Times New Roman"/>
                <w:bCs/>
                <w:sz w:val="21"/>
                <w:szCs w:val="21"/>
              </w:rPr>
              <w:t>排污单位废气污染防治可行技术参考表如下：</w:t>
            </w:r>
          </w:p>
          <w:p w14:paraId="3BC95068">
            <w:pPr>
              <w:jc w:val="center"/>
              <w:rPr>
                <w:b/>
                <w:szCs w:val="21"/>
              </w:rPr>
            </w:pPr>
            <w:r>
              <w:rPr>
                <w:b/>
                <w:szCs w:val="21"/>
              </w:rPr>
              <w:t>表4</w:t>
            </w:r>
            <w:r>
              <w:rPr>
                <w:rFonts w:hint="eastAsia"/>
                <w:b/>
                <w:szCs w:val="21"/>
                <w:lang w:val="en-US" w:eastAsia="zh-CN"/>
              </w:rPr>
              <w:t>-7汽车制造业</w:t>
            </w:r>
            <w:r>
              <w:rPr>
                <w:b/>
                <w:szCs w:val="21"/>
              </w:rPr>
              <w:t>排污单位废气污染防治可行技术参考表</w:t>
            </w:r>
          </w:p>
          <w:tbl>
            <w:tblPr>
              <w:tblStyle w:val="27"/>
              <w:tblW w:w="488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53"/>
              <w:gridCol w:w="2199"/>
              <w:gridCol w:w="4546"/>
            </w:tblGrid>
            <w:tr w14:paraId="553F9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253" w:type="dxa"/>
                  <w:noWrap w:val="0"/>
                  <w:vAlign w:val="center"/>
                </w:tcPr>
                <w:p w14:paraId="03EB3D4B">
                  <w:pPr>
                    <w:adjustRightInd w:val="0"/>
                    <w:jc w:val="center"/>
                    <w:textAlignment w:val="baseline"/>
                    <w:rPr>
                      <w:rFonts w:hint="eastAsia" w:eastAsia="宋体"/>
                      <w:b/>
                      <w:kern w:val="0"/>
                      <w:szCs w:val="21"/>
                      <w:lang w:eastAsia="zh-CN"/>
                    </w:rPr>
                  </w:pPr>
                  <w:r>
                    <w:rPr>
                      <w:rFonts w:hint="eastAsia"/>
                      <w:b/>
                      <w:kern w:val="0"/>
                      <w:szCs w:val="21"/>
                      <w:lang w:val="en-US" w:eastAsia="zh-CN"/>
                    </w:rPr>
                    <w:t>废气来源</w:t>
                  </w:r>
                </w:p>
              </w:tc>
              <w:tc>
                <w:tcPr>
                  <w:tcW w:w="2200" w:type="dxa"/>
                  <w:noWrap w:val="0"/>
                  <w:vAlign w:val="center"/>
                </w:tcPr>
                <w:p w14:paraId="30618AFD">
                  <w:pPr>
                    <w:adjustRightInd w:val="0"/>
                    <w:jc w:val="center"/>
                    <w:textAlignment w:val="baseline"/>
                    <w:rPr>
                      <w:b/>
                      <w:kern w:val="0"/>
                      <w:szCs w:val="21"/>
                    </w:rPr>
                  </w:pPr>
                  <w:r>
                    <w:rPr>
                      <w:b/>
                      <w:kern w:val="0"/>
                      <w:szCs w:val="21"/>
                    </w:rPr>
                    <w:t>污染物</w:t>
                  </w:r>
                </w:p>
              </w:tc>
              <w:tc>
                <w:tcPr>
                  <w:tcW w:w="4547" w:type="dxa"/>
                  <w:noWrap w:val="0"/>
                  <w:vAlign w:val="center"/>
                </w:tcPr>
                <w:p w14:paraId="0F050D61">
                  <w:pPr>
                    <w:autoSpaceDE w:val="0"/>
                    <w:autoSpaceDN w:val="0"/>
                    <w:adjustRightInd w:val="0"/>
                    <w:jc w:val="center"/>
                    <w:textAlignment w:val="baseline"/>
                    <w:rPr>
                      <w:b/>
                      <w:kern w:val="0"/>
                      <w:szCs w:val="21"/>
                    </w:rPr>
                  </w:pPr>
                  <w:r>
                    <w:rPr>
                      <w:b/>
                      <w:kern w:val="0"/>
                      <w:szCs w:val="21"/>
                    </w:rPr>
                    <w:t>可行技术</w:t>
                  </w:r>
                </w:p>
              </w:tc>
            </w:tr>
            <w:tr w14:paraId="42CE5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2" w:hRule="atLeast"/>
                <w:jc w:val="center"/>
              </w:trPr>
              <w:tc>
                <w:tcPr>
                  <w:tcW w:w="1253" w:type="dxa"/>
                  <w:noWrap w:val="0"/>
                  <w:vAlign w:val="center"/>
                </w:tcPr>
                <w:p w14:paraId="7E0737DE">
                  <w:pPr>
                    <w:adjustRightInd w:val="0"/>
                    <w:jc w:val="center"/>
                    <w:textAlignment w:val="baseline"/>
                    <w:rPr>
                      <w:rFonts w:hint="default" w:eastAsia="宋体"/>
                      <w:kern w:val="0"/>
                      <w:szCs w:val="21"/>
                      <w:lang w:val="en-US" w:eastAsia="zh-CN"/>
                    </w:rPr>
                  </w:pPr>
                  <w:r>
                    <w:rPr>
                      <w:rFonts w:hint="eastAsia"/>
                      <w:kern w:val="0"/>
                      <w:szCs w:val="21"/>
                      <w:lang w:val="en-US" w:eastAsia="zh-CN"/>
                    </w:rPr>
                    <w:t>注塑废气</w:t>
                  </w:r>
                </w:p>
              </w:tc>
              <w:tc>
                <w:tcPr>
                  <w:tcW w:w="2200" w:type="dxa"/>
                  <w:noWrap w:val="0"/>
                  <w:vAlign w:val="center"/>
                </w:tcPr>
                <w:p w14:paraId="32637CAA">
                  <w:pPr>
                    <w:adjustRightInd w:val="0"/>
                    <w:jc w:val="center"/>
                    <w:textAlignment w:val="baseline"/>
                    <w:rPr>
                      <w:rFonts w:hint="eastAsia"/>
                      <w:kern w:val="0"/>
                      <w:szCs w:val="21"/>
                    </w:rPr>
                  </w:pPr>
                  <w:r>
                    <w:rPr>
                      <w:rFonts w:hint="eastAsia"/>
                      <w:kern w:val="0"/>
                      <w:szCs w:val="21"/>
                    </w:rPr>
                    <w:t>挥发性有机物</w:t>
                  </w:r>
                </w:p>
              </w:tc>
              <w:tc>
                <w:tcPr>
                  <w:tcW w:w="4547" w:type="dxa"/>
                  <w:noWrap w:val="0"/>
                  <w:vAlign w:val="center"/>
                </w:tcPr>
                <w:p w14:paraId="6F7A2800">
                  <w:pPr>
                    <w:adjustRightInd w:val="0"/>
                    <w:jc w:val="center"/>
                    <w:textAlignment w:val="baseline"/>
                    <w:rPr>
                      <w:rFonts w:hint="default" w:eastAsia="宋体"/>
                      <w:kern w:val="0"/>
                      <w:szCs w:val="21"/>
                      <w:lang w:val="en-US" w:eastAsia="zh-CN"/>
                    </w:rPr>
                  </w:pPr>
                  <w:r>
                    <w:rPr>
                      <w:rFonts w:hint="eastAsia" w:eastAsia="宋体"/>
                      <w:kern w:val="0"/>
                      <w:szCs w:val="21"/>
                      <w:lang w:val="en-US" w:eastAsia="zh-CN"/>
                    </w:rPr>
                    <w:t>活性炭吸附</w:t>
                  </w:r>
                </w:p>
              </w:tc>
            </w:tr>
            <w:tr w14:paraId="4B96D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1253" w:type="dxa"/>
                  <w:noWrap w:val="0"/>
                  <w:vAlign w:val="center"/>
                </w:tcPr>
                <w:p w14:paraId="7920F64F">
                  <w:pPr>
                    <w:adjustRightInd w:val="0"/>
                    <w:jc w:val="center"/>
                    <w:textAlignment w:val="baseline"/>
                    <w:rPr>
                      <w:rFonts w:hint="eastAsia" w:eastAsia="宋体"/>
                      <w:kern w:val="0"/>
                      <w:szCs w:val="21"/>
                      <w:lang w:val="en-US" w:eastAsia="zh-CN"/>
                    </w:rPr>
                  </w:pPr>
                  <w:r>
                    <w:rPr>
                      <w:rFonts w:hint="eastAsia"/>
                      <w:kern w:val="0"/>
                      <w:szCs w:val="21"/>
                      <w:lang w:val="en-US" w:eastAsia="zh-CN"/>
                    </w:rPr>
                    <w:t>破碎粉尘</w:t>
                  </w:r>
                </w:p>
              </w:tc>
              <w:tc>
                <w:tcPr>
                  <w:tcW w:w="2200" w:type="dxa"/>
                  <w:noWrap w:val="0"/>
                  <w:vAlign w:val="center"/>
                </w:tcPr>
                <w:p w14:paraId="7BB5C032">
                  <w:pPr>
                    <w:adjustRightInd w:val="0"/>
                    <w:jc w:val="center"/>
                    <w:textAlignment w:val="baseline"/>
                    <w:rPr>
                      <w:rFonts w:hint="eastAsia" w:eastAsia="宋体"/>
                      <w:kern w:val="0"/>
                      <w:szCs w:val="21"/>
                      <w:lang w:val="en-US" w:eastAsia="zh-CN"/>
                    </w:rPr>
                  </w:pPr>
                  <w:r>
                    <w:rPr>
                      <w:rFonts w:hint="eastAsia"/>
                      <w:kern w:val="0"/>
                      <w:szCs w:val="21"/>
                      <w:lang w:val="en-US" w:eastAsia="zh-CN"/>
                    </w:rPr>
                    <w:t>颗粒物</w:t>
                  </w:r>
                </w:p>
              </w:tc>
              <w:tc>
                <w:tcPr>
                  <w:tcW w:w="4547" w:type="dxa"/>
                  <w:noWrap w:val="0"/>
                  <w:vAlign w:val="center"/>
                </w:tcPr>
                <w:p w14:paraId="2EAF3447">
                  <w:pPr>
                    <w:adjustRightInd w:val="0"/>
                    <w:jc w:val="center"/>
                    <w:textAlignment w:val="baseline"/>
                    <w:rPr>
                      <w:rFonts w:hint="default"/>
                      <w:kern w:val="0"/>
                      <w:szCs w:val="21"/>
                      <w:lang w:val="en-US" w:eastAsia="zh-CN"/>
                    </w:rPr>
                  </w:pPr>
                  <w:r>
                    <w:rPr>
                      <w:rFonts w:hint="eastAsia"/>
                      <w:kern w:val="0"/>
                      <w:szCs w:val="21"/>
                      <w:lang w:val="en-US" w:eastAsia="zh-CN"/>
                    </w:rPr>
                    <w:t>袋式过滤</w:t>
                  </w:r>
                </w:p>
              </w:tc>
            </w:tr>
            <w:tr w14:paraId="03D2F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253" w:type="dxa"/>
                  <w:vMerge w:val="restart"/>
                  <w:noWrap w:val="0"/>
                  <w:vAlign w:val="center"/>
                </w:tcPr>
                <w:p w14:paraId="7E95B4DA">
                  <w:pPr>
                    <w:adjustRightInd w:val="0"/>
                    <w:jc w:val="center"/>
                    <w:textAlignment w:val="baseline"/>
                    <w:rPr>
                      <w:rFonts w:hint="eastAsia" w:eastAsia="宋体"/>
                      <w:kern w:val="0"/>
                      <w:szCs w:val="21"/>
                      <w:lang w:val="en-US" w:eastAsia="zh-CN"/>
                    </w:rPr>
                  </w:pPr>
                  <w:r>
                    <w:rPr>
                      <w:rFonts w:hint="eastAsia"/>
                      <w:kern w:val="0"/>
                      <w:szCs w:val="21"/>
                      <w:lang w:val="en-US" w:eastAsia="zh-CN"/>
                    </w:rPr>
                    <w:t>涂装废气</w:t>
                  </w:r>
                </w:p>
              </w:tc>
              <w:tc>
                <w:tcPr>
                  <w:tcW w:w="2200" w:type="dxa"/>
                  <w:noWrap w:val="0"/>
                  <w:vAlign w:val="center"/>
                </w:tcPr>
                <w:p w14:paraId="26179DE1">
                  <w:pPr>
                    <w:adjustRightInd w:val="0"/>
                    <w:jc w:val="center"/>
                    <w:textAlignment w:val="baseline"/>
                    <w:rPr>
                      <w:rFonts w:hint="default" w:eastAsia="宋体"/>
                      <w:kern w:val="0"/>
                      <w:szCs w:val="21"/>
                      <w:lang w:val="en-US" w:eastAsia="zh-CN"/>
                    </w:rPr>
                  </w:pPr>
                  <w:r>
                    <w:rPr>
                      <w:rFonts w:hint="eastAsia"/>
                      <w:kern w:val="0"/>
                      <w:szCs w:val="21"/>
                    </w:rPr>
                    <w:t>挥发性有机物</w:t>
                  </w:r>
                  <w:r>
                    <w:rPr>
                      <w:rFonts w:hint="eastAsia"/>
                      <w:kern w:val="0"/>
                      <w:szCs w:val="21"/>
                      <w:lang w:eastAsia="zh-CN"/>
                    </w:rPr>
                    <w:t>、</w:t>
                  </w:r>
                  <w:r>
                    <w:rPr>
                      <w:rFonts w:hint="eastAsia"/>
                      <w:kern w:val="0"/>
                      <w:szCs w:val="21"/>
                      <w:lang w:val="en-US" w:eastAsia="zh-CN"/>
                    </w:rPr>
                    <w:t>甲苯、二甲苯</w:t>
                  </w:r>
                </w:p>
              </w:tc>
              <w:tc>
                <w:tcPr>
                  <w:tcW w:w="4547" w:type="dxa"/>
                  <w:noWrap w:val="0"/>
                  <w:vAlign w:val="center"/>
                </w:tcPr>
                <w:p w14:paraId="3454043A">
                  <w:pPr>
                    <w:adjustRightInd w:val="0"/>
                    <w:jc w:val="center"/>
                    <w:textAlignment w:val="baseline"/>
                    <w:rPr>
                      <w:rFonts w:hint="default" w:eastAsia="宋体"/>
                      <w:kern w:val="0"/>
                      <w:szCs w:val="21"/>
                      <w:lang w:val="en-US" w:eastAsia="zh-CN"/>
                    </w:rPr>
                  </w:pPr>
                  <w:r>
                    <w:rPr>
                      <w:rFonts w:hint="eastAsia"/>
                      <w:kern w:val="0"/>
                      <w:szCs w:val="21"/>
                      <w:lang w:val="en-US" w:eastAsia="zh-CN"/>
                    </w:rPr>
                    <w:t>吸附</w:t>
                  </w:r>
                  <w:r>
                    <w:rPr>
                      <w:kern w:val="0"/>
                      <w:szCs w:val="21"/>
                    </w:rPr>
                    <w:t>+</w:t>
                  </w:r>
                  <w:r>
                    <w:rPr>
                      <w:rFonts w:hint="eastAsia"/>
                      <w:kern w:val="0"/>
                      <w:szCs w:val="21"/>
                      <w:lang w:val="en-US" w:eastAsia="zh-CN"/>
                    </w:rPr>
                    <w:t>热力焚烧/催化燃烧等</w:t>
                  </w:r>
                </w:p>
              </w:tc>
            </w:tr>
            <w:tr w14:paraId="1CC7E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7" w:hRule="atLeast"/>
                <w:jc w:val="center"/>
              </w:trPr>
              <w:tc>
                <w:tcPr>
                  <w:tcW w:w="1253" w:type="dxa"/>
                  <w:vMerge w:val="continue"/>
                  <w:noWrap w:val="0"/>
                  <w:vAlign w:val="center"/>
                </w:tcPr>
                <w:p w14:paraId="238AC49F">
                  <w:pPr>
                    <w:adjustRightInd w:val="0"/>
                    <w:jc w:val="center"/>
                    <w:textAlignment w:val="baseline"/>
                    <w:rPr>
                      <w:rFonts w:hint="default" w:eastAsia="宋体"/>
                      <w:kern w:val="0"/>
                      <w:szCs w:val="21"/>
                      <w:lang w:val="en-US" w:eastAsia="zh-CN"/>
                    </w:rPr>
                  </w:pPr>
                </w:p>
              </w:tc>
              <w:tc>
                <w:tcPr>
                  <w:tcW w:w="2200" w:type="dxa"/>
                  <w:noWrap w:val="0"/>
                  <w:vAlign w:val="center"/>
                </w:tcPr>
                <w:p w14:paraId="79636D00">
                  <w:pPr>
                    <w:adjustRightInd w:val="0"/>
                    <w:jc w:val="center"/>
                    <w:textAlignment w:val="baseline"/>
                    <w:rPr>
                      <w:rFonts w:hint="eastAsia" w:eastAsia="宋体"/>
                      <w:kern w:val="0"/>
                      <w:szCs w:val="21"/>
                      <w:lang w:val="en-US" w:eastAsia="zh-CN"/>
                    </w:rPr>
                  </w:pPr>
                  <w:r>
                    <w:rPr>
                      <w:rFonts w:hint="eastAsia"/>
                      <w:kern w:val="0"/>
                      <w:szCs w:val="21"/>
                      <w:lang w:val="en-US" w:eastAsia="zh-CN"/>
                    </w:rPr>
                    <w:t>颗粒物</w:t>
                  </w:r>
                </w:p>
              </w:tc>
              <w:tc>
                <w:tcPr>
                  <w:tcW w:w="4547" w:type="dxa"/>
                  <w:noWrap w:val="0"/>
                  <w:vAlign w:val="center"/>
                </w:tcPr>
                <w:p w14:paraId="14D84A4A">
                  <w:pPr>
                    <w:adjustRightInd w:val="0"/>
                    <w:jc w:val="center"/>
                    <w:textAlignment w:val="baseline"/>
                    <w:rPr>
                      <w:rFonts w:hint="default"/>
                      <w:kern w:val="0"/>
                      <w:szCs w:val="21"/>
                      <w:lang w:val="en-US" w:eastAsia="zh-CN"/>
                    </w:rPr>
                  </w:pPr>
                  <w:r>
                    <w:rPr>
                      <w:rFonts w:hint="eastAsia"/>
                      <w:kern w:val="0"/>
                      <w:szCs w:val="21"/>
                      <w:lang w:val="en-US" w:eastAsia="zh-CN"/>
                    </w:rPr>
                    <w:t>文丘里/水旋/水帘湿式漆雾净化、石灰粉过滤、纸盒过滤、化学纤维过滤</w:t>
                  </w:r>
                </w:p>
              </w:tc>
            </w:tr>
          </w:tbl>
          <w:p w14:paraId="78B61E3B">
            <w:pPr>
              <w:bidi w:val="0"/>
              <w:spacing w:line="360" w:lineRule="auto"/>
              <w:ind w:firstLine="420" w:firstLineChars="200"/>
              <w:rPr>
                <w:rFonts w:hint="eastAsia"/>
                <w:lang w:val="en-US" w:eastAsia="zh-CN"/>
              </w:rPr>
            </w:pPr>
            <w:r>
              <w:rPr>
                <w:rFonts w:hint="eastAsia"/>
                <w:lang w:val="en-US" w:eastAsia="zh-CN"/>
              </w:rPr>
              <w:t>参照《汽车工业污染防治可行技术指南》（HJ1181-2021）中“6.1大气污染治理技术”，涂装工序喷涂废气的漆雾治理可采用水旋喷漆室、水帘喷漆室和漆雾过滤毡（袋）等，注塑处理可采用吸附法；涂装工序VOCs治理可采用吸附法、燃烧法等。</w:t>
            </w:r>
          </w:p>
          <w:p w14:paraId="05C527B5">
            <w:pPr>
              <w:bidi w:val="0"/>
              <w:spacing w:line="360" w:lineRule="auto"/>
              <w:ind w:firstLine="420" w:firstLineChars="200"/>
              <w:rPr>
                <w:rFonts w:hint="eastAsia"/>
                <w:lang w:val="en-US" w:eastAsia="zh-CN"/>
              </w:rPr>
            </w:pPr>
            <w:r>
              <w:rPr>
                <w:rFonts w:hint="eastAsia"/>
                <w:lang w:val="en-US" w:eastAsia="zh-CN"/>
              </w:rPr>
              <w:t>本项目注塑废气经集气罩+二级活性炭吸附处理后通过排气筒DA001排放；破碎粉尘经集气罩+布袋除尘器处理后通过排气筒DA001排放；喷涂产生的漆雾通过房间密闭+</w:t>
            </w:r>
            <w:r>
              <w:rPr>
                <w:rFonts w:hint="eastAsia" w:hAnsi="Times New Roman" w:eastAsia="宋体" w:cs="Times New Roman"/>
                <w:color w:val="auto"/>
                <w:sz w:val="21"/>
                <w:szCs w:val="21"/>
                <w:lang w:val="en-US" w:eastAsia="zh-CN"/>
              </w:rPr>
              <w:t>水洗柜除</w:t>
            </w:r>
            <w:r>
              <w:rPr>
                <w:rFonts w:hint="default" w:ascii="Times New Roman" w:hAnsi="Times New Roman" w:eastAsia="宋体" w:cs="Times New Roman"/>
                <w:color w:val="auto"/>
                <w:sz w:val="21"/>
                <w:szCs w:val="21"/>
                <w:lang w:eastAsia="zh-CN"/>
              </w:rPr>
              <w:t>漆雾装置</w:t>
            </w:r>
            <w:r>
              <w:rPr>
                <w:rFonts w:hint="eastAsia" w:cs="Times New Roman"/>
                <w:color w:val="auto"/>
                <w:sz w:val="21"/>
                <w:szCs w:val="21"/>
                <w:lang w:val="en-US" w:eastAsia="zh-CN"/>
              </w:rPr>
              <w:t>+吸附棉处理后通过</w:t>
            </w:r>
            <w:r>
              <w:rPr>
                <w:rFonts w:hint="eastAsia"/>
                <w:lang w:val="en-US" w:eastAsia="zh-CN"/>
              </w:rPr>
              <w:t>排气筒DA002~DA007排放；喷涂产生的有机废气通过房间密闭+二级活性炭吸附处理后</w:t>
            </w:r>
            <w:r>
              <w:rPr>
                <w:rFonts w:hint="eastAsia" w:cs="Times New Roman"/>
                <w:color w:val="auto"/>
                <w:sz w:val="21"/>
                <w:szCs w:val="21"/>
                <w:lang w:val="en-US" w:eastAsia="zh-CN"/>
              </w:rPr>
              <w:t>通过</w:t>
            </w:r>
            <w:r>
              <w:rPr>
                <w:rFonts w:hint="eastAsia"/>
                <w:lang w:val="en-US" w:eastAsia="zh-CN"/>
              </w:rPr>
              <w:t>排气筒DA002~DA007排放。</w:t>
            </w:r>
          </w:p>
          <w:p w14:paraId="13BB0AF1">
            <w:pPr>
              <w:bidi w:val="0"/>
              <w:spacing w:line="360" w:lineRule="auto"/>
              <w:ind w:firstLine="420" w:firstLineChars="200"/>
              <w:rPr>
                <w:rFonts w:hint="default"/>
                <w:lang w:val="en-US" w:eastAsia="zh-CN"/>
              </w:rPr>
            </w:pPr>
            <w:r>
              <w:rPr>
                <w:rFonts w:hint="eastAsia"/>
                <w:lang w:val="en-US" w:eastAsia="zh-CN"/>
              </w:rPr>
              <w:t>综上，</w:t>
            </w:r>
            <w:r>
              <w:rPr>
                <w:rFonts w:hint="eastAsia"/>
              </w:rPr>
              <w:t>本项目</w:t>
            </w:r>
            <w:r>
              <w:t>采取的末端治理技术为可行性技术。</w:t>
            </w:r>
          </w:p>
        </w:tc>
      </w:tr>
    </w:tbl>
    <w:p w14:paraId="2F110F66">
      <w:pPr>
        <w:adjustRightInd w:val="0"/>
        <w:snapToGrid w:val="0"/>
        <w:spacing w:line="360" w:lineRule="auto"/>
        <w:rPr>
          <w:b/>
          <w:kern w:val="0"/>
          <w:sz w:val="28"/>
          <w:szCs w:val="28"/>
        </w:rPr>
        <w:sectPr>
          <w:pgSz w:w="11907" w:h="16840"/>
          <w:pgMar w:top="720" w:right="720" w:bottom="720" w:left="720" w:header="851" w:footer="851" w:gutter="0"/>
          <w:pgBorders>
            <w:top w:val="none" w:sz="0" w:space="0"/>
            <w:left w:val="none" w:sz="0" w:space="0"/>
            <w:bottom w:val="none" w:sz="0" w:space="0"/>
            <w:right w:val="none" w:sz="0" w:space="0"/>
          </w:pgBorders>
          <w:cols w:space="720" w:num="1"/>
          <w:docGrid w:linePitch="312" w:charSpace="0"/>
        </w:sectPr>
      </w:pPr>
    </w:p>
    <w:p w14:paraId="262DAAA0">
      <w:pPr>
        <w:bidi w:val="0"/>
        <w:spacing w:line="360" w:lineRule="auto"/>
      </w:pPr>
      <w:bookmarkStart w:id="11" w:name="_Toc6474"/>
      <w:r>
        <w:rPr>
          <w:b/>
          <w:bCs/>
        </w:rPr>
        <w:t>（</w:t>
      </w:r>
      <w:r>
        <w:rPr>
          <w:rFonts w:hint="eastAsia"/>
          <w:b/>
          <w:bCs/>
          <w:lang w:val="en-US" w:eastAsia="zh-CN"/>
        </w:rPr>
        <w:t>7</w:t>
      </w:r>
      <w:r>
        <w:rPr>
          <w:b/>
          <w:bCs/>
        </w:rPr>
        <w:t>）废气排放汇总</w:t>
      </w:r>
      <w:bookmarkEnd w:id="11"/>
    </w:p>
    <w:p w14:paraId="4C68EBD4">
      <w:pPr>
        <w:spacing w:line="360" w:lineRule="auto"/>
        <w:ind w:firstLine="422" w:firstLineChars="200"/>
        <w:rPr>
          <w:rFonts w:hint="default" w:ascii="Times New Roman" w:hAnsi="Times New Roman"/>
          <w:color w:val="auto"/>
          <w:sz w:val="21"/>
          <w:szCs w:val="21"/>
          <w:highlight w:val="none"/>
        </w:rPr>
      </w:pPr>
      <w:r>
        <w:rPr>
          <w:b/>
          <w:bCs/>
          <w:color w:val="auto"/>
          <w:kern w:val="0"/>
          <w:sz w:val="21"/>
          <w:szCs w:val="21"/>
          <w:highlight w:val="none"/>
        </w:rPr>
        <w:t>①正常工况</w:t>
      </w:r>
    </w:p>
    <w:p w14:paraId="5649B320">
      <w:pPr>
        <w:bidi w:val="0"/>
        <w:jc w:val="center"/>
        <w:rPr>
          <w:rFonts w:hint="default"/>
          <w:b/>
          <w:bCs/>
        </w:rPr>
      </w:pPr>
      <w:r>
        <w:rPr>
          <w:rFonts w:hint="default"/>
          <w:b/>
          <w:bCs/>
          <w:highlight w:val="none"/>
        </w:rPr>
        <w:t>表4-</w:t>
      </w:r>
      <w:r>
        <w:rPr>
          <w:rFonts w:hint="eastAsia"/>
          <w:b/>
          <w:bCs/>
          <w:highlight w:val="none"/>
          <w:lang w:val="en-US" w:eastAsia="zh-CN"/>
        </w:rPr>
        <w:t>8</w:t>
      </w:r>
      <w:r>
        <w:rPr>
          <w:rFonts w:hint="default"/>
          <w:b/>
          <w:bCs/>
          <w:highlight w:val="none"/>
        </w:rPr>
        <w:t xml:space="preserve"> 废气污染源排放信息表（正常</w:t>
      </w:r>
      <w:r>
        <w:rPr>
          <w:rFonts w:hint="eastAsia"/>
          <w:b/>
          <w:bCs/>
          <w:highlight w:val="none"/>
          <w:lang w:eastAsia="zh-CN"/>
        </w:rPr>
        <w:t>工</w:t>
      </w:r>
      <w:r>
        <w:rPr>
          <w:rFonts w:hint="default"/>
          <w:b/>
          <w:bCs/>
          <w:highlight w:val="none"/>
        </w:rPr>
        <w:t>况）</w:t>
      </w:r>
    </w:p>
    <w:tbl>
      <w:tblPr>
        <w:tblStyle w:val="27"/>
        <w:tblW w:w="530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36"/>
        <w:gridCol w:w="980"/>
        <w:gridCol w:w="985"/>
        <w:gridCol w:w="501"/>
        <w:gridCol w:w="598"/>
        <w:gridCol w:w="735"/>
        <w:gridCol w:w="902"/>
        <w:gridCol w:w="900"/>
        <w:gridCol w:w="888"/>
        <w:gridCol w:w="1596"/>
        <w:gridCol w:w="1092"/>
        <w:gridCol w:w="1164"/>
        <w:gridCol w:w="996"/>
        <w:gridCol w:w="852"/>
        <w:gridCol w:w="731"/>
        <w:gridCol w:w="828"/>
      </w:tblGrid>
      <w:tr w14:paraId="4C5B6C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restart"/>
            <w:noWrap w:val="0"/>
            <w:vAlign w:val="center"/>
          </w:tcPr>
          <w:p w14:paraId="40313944">
            <w:pPr>
              <w:widowControl/>
              <w:jc w:val="center"/>
              <w:textAlignment w:val="center"/>
              <w:rPr>
                <w:b/>
                <w:bCs/>
                <w:color w:val="auto"/>
                <w:sz w:val="21"/>
                <w:szCs w:val="21"/>
                <w:highlight w:val="none"/>
              </w:rPr>
            </w:pPr>
            <w:r>
              <w:rPr>
                <w:b/>
                <w:bCs/>
                <w:color w:val="auto"/>
                <w:kern w:val="0"/>
                <w:sz w:val="21"/>
                <w:szCs w:val="21"/>
                <w:highlight w:val="none"/>
                <w:lang w:bidi="ar"/>
              </w:rPr>
              <w:t>排放类型</w:t>
            </w:r>
          </w:p>
        </w:tc>
        <w:tc>
          <w:tcPr>
            <w:tcW w:w="343" w:type="pct"/>
            <w:vMerge w:val="restart"/>
            <w:noWrap w:val="0"/>
            <w:vAlign w:val="center"/>
          </w:tcPr>
          <w:p w14:paraId="6D85258C">
            <w:pPr>
              <w:widowControl/>
              <w:jc w:val="center"/>
              <w:textAlignment w:val="center"/>
              <w:rPr>
                <w:b/>
                <w:bCs/>
                <w:color w:val="auto"/>
                <w:sz w:val="21"/>
                <w:szCs w:val="21"/>
                <w:highlight w:val="none"/>
              </w:rPr>
            </w:pPr>
            <w:r>
              <w:rPr>
                <w:b/>
                <w:bCs/>
                <w:color w:val="auto"/>
                <w:kern w:val="0"/>
                <w:sz w:val="21"/>
                <w:szCs w:val="21"/>
                <w:highlight w:val="none"/>
                <w:lang w:bidi="ar"/>
              </w:rPr>
              <w:t>污染源</w:t>
            </w:r>
          </w:p>
        </w:tc>
        <w:tc>
          <w:tcPr>
            <w:tcW w:w="344" w:type="pct"/>
            <w:vMerge w:val="restart"/>
            <w:noWrap w:val="0"/>
            <w:vAlign w:val="center"/>
          </w:tcPr>
          <w:p w14:paraId="14B16896">
            <w:pPr>
              <w:widowControl/>
              <w:jc w:val="center"/>
              <w:textAlignment w:val="center"/>
              <w:rPr>
                <w:b/>
                <w:bCs/>
                <w:color w:val="auto"/>
                <w:sz w:val="21"/>
                <w:szCs w:val="21"/>
                <w:highlight w:val="none"/>
              </w:rPr>
            </w:pPr>
            <w:r>
              <w:rPr>
                <w:b/>
                <w:bCs/>
                <w:color w:val="auto"/>
                <w:kern w:val="0"/>
                <w:sz w:val="21"/>
                <w:szCs w:val="21"/>
                <w:highlight w:val="none"/>
                <w:lang w:bidi="ar"/>
              </w:rPr>
              <w:t>污染物种类</w:t>
            </w:r>
          </w:p>
        </w:tc>
        <w:tc>
          <w:tcPr>
            <w:tcW w:w="2142" w:type="pct"/>
            <w:gridSpan w:val="7"/>
            <w:noWrap w:val="0"/>
            <w:vAlign w:val="center"/>
          </w:tcPr>
          <w:p w14:paraId="50A47469">
            <w:pPr>
              <w:widowControl/>
              <w:jc w:val="center"/>
              <w:textAlignment w:val="center"/>
              <w:rPr>
                <w:b/>
                <w:bCs/>
                <w:color w:val="auto"/>
                <w:kern w:val="0"/>
                <w:sz w:val="21"/>
                <w:szCs w:val="21"/>
                <w:highlight w:val="none"/>
                <w:lang w:bidi="ar"/>
              </w:rPr>
            </w:pPr>
            <w:r>
              <w:rPr>
                <w:b/>
                <w:bCs/>
                <w:color w:val="auto"/>
                <w:kern w:val="0"/>
                <w:sz w:val="21"/>
                <w:szCs w:val="21"/>
                <w:highlight w:val="none"/>
                <w:lang w:bidi="ar"/>
              </w:rPr>
              <w:t>排放口信息</w:t>
            </w:r>
          </w:p>
        </w:tc>
        <w:tc>
          <w:tcPr>
            <w:tcW w:w="1138" w:type="pct"/>
            <w:gridSpan w:val="3"/>
            <w:noWrap w:val="0"/>
            <w:vAlign w:val="center"/>
          </w:tcPr>
          <w:p w14:paraId="64BA445A">
            <w:pPr>
              <w:widowControl/>
              <w:jc w:val="center"/>
              <w:textAlignment w:val="center"/>
              <w:rPr>
                <w:b/>
                <w:bCs/>
                <w:color w:val="auto"/>
                <w:sz w:val="21"/>
                <w:szCs w:val="21"/>
                <w:highlight w:val="none"/>
              </w:rPr>
            </w:pPr>
            <w:r>
              <w:rPr>
                <w:b/>
                <w:bCs/>
                <w:color w:val="auto"/>
                <w:kern w:val="0"/>
                <w:sz w:val="21"/>
                <w:szCs w:val="21"/>
                <w:highlight w:val="none"/>
                <w:lang w:bidi="ar"/>
              </w:rPr>
              <w:t>排放情况</w:t>
            </w:r>
          </w:p>
        </w:tc>
        <w:tc>
          <w:tcPr>
            <w:tcW w:w="554" w:type="pct"/>
            <w:gridSpan w:val="2"/>
            <w:noWrap w:val="0"/>
            <w:vAlign w:val="center"/>
          </w:tcPr>
          <w:p w14:paraId="3DD78A87">
            <w:pPr>
              <w:widowControl/>
              <w:jc w:val="center"/>
              <w:textAlignment w:val="center"/>
              <w:rPr>
                <w:b/>
                <w:bCs/>
                <w:color w:val="auto"/>
                <w:sz w:val="21"/>
                <w:szCs w:val="21"/>
                <w:highlight w:val="none"/>
              </w:rPr>
            </w:pPr>
            <w:r>
              <w:rPr>
                <w:b/>
                <w:bCs/>
                <w:color w:val="auto"/>
                <w:kern w:val="0"/>
                <w:sz w:val="21"/>
                <w:szCs w:val="21"/>
                <w:highlight w:val="none"/>
                <w:lang w:bidi="ar"/>
              </w:rPr>
              <w:t>排放标准</w:t>
            </w:r>
          </w:p>
        </w:tc>
        <w:tc>
          <w:tcPr>
            <w:tcW w:w="289" w:type="pct"/>
            <w:vMerge w:val="restart"/>
            <w:noWrap w:val="0"/>
            <w:vAlign w:val="center"/>
          </w:tcPr>
          <w:p w14:paraId="3217C71D">
            <w:pPr>
              <w:widowControl/>
              <w:jc w:val="center"/>
              <w:textAlignment w:val="center"/>
              <w:rPr>
                <w:rFonts w:hint="default" w:eastAsia="宋体"/>
                <w:b/>
                <w:bCs/>
                <w:color w:val="auto"/>
                <w:kern w:val="0"/>
                <w:sz w:val="21"/>
                <w:szCs w:val="21"/>
                <w:highlight w:val="none"/>
                <w:lang w:val="en-US" w:eastAsia="zh-CN" w:bidi="ar"/>
              </w:rPr>
            </w:pPr>
            <w:r>
              <w:rPr>
                <w:rFonts w:hint="eastAsia"/>
                <w:b/>
                <w:bCs/>
                <w:color w:val="auto"/>
                <w:kern w:val="0"/>
                <w:sz w:val="21"/>
                <w:szCs w:val="21"/>
                <w:highlight w:val="none"/>
                <w:lang w:val="en-US" w:eastAsia="zh-CN" w:bidi="ar"/>
              </w:rPr>
              <w:t>是否达标</w:t>
            </w:r>
          </w:p>
        </w:tc>
      </w:tr>
      <w:tr w14:paraId="02DD74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02853935">
            <w:pPr>
              <w:jc w:val="center"/>
              <w:rPr>
                <w:b/>
                <w:bCs/>
                <w:color w:val="auto"/>
                <w:sz w:val="21"/>
                <w:szCs w:val="21"/>
                <w:highlight w:val="none"/>
              </w:rPr>
            </w:pPr>
          </w:p>
        </w:tc>
        <w:tc>
          <w:tcPr>
            <w:tcW w:w="343" w:type="pct"/>
            <w:vMerge w:val="continue"/>
            <w:noWrap w:val="0"/>
            <w:vAlign w:val="center"/>
          </w:tcPr>
          <w:p w14:paraId="18C9C62C">
            <w:pPr>
              <w:jc w:val="center"/>
              <w:rPr>
                <w:b/>
                <w:bCs/>
                <w:color w:val="auto"/>
                <w:sz w:val="21"/>
                <w:szCs w:val="21"/>
                <w:highlight w:val="none"/>
              </w:rPr>
            </w:pPr>
          </w:p>
        </w:tc>
        <w:tc>
          <w:tcPr>
            <w:tcW w:w="344" w:type="pct"/>
            <w:vMerge w:val="continue"/>
            <w:noWrap w:val="0"/>
            <w:vAlign w:val="center"/>
          </w:tcPr>
          <w:p w14:paraId="4CE4DD31">
            <w:pPr>
              <w:jc w:val="center"/>
              <w:rPr>
                <w:b/>
                <w:bCs/>
                <w:color w:val="auto"/>
                <w:sz w:val="21"/>
                <w:szCs w:val="21"/>
                <w:highlight w:val="none"/>
              </w:rPr>
            </w:pPr>
          </w:p>
        </w:tc>
        <w:tc>
          <w:tcPr>
            <w:tcW w:w="175" w:type="pct"/>
            <w:noWrap w:val="0"/>
            <w:vAlign w:val="center"/>
          </w:tcPr>
          <w:p w14:paraId="29C5D696">
            <w:pPr>
              <w:widowControl/>
              <w:jc w:val="center"/>
              <w:textAlignment w:val="center"/>
              <w:rPr>
                <w:b/>
                <w:bCs/>
                <w:color w:val="auto"/>
                <w:sz w:val="21"/>
                <w:szCs w:val="21"/>
                <w:highlight w:val="none"/>
              </w:rPr>
            </w:pPr>
            <w:r>
              <w:rPr>
                <w:b/>
                <w:bCs/>
                <w:color w:val="auto"/>
                <w:kern w:val="0"/>
                <w:sz w:val="21"/>
                <w:szCs w:val="21"/>
                <w:highlight w:val="none"/>
                <w:lang w:bidi="ar"/>
              </w:rPr>
              <w:t>高度</w:t>
            </w:r>
          </w:p>
        </w:tc>
        <w:tc>
          <w:tcPr>
            <w:tcW w:w="209" w:type="pct"/>
            <w:noWrap w:val="0"/>
            <w:vAlign w:val="center"/>
          </w:tcPr>
          <w:p w14:paraId="6269DE1D">
            <w:pPr>
              <w:widowControl/>
              <w:jc w:val="center"/>
              <w:textAlignment w:val="center"/>
              <w:rPr>
                <w:b/>
                <w:bCs/>
                <w:color w:val="auto"/>
                <w:sz w:val="21"/>
                <w:szCs w:val="21"/>
                <w:highlight w:val="none"/>
              </w:rPr>
            </w:pPr>
            <w:r>
              <w:rPr>
                <w:b/>
                <w:bCs/>
                <w:color w:val="auto"/>
                <w:kern w:val="0"/>
                <w:sz w:val="21"/>
                <w:szCs w:val="21"/>
                <w:highlight w:val="none"/>
                <w:lang w:bidi="ar"/>
              </w:rPr>
              <w:t>温度</w:t>
            </w:r>
          </w:p>
        </w:tc>
        <w:tc>
          <w:tcPr>
            <w:tcW w:w="257" w:type="pct"/>
            <w:noWrap w:val="0"/>
            <w:vAlign w:val="center"/>
          </w:tcPr>
          <w:p w14:paraId="4808CECB">
            <w:pPr>
              <w:widowControl/>
              <w:jc w:val="center"/>
              <w:textAlignment w:val="center"/>
              <w:rPr>
                <w:b/>
                <w:bCs/>
                <w:color w:val="auto"/>
                <w:sz w:val="21"/>
                <w:szCs w:val="21"/>
                <w:highlight w:val="none"/>
              </w:rPr>
            </w:pPr>
            <w:r>
              <w:rPr>
                <w:b/>
                <w:bCs/>
                <w:color w:val="auto"/>
                <w:kern w:val="0"/>
                <w:sz w:val="21"/>
                <w:szCs w:val="21"/>
                <w:highlight w:val="none"/>
                <w:lang w:bidi="ar"/>
              </w:rPr>
              <w:t>内径（m）</w:t>
            </w:r>
          </w:p>
        </w:tc>
        <w:tc>
          <w:tcPr>
            <w:tcW w:w="315" w:type="pct"/>
            <w:noWrap w:val="0"/>
            <w:vAlign w:val="center"/>
          </w:tcPr>
          <w:p w14:paraId="60EE788A">
            <w:pPr>
              <w:widowControl/>
              <w:jc w:val="center"/>
              <w:textAlignment w:val="center"/>
              <w:rPr>
                <w:b/>
                <w:bCs/>
                <w:color w:val="auto"/>
                <w:sz w:val="21"/>
                <w:szCs w:val="21"/>
                <w:highlight w:val="none"/>
              </w:rPr>
            </w:pPr>
            <w:r>
              <w:rPr>
                <w:b/>
                <w:bCs/>
                <w:color w:val="auto"/>
                <w:kern w:val="0"/>
                <w:sz w:val="21"/>
                <w:szCs w:val="21"/>
                <w:highlight w:val="none"/>
                <w:lang w:bidi="ar"/>
              </w:rPr>
              <w:t>排放时间（h）</w:t>
            </w:r>
          </w:p>
        </w:tc>
        <w:tc>
          <w:tcPr>
            <w:tcW w:w="315" w:type="pct"/>
            <w:noWrap w:val="0"/>
            <w:vAlign w:val="center"/>
          </w:tcPr>
          <w:p w14:paraId="76372A73">
            <w:pPr>
              <w:widowControl/>
              <w:jc w:val="center"/>
              <w:textAlignment w:val="center"/>
              <w:rPr>
                <w:b/>
                <w:bCs/>
                <w:color w:val="auto"/>
                <w:sz w:val="21"/>
                <w:szCs w:val="21"/>
                <w:highlight w:val="none"/>
              </w:rPr>
            </w:pPr>
            <w:r>
              <w:rPr>
                <w:b/>
                <w:bCs/>
                <w:color w:val="auto"/>
                <w:kern w:val="0"/>
                <w:sz w:val="21"/>
                <w:szCs w:val="21"/>
                <w:highlight w:val="none"/>
                <w:lang w:bidi="ar"/>
              </w:rPr>
              <w:t>编号</w:t>
            </w:r>
          </w:p>
        </w:tc>
        <w:tc>
          <w:tcPr>
            <w:tcW w:w="310" w:type="pct"/>
            <w:tcBorders>
              <w:right w:val="single" w:color="auto" w:sz="4" w:space="0"/>
            </w:tcBorders>
            <w:noWrap w:val="0"/>
            <w:vAlign w:val="center"/>
          </w:tcPr>
          <w:p w14:paraId="166AB165">
            <w:pPr>
              <w:widowControl/>
              <w:jc w:val="center"/>
              <w:textAlignment w:val="center"/>
              <w:rPr>
                <w:b/>
                <w:bCs/>
                <w:color w:val="auto"/>
                <w:sz w:val="21"/>
                <w:szCs w:val="21"/>
                <w:highlight w:val="none"/>
              </w:rPr>
            </w:pPr>
            <w:r>
              <w:rPr>
                <w:b/>
                <w:bCs/>
                <w:color w:val="auto"/>
                <w:kern w:val="0"/>
                <w:sz w:val="21"/>
                <w:szCs w:val="21"/>
                <w:highlight w:val="none"/>
                <w:lang w:bidi="ar"/>
              </w:rPr>
              <w:t>类型</w:t>
            </w:r>
          </w:p>
        </w:tc>
        <w:tc>
          <w:tcPr>
            <w:tcW w:w="558" w:type="pct"/>
            <w:tcBorders>
              <w:left w:val="single" w:color="auto" w:sz="4" w:space="0"/>
            </w:tcBorders>
            <w:noWrap w:val="0"/>
            <w:vAlign w:val="center"/>
          </w:tcPr>
          <w:p w14:paraId="74C47C09">
            <w:pPr>
              <w:widowControl/>
              <w:jc w:val="center"/>
              <w:textAlignment w:val="center"/>
              <w:rPr>
                <w:rFonts w:hint="eastAsia" w:eastAsia="宋体"/>
                <w:b/>
                <w:bCs/>
                <w:color w:val="auto"/>
                <w:kern w:val="0"/>
                <w:sz w:val="21"/>
                <w:szCs w:val="21"/>
                <w:highlight w:val="none"/>
                <w:lang w:val="en-US" w:eastAsia="zh-CN" w:bidi="ar"/>
              </w:rPr>
            </w:pPr>
            <w:r>
              <w:rPr>
                <w:rFonts w:hint="eastAsia"/>
                <w:b/>
                <w:bCs/>
                <w:color w:val="auto"/>
                <w:kern w:val="0"/>
                <w:sz w:val="21"/>
                <w:szCs w:val="21"/>
                <w:highlight w:val="none"/>
                <w:lang w:val="en-US" w:eastAsia="zh-CN" w:bidi="ar"/>
              </w:rPr>
              <w:t>收集/处理效率</w:t>
            </w:r>
          </w:p>
        </w:tc>
        <w:tc>
          <w:tcPr>
            <w:tcW w:w="382" w:type="pct"/>
            <w:noWrap w:val="0"/>
            <w:vAlign w:val="center"/>
          </w:tcPr>
          <w:p w14:paraId="60E12A19">
            <w:pPr>
              <w:widowControl/>
              <w:jc w:val="center"/>
              <w:textAlignment w:val="center"/>
              <w:rPr>
                <w:b/>
                <w:bCs/>
                <w:color w:val="auto"/>
                <w:sz w:val="21"/>
                <w:szCs w:val="21"/>
                <w:highlight w:val="none"/>
              </w:rPr>
            </w:pPr>
            <w:r>
              <w:rPr>
                <w:b/>
                <w:bCs/>
                <w:color w:val="auto"/>
                <w:kern w:val="0"/>
                <w:sz w:val="21"/>
                <w:szCs w:val="21"/>
                <w:highlight w:val="none"/>
                <w:lang w:bidi="ar"/>
              </w:rPr>
              <w:t>浓度mg/m</w:t>
            </w:r>
            <w:r>
              <w:rPr>
                <w:rStyle w:val="52"/>
                <w:color w:val="auto"/>
                <w:sz w:val="21"/>
                <w:szCs w:val="21"/>
                <w:highlight w:val="none"/>
                <w:lang w:bidi="ar"/>
              </w:rPr>
              <w:t>3</w:t>
            </w:r>
          </w:p>
        </w:tc>
        <w:tc>
          <w:tcPr>
            <w:tcW w:w="407" w:type="pct"/>
            <w:noWrap w:val="0"/>
            <w:vAlign w:val="center"/>
          </w:tcPr>
          <w:p w14:paraId="62B26475">
            <w:pPr>
              <w:widowControl/>
              <w:jc w:val="center"/>
              <w:textAlignment w:val="center"/>
              <w:rPr>
                <w:b/>
                <w:bCs/>
                <w:color w:val="auto"/>
                <w:sz w:val="21"/>
                <w:szCs w:val="21"/>
                <w:highlight w:val="none"/>
              </w:rPr>
            </w:pPr>
            <w:r>
              <w:rPr>
                <w:b/>
                <w:bCs/>
                <w:color w:val="auto"/>
                <w:kern w:val="0"/>
                <w:sz w:val="21"/>
                <w:szCs w:val="21"/>
                <w:highlight w:val="none"/>
                <w:lang w:bidi="ar"/>
              </w:rPr>
              <w:t>速率kg/h</w:t>
            </w:r>
          </w:p>
        </w:tc>
        <w:tc>
          <w:tcPr>
            <w:tcW w:w="348" w:type="pct"/>
            <w:noWrap w:val="0"/>
            <w:vAlign w:val="center"/>
          </w:tcPr>
          <w:p w14:paraId="3080AD50">
            <w:pPr>
              <w:widowControl/>
              <w:jc w:val="center"/>
              <w:textAlignment w:val="center"/>
              <w:rPr>
                <w:b/>
                <w:bCs/>
                <w:color w:val="auto"/>
                <w:sz w:val="21"/>
                <w:szCs w:val="21"/>
                <w:highlight w:val="none"/>
              </w:rPr>
            </w:pPr>
            <w:r>
              <w:rPr>
                <w:b/>
                <w:bCs/>
                <w:color w:val="auto"/>
                <w:kern w:val="0"/>
                <w:sz w:val="21"/>
                <w:szCs w:val="21"/>
                <w:highlight w:val="none"/>
                <w:lang w:bidi="ar"/>
              </w:rPr>
              <w:t>排放量（t/a）</w:t>
            </w:r>
          </w:p>
        </w:tc>
        <w:tc>
          <w:tcPr>
            <w:tcW w:w="298" w:type="pct"/>
            <w:noWrap w:val="0"/>
            <w:vAlign w:val="center"/>
          </w:tcPr>
          <w:p w14:paraId="6ABD4029">
            <w:pPr>
              <w:widowControl/>
              <w:jc w:val="center"/>
              <w:textAlignment w:val="center"/>
              <w:rPr>
                <w:b/>
                <w:bCs/>
                <w:color w:val="auto"/>
                <w:sz w:val="21"/>
                <w:szCs w:val="21"/>
                <w:highlight w:val="none"/>
              </w:rPr>
            </w:pPr>
            <w:r>
              <w:rPr>
                <w:b/>
                <w:bCs/>
                <w:color w:val="auto"/>
                <w:kern w:val="0"/>
                <w:sz w:val="21"/>
                <w:szCs w:val="21"/>
                <w:highlight w:val="none"/>
                <w:lang w:bidi="ar"/>
              </w:rPr>
              <w:t>浓度mg/m</w:t>
            </w:r>
            <w:r>
              <w:rPr>
                <w:rStyle w:val="52"/>
                <w:color w:val="auto"/>
                <w:sz w:val="21"/>
                <w:szCs w:val="21"/>
                <w:highlight w:val="none"/>
                <w:lang w:bidi="ar"/>
              </w:rPr>
              <w:t>3</w:t>
            </w:r>
          </w:p>
        </w:tc>
        <w:tc>
          <w:tcPr>
            <w:tcW w:w="255" w:type="pct"/>
            <w:noWrap w:val="0"/>
            <w:vAlign w:val="center"/>
          </w:tcPr>
          <w:p w14:paraId="2E1DC318">
            <w:pPr>
              <w:widowControl/>
              <w:jc w:val="center"/>
              <w:textAlignment w:val="center"/>
              <w:rPr>
                <w:b/>
                <w:bCs/>
                <w:color w:val="auto"/>
                <w:sz w:val="21"/>
                <w:szCs w:val="21"/>
                <w:highlight w:val="none"/>
              </w:rPr>
            </w:pPr>
            <w:r>
              <w:rPr>
                <w:b/>
                <w:bCs/>
                <w:color w:val="auto"/>
                <w:kern w:val="0"/>
                <w:sz w:val="21"/>
                <w:szCs w:val="21"/>
                <w:highlight w:val="none"/>
                <w:lang w:bidi="ar"/>
              </w:rPr>
              <w:t>速率kg/h</w:t>
            </w:r>
          </w:p>
        </w:tc>
        <w:tc>
          <w:tcPr>
            <w:tcW w:w="289" w:type="pct"/>
            <w:vMerge w:val="continue"/>
            <w:noWrap w:val="0"/>
            <w:vAlign w:val="center"/>
          </w:tcPr>
          <w:p w14:paraId="6B610147">
            <w:pPr>
              <w:widowControl/>
              <w:jc w:val="center"/>
              <w:textAlignment w:val="center"/>
              <w:rPr>
                <w:b/>
                <w:bCs/>
                <w:color w:val="auto"/>
                <w:kern w:val="0"/>
                <w:sz w:val="21"/>
                <w:szCs w:val="21"/>
                <w:highlight w:val="none"/>
                <w:lang w:bidi="ar"/>
              </w:rPr>
            </w:pPr>
          </w:p>
        </w:tc>
      </w:tr>
      <w:tr w14:paraId="39DF12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restart"/>
            <w:noWrap w:val="0"/>
            <w:vAlign w:val="center"/>
          </w:tcPr>
          <w:p w14:paraId="3A51916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有组织废气</w:t>
            </w:r>
          </w:p>
        </w:tc>
        <w:tc>
          <w:tcPr>
            <w:tcW w:w="343" w:type="pct"/>
            <w:vMerge w:val="restart"/>
            <w:noWrap w:val="0"/>
            <w:vAlign w:val="center"/>
          </w:tcPr>
          <w:p w14:paraId="009F40A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注塑线</w:t>
            </w:r>
          </w:p>
          <w:p w14:paraId="348EA7FD">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注塑</w:t>
            </w:r>
          </w:p>
        </w:tc>
        <w:tc>
          <w:tcPr>
            <w:tcW w:w="344" w:type="pct"/>
            <w:noWrap w:val="0"/>
            <w:vAlign w:val="center"/>
          </w:tcPr>
          <w:p w14:paraId="7439C00A">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5" w:type="pct"/>
            <w:vMerge w:val="restart"/>
            <w:noWrap w:val="0"/>
            <w:vAlign w:val="center"/>
          </w:tcPr>
          <w:p w14:paraId="69D62048">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09" w:type="pct"/>
            <w:vMerge w:val="restart"/>
            <w:noWrap w:val="0"/>
            <w:vAlign w:val="center"/>
          </w:tcPr>
          <w:p w14:paraId="1174D617">
            <w:pPr>
              <w:keepNext w:val="0"/>
              <w:keepLines w:val="0"/>
              <w:widowControl/>
              <w:suppressLineNumbers w:val="0"/>
              <w:jc w:val="center"/>
              <w:textAlignment w:val="center"/>
              <w:rPr>
                <w:color w:val="auto"/>
                <w:sz w:val="21"/>
                <w:szCs w:val="21"/>
                <w:highlight w:val="none"/>
              </w:rPr>
            </w:pPr>
            <w:r>
              <w:rPr>
                <w:rFonts w:hint="eastAsia" w:ascii="宋体" w:hAnsi="宋体" w:eastAsia="宋体" w:cs="宋体"/>
                <w:i w:val="0"/>
                <w:iCs w:val="0"/>
                <w:color w:val="000000"/>
                <w:kern w:val="0"/>
                <w:sz w:val="21"/>
                <w:szCs w:val="21"/>
                <w:u w:val="none"/>
                <w:lang w:val="en-US" w:eastAsia="zh-CN" w:bidi="ar"/>
              </w:rPr>
              <w:t>常温</w:t>
            </w:r>
          </w:p>
        </w:tc>
        <w:tc>
          <w:tcPr>
            <w:tcW w:w="257" w:type="pct"/>
            <w:vMerge w:val="restart"/>
            <w:noWrap w:val="0"/>
            <w:vAlign w:val="center"/>
          </w:tcPr>
          <w:p w14:paraId="4E3A473B">
            <w:pPr>
              <w:keepNext w:val="0"/>
              <w:keepLines w:val="0"/>
              <w:widowControl/>
              <w:suppressLineNumbers w:val="0"/>
              <w:jc w:val="center"/>
              <w:textAlignment w:val="center"/>
              <w:rPr>
                <w:color w:val="auto"/>
                <w:sz w:val="21"/>
                <w:szCs w:val="21"/>
                <w:highlight w:val="none"/>
              </w:rPr>
            </w:pPr>
            <w:r>
              <w:rPr>
                <w:rFonts w:hint="eastAsia" w:cs="Times New Roman"/>
                <w:i w:val="0"/>
                <w:iCs w:val="0"/>
                <w:color w:val="000000"/>
                <w:kern w:val="0"/>
                <w:sz w:val="21"/>
                <w:szCs w:val="21"/>
                <w:u w:val="none"/>
                <w:lang w:val="en-US" w:eastAsia="zh-CN" w:bidi="ar"/>
              </w:rPr>
              <w:t>1</w:t>
            </w:r>
          </w:p>
        </w:tc>
        <w:tc>
          <w:tcPr>
            <w:tcW w:w="315" w:type="pct"/>
            <w:vMerge w:val="restart"/>
            <w:noWrap w:val="0"/>
            <w:vAlign w:val="center"/>
          </w:tcPr>
          <w:p w14:paraId="55735E14">
            <w:pPr>
              <w:keepNext w:val="0"/>
              <w:keepLines w:val="0"/>
              <w:widowControl/>
              <w:suppressLineNumbers w:val="0"/>
              <w:jc w:val="center"/>
              <w:textAlignment w:val="center"/>
              <w:rPr>
                <w:rFonts w:hint="default"/>
                <w:color w:val="auto"/>
                <w:sz w:val="21"/>
                <w:szCs w:val="21"/>
                <w:highlight w:val="none"/>
                <w:lang w:val="en-US"/>
              </w:rPr>
            </w:pPr>
            <w:r>
              <w:rPr>
                <w:rFonts w:hint="eastAsia" w:cs="Times New Roman"/>
                <w:i w:val="0"/>
                <w:iCs w:val="0"/>
                <w:color w:val="000000"/>
                <w:kern w:val="0"/>
                <w:sz w:val="21"/>
                <w:szCs w:val="21"/>
                <w:u w:val="none"/>
                <w:lang w:val="en-US" w:eastAsia="zh-CN" w:bidi="ar"/>
              </w:rPr>
              <w:t>4800</w:t>
            </w:r>
          </w:p>
        </w:tc>
        <w:tc>
          <w:tcPr>
            <w:tcW w:w="315" w:type="pct"/>
            <w:vMerge w:val="restart"/>
            <w:noWrap w:val="0"/>
            <w:vAlign w:val="center"/>
          </w:tcPr>
          <w:p w14:paraId="1EAC1133">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DA001</w:t>
            </w:r>
          </w:p>
        </w:tc>
        <w:tc>
          <w:tcPr>
            <w:tcW w:w="310" w:type="pct"/>
            <w:vMerge w:val="restart"/>
            <w:tcBorders>
              <w:right w:val="single" w:color="auto" w:sz="4" w:space="0"/>
            </w:tcBorders>
            <w:noWrap w:val="0"/>
            <w:vAlign w:val="center"/>
          </w:tcPr>
          <w:p w14:paraId="487D866C">
            <w:pPr>
              <w:keepNext w:val="0"/>
              <w:keepLines w:val="0"/>
              <w:widowControl/>
              <w:suppressLineNumbers w:val="0"/>
              <w:jc w:val="center"/>
              <w:textAlignment w:val="center"/>
              <w:rPr>
                <w:color w:val="auto"/>
                <w:sz w:val="21"/>
                <w:szCs w:val="21"/>
                <w:highlight w:val="none"/>
              </w:rPr>
            </w:pPr>
            <w:r>
              <w:rPr>
                <w:rFonts w:hint="eastAsia" w:ascii="宋体" w:hAnsi="宋体" w:eastAsia="宋体" w:cs="宋体"/>
                <w:i w:val="0"/>
                <w:iCs w:val="0"/>
                <w:color w:val="000000"/>
                <w:kern w:val="0"/>
                <w:sz w:val="21"/>
                <w:szCs w:val="21"/>
                <w:u w:val="none"/>
                <w:lang w:val="en-US" w:eastAsia="zh-CN" w:bidi="ar"/>
              </w:rPr>
              <w:t>一般排放口</w:t>
            </w:r>
          </w:p>
        </w:tc>
        <w:tc>
          <w:tcPr>
            <w:tcW w:w="558" w:type="pct"/>
            <w:vMerge w:val="restart"/>
            <w:tcBorders>
              <w:left w:val="single" w:color="auto" w:sz="4" w:space="0"/>
            </w:tcBorders>
            <w:noWrap w:val="0"/>
            <w:vAlign w:val="center"/>
          </w:tcPr>
          <w:p w14:paraId="45227F2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收集效率90%；处理效率90%</w:t>
            </w:r>
          </w:p>
        </w:tc>
        <w:tc>
          <w:tcPr>
            <w:tcW w:w="382" w:type="pct"/>
            <w:noWrap w:val="0"/>
            <w:vAlign w:val="center"/>
          </w:tcPr>
          <w:p w14:paraId="625E220E">
            <w:pPr>
              <w:autoSpaceDE w:val="0"/>
              <w:autoSpaceDN w:val="0"/>
              <w:adjustRightInd w:val="0"/>
              <w:snapToGrid w:val="0"/>
              <w:jc w:val="center"/>
              <w:rPr>
                <w:rFonts w:hint="default" w:eastAsia="宋体"/>
                <w:color w:val="auto"/>
                <w:sz w:val="21"/>
                <w:szCs w:val="21"/>
                <w:highlight w:val="none"/>
                <w:lang w:val="en-US" w:eastAsia="zh-CN"/>
              </w:rPr>
            </w:pPr>
            <w:r>
              <w:rPr>
                <w:rFonts w:hint="eastAsia"/>
                <w:color w:val="auto"/>
                <w:szCs w:val="21"/>
              </w:rPr>
              <w:t>0.</w:t>
            </w:r>
            <w:r>
              <w:rPr>
                <w:rFonts w:hint="eastAsia"/>
                <w:color w:val="auto"/>
                <w:szCs w:val="21"/>
                <w:lang w:val="en-US" w:eastAsia="zh-CN"/>
              </w:rPr>
              <w:t>2321</w:t>
            </w:r>
          </w:p>
        </w:tc>
        <w:tc>
          <w:tcPr>
            <w:tcW w:w="407" w:type="pct"/>
            <w:noWrap w:val="0"/>
            <w:vAlign w:val="center"/>
          </w:tcPr>
          <w:p w14:paraId="4B82B1F0">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0.0013</w:t>
            </w:r>
          </w:p>
        </w:tc>
        <w:tc>
          <w:tcPr>
            <w:tcW w:w="348" w:type="pct"/>
            <w:noWrap w:val="0"/>
            <w:vAlign w:val="center"/>
          </w:tcPr>
          <w:p w14:paraId="4A75BE1D">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0.0061</w:t>
            </w:r>
          </w:p>
        </w:tc>
        <w:tc>
          <w:tcPr>
            <w:tcW w:w="298" w:type="pct"/>
            <w:noWrap w:val="0"/>
            <w:vAlign w:val="center"/>
          </w:tcPr>
          <w:p w14:paraId="2673CBB5">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255" w:type="pct"/>
            <w:noWrap w:val="0"/>
            <w:vAlign w:val="center"/>
          </w:tcPr>
          <w:p w14:paraId="6AC741BE">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3.4</w:t>
            </w:r>
          </w:p>
        </w:tc>
        <w:tc>
          <w:tcPr>
            <w:tcW w:w="289" w:type="pct"/>
            <w:noWrap w:val="0"/>
            <w:vAlign w:val="center"/>
          </w:tcPr>
          <w:p w14:paraId="7A837B0A">
            <w:pPr>
              <w:keepNext w:val="0"/>
              <w:keepLines w:val="0"/>
              <w:widowControl/>
              <w:suppressLineNumbers w:val="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达标</w:t>
            </w:r>
          </w:p>
        </w:tc>
      </w:tr>
      <w:tr w14:paraId="776F39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48983F4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2B834732">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344" w:type="pct"/>
            <w:noWrap w:val="0"/>
            <w:vAlign w:val="center"/>
          </w:tcPr>
          <w:p w14:paraId="4780D108">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丙烯腈</w:t>
            </w:r>
          </w:p>
        </w:tc>
        <w:tc>
          <w:tcPr>
            <w:tcW w:w="175" w:type="pct"/>
            <w:vMerge w:val="continue"/>
            <w:noWrap w:val="0"/>
            <w:vAlign w:val="center"/>
          </w:tcPr>
          <w:p w14:paraId="7B44AC1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noWrap w:val="0"/>
            <w:vAlign w:val="center"/>
          </w:tcPr>
          <w:p w14:paraId="2A1DFB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noWrap w:val="0"/>
            <w:vAlign w:val="center"/>
          </w:tcPr>
          <w:p w14:paraId="73AF0426">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315" w:type="pct"/>
            <w:vMerge w:val="continue"/>
            <w:noWrap w:val="0"/>
            <w:vAlign w:val="center"/>
          </w:tcPr>
          <w:p w14:paraId="0E5A37BA">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315" w:type="pct"/>
            <w:vMerge w:val="continue"/>
            <w:noWrap w:val="0"/>
            <w:vAlign w:val="center"/>
          </w:tcPr>
          <w:p w14:paraId="1A41C3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0" w:type="pct"/>
            <w:vMerge w:val="continue"/>
            <w:tcBorders>
              <w:right w:val="single" w:color="auto" w:sz="4" w:space="0"/>
            </w:tcBorders>
            <w:noWrap w:val="0"/>
            <w:vAlign w:val="center"/>
          </w:tcPr>
          <w:p w14:paraId="7CF9EEA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tcBorders>
            <w:noWrap w:val="0"/>
            <w:vAlign w:val="center"/>
          </w:tcPr>
          <w:p w14:paraId="6D92CD8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128FF71E">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Cs w:val="21"/>
              </w:rPr>
              <w:t>0.0</w:t>
            </w:r>
            <w:r>
              <w:rPr>
                <w:rFonts w:hint="eastAsia"/>
                <w:color w:val="auto"/>
                <w:szCs w:val="21"/>
                <w:lang w:val="en-US" w:eastAsia="zh-CN"/>
              </w:rPr>
              <w:t>017</w:t>
            </w:r>
          </w:p>
        </w:tc>
        <w:tc>
          <w:tcPr>
            <w:tcW w:w="407" w:type="pct"/>
            <w:noWrap w:val="0"/>
            <w:vAlign w:val="center"/>
          </w:tcPr>
          <w:p w14:paraId="3F686B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Cs w:val="21"/>
                <w:lang w:val="en-US" w:eastAsia="zh-CN"/>
              </w:rPr>
              <w:t>9.62</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6</w:t>
            </w:r>
          </w:p>
        </w:tc>
        <w:tc>
          <w:tcPr>
            <w:tcW w:w="348" w:type="pct"/>
            <w:noWrap w:val="0"/>
            <w:vAlign w:val="center"/>
          </w:tcPr>
          <w:p w14:paraId="29F9D5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4.6</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5</w:t>
            </w:r>
          </w:p>
        </w:tc>
        <w:tc>
          <w:tcPr>
            <w:tcW w:w="298" w:type="pct"/>
            <w:noWrap w:val="0"/>
            <w:vAlign w:val="center"/>
          </w:tcPr>
          <w:p w14:paraId="0C035839">
            <w:pPr>
              <w:keepNext w:val="0"/>
              <w:keepLines w:val="0"/>
              <w:widowControl/>
              <w:suppressLineNumbers w:val="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0.5</w:t>
            </w:r>
          </w:p>
        </w:tc>
        <w:tc>
          <w:tcPr>
            <w:tcW w:w="255" w:type="pct"/>
            <w:noWrap w:val="0"/>
            <w:vAlign w:val="center"/>
          </w:tcPr>
          <w:p w14:paraId="4111681C">
            <w:pPr>
              <w:keepNext w:val="0"/>
              <w:keepLines w:val="0"/>
              <w:widowControl/>
              <w:suppressLineNumbers w:val="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289" w:type="pct"/>
            <w:noWrap w:val="0"/>
            <w:vAlign w:val="center"/>
          </w:tcPr>
          <w:p w14:paraId="40605AC9">
            <w:pPr>
              <w:keepNext w:val="0"/>
              <w:keepLines w:val="0"/>
              <w:widowControl/>
              <w:suppressLineNumbers w:val="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达标</w:t>
            </w:r>
          </w:p>
        </w:tc>
      </w:tr>
      <w:tr w14:paraId="5844FE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4D2F3DF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076BF897">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344" w:type="pct"/>
            <w:noWrap w:val="0"/>
            <w:vAlign w:val="center"/>
          </w:tcPr>
          <w:p w14:paraId="5EB513E3">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rPr>
              <w:t>苯乙烯</w:t>
            </w:r>
          </w:p>
        </w:tc>
        <w:tc>
          <w:tcPr>
            <w:tcW w:w="175" w:type="pct"/>
            <w:vMerge w:val="continue"/>
            <w:noWrap w:val="0"/>
            <w:vAlign w:val="center"/>
          </w:tcPr>
          <w:p w14:paraId="0C91AE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noWrap w:val="0"/>
            <w:vAlign w:val="center"/>
          </w:tcPr>
          <w:p w14:paraId="27DFCBC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noWrap w:val="0"/>
            <w:vAlign w:val="center"/>
          </w:tcPr>
          <w:p w14:paraId="1EF7BDE4">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315" w:type="pct"/>
            <w:vMerge w:val="continue"/>
            <w:noWrap w:val="0"/>
            <w:vAlign w:val="center"/>
          </w:tcPr>
          <w:p w14:paraId="32365E9F">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315" w:type="pct"/>
            <w:vMerge w:val="continue"/>
            <w:noWrap w:val="0"/>
            <w:vAlign w:val="center"/>
          </w:tcPr>
          <w:p w14:paraId="6AAE918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0" w:type="pct"/>
            <w:vMerge w:val="continue"/>
            <w:tcBorders>
              <w:right w:val="single" w:color="auto" w:sz="4" w:space="0"/>
            </w:tcBorders>
            <w:noWrap w:val="0"/>
            <w:vAlign w:val="center"/>
          </w:tcPr>
          <w:p w14:paraId="7D2E818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tcBorders>
            <w:noWrap w:val="0"/>
            <w:vAlign w:val="center"/>
          </w:tcPr>
          <w:p w14:paraId="6730C2A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7404A49A">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Cs w:val="21"/>
              </w:rPr>
              <w:t>0.0</w:t>
            </w:r>
            <w:r>
              <w:rPr>
                <w:rFonts w:hint="eastAsia"/>
                <w:color w:val="auto"/>
                <w:szCs w:val="21"/>
                <w:lang w:val="en-US" w:eastAsia="zh-CN"/>
              </w:rPr>
              <w:t>357</w:t>
            </w:r>
          </w:p>
        </w:tc>
        <w:tc>
          <w:tcPr>
            <w:tcW w:w="407" w:type="pct"/>
            <w:noWrap w:val="0"/>
            <w:vAlign w:val="center"/>
          </w:tcPr>
          <w:p w14:paraId="51C5CA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Cs w:val="21"/>
                <w:lang w:val="en-US" w:eastAsia="zh-CN"/>
              </w:rPr>
              <w:t>0.0002</w:t>
            </w:r>
          </w:p>
        </w:tc>
        <w:tc>
          <w:tcPr>
            <w:tcW w:w="348" w:type="pct"/>
            <w:noWrap w:val="0"/>
            <w:vAlign w:val="center"/>
          </w:tcPr>
          <w:p w14:paraId="6B1222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0.00103</w:t>
            </w:r>
          </w:p>
        </w:tc>
        <w:tc>
          <w:tcPr>
            <w:tcW w:w="298" w:type="pct"/>
            <w:noWrap w:val="0"/>
            <w:vAlign w:val="center"/>
          </w:tcPr>
          <w:p w14:paraId="2FF694DC">
            <w:pPr>
              <w:keepNext w:val="0"/>
              <w:keepLines w:val="0"/>
              <w:widowControl/>
              <w:suppressLineNumbers w:val="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255" w:type="pct"/>
            <w:noWrap w:val="0"/>
            <w:vAlign w:val="center"/>
          </w:tcPr>
          <w:p w14:paraId="590D637C">
            <w:pPr>
              <w:keepNext w:val="0"/>
              <w:keepLines w:val="0"/>
              <w:widowControl/>
              <w:suppressLineNumbers w:val="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0.7</w:t>
            </w:r>
          </w:p>
        </w:tc>
        <w:tc>
          <w:tcPr>
            <w:tcW w:w="289" w:type="pct"/>
            <w:noWrap w:val="0"/>
            <w:vAlign w:val="center"/>
          </w:tcPr>
          <w:p w14:paraId="59B0E6CE">
            <w:pPr>
              <w:keepNext w:val="0"/>
              <w:keepLines w:val="0"/>
              <w:widowControl/>
              <w:suppressLineNumbers w:val="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达标</w:t>
            </w:r>
          </w:p>
        </w:tc>
      </w:tr>
      <w:tr w14:paraId="65AE10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45CEEA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151EF42F">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344" w:type="pct"/>
            <w:noWrap w:val="0"/>
            <w:vAlign w:val="center"/>
          </w:tcPr>
          <w:p w14:paraId="6215009C">
            <w:pPr>
              <w:autoSpaceDE w:val="0"/>
              <w:autoSpaceDN w:val="0"/>
              <w:adjustRightInd w:val="0"/>
              <w:snapToGrid w:val="0"/>
              <w:jc w:val="center"/>
              <w:rPr>
                <w:rFonts w:hint="default" w:eastAsia="宋体"/>
                <w:szCs w:val="21"/>
                <w:lang w:val="en-US" w:eastAsia="zh-CN"/>
              </w:rPr>
            </w:pPr>
            <w:r>
              <w:rPr>
                <w:rFonts w:hint="eastAsia"/>
                <w:szCs w:val="21"/>
                <w:lang w:val="en-US" w:eastAsia="zh-CN"/>
              </w:rPr>
              <w:t>颗粒物</w:t>
            </w:r>
          </w:p>
        </w:tc>
        <w:tc>
          <w:tcPr>
            <w:tcW w:w="175" w:type="pct"/>
            <w:vMerge w:val="continue"/>
            <w:noWrap w:val="0"/>
            <w:vAlign w:val="center"/>
          </w:tcPr>
          <w:p w14:paraId="32370B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noWrap w:val="0"/>
            <w:vAlign w:val="center"/>
          </w:tcPr>
          <w:p w14:paraId="6CDC52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noWrap w:val="0"/>
            <w:vAlign w:val="center"/>
          </w:tcPr>
          <w:p w14:paraId="03D68628">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315" w:type="pct"/>
            <w:vMerge w:val="continue"/>
            <w:noWrap w:val="0"/>
            <w:vAlign w:val="center"/>
          </w:tcPr>
          <w:p w14:paraId="70841CE3">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315" w:type="pct"/>
            <w:vMerge w:val="continue"/>
            <w:noWrap w:val="0"/>
            <w:vAlign w:val="center"/>
          </w:tcPr>
          <w:p w14:paraId="50000D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0" w:type="pct"/>
            <w:vMerge w:val="continue"/>
            <w:tcBorders>
              <w:right w:val="single" w:color="auto" w:sz="4" w:space="0"/>
            </w:tcBorders>
            <w:noWrap w:val="0"/>
            <w:vAlign w:val="center"/>
          </w:tcPr>
          <w:p w14:paraId="22641C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tcBorders>
            <w:noWrap w:val="0"/>
            <w:vAlign w:val="center"/>
          </w:tcPr>
          <w:p w14:paraId="5525DB8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29EF188C">
            <w:pPr>
              <w:autoSpaceDE w:val="0"/>
              <w:autoSpaceDN w:val="0"/>
              <w:adjustRightInd w:val="0"/>
              <w:snapToGrid w:val="0"/>
              <w:jc w:val="center"/>
              <w:rPr>
                <w:rFonts w:hint="default" w:eastAsia="宋体"/>
                <w:color w:val="auto"/>
                <w:szCs w:val="21"/>
                <w:lang w:val="en-US" w:eastAsia="zh-CN"/>
              </w:rPr>
            </w:pPr>
            <w:r>
              <w:rPr>
                <w:rFonts w:hint="eastAsia"/>
                <w:color w:val="auto"/>
                <w:szCs w:val="21"/>
                <w:lang w:val="en-US" w:eastAsia="zh-CN"/>
              </w:rPr>
              <w:t>0.6253</w:t>
            </w:r>
          </w:p>
        </w:tc>
        <w:tc>
          <w:tcPr>
            <w:tcW w:w="407" w:type="pct"/>
            <w:noWrap w:val="0"/>
            <w:vAlign w:val="center"/>
          </w:tcPr>
          <w:p w14:paraId="7F9F712C">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0.0008</w:t>
            </w:r>
          </w:p>
        </w:tc>
        <w:tc>
          <w:tcPr>
            <w:tcW w:w="348" w:type="pct"/>
            <w:noWrap w:val="0"/>
            <w:vAlign w:val="center"/>
          </w:tcPr>
          <w:p w14:paraId="1445262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9.6</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6</w:t>
            </w:r>
          </w:p>
        </w:tc>
        <w:tc>
          <w:tcPr>
            <w:tcW w:w="298" w:type="pct"/>
            <w:noWrap w:val="0"/>
            <w:vAlign w:val="center"/>
          </w:tcPr>
          <w:p w14:paraId="3E6FE096">
            <w:pPr>
              <w:keepNext w:val="0"/>
              <w:keepLines w:val="0"/>
              <w:widowControl/>
              <w:suppressLineNumbers w:val="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120</w:t>
            </w:r>
          </w:p>
        </w:tc>
        <w:tc>
          <w:tcPr>
            <w:tcW w:w="255" w:type="pct"/>
            <w:noWrap w:val="0"/>
            <w:vAlign w:val="center"/>
          </w:tcPr>
          <w:p w14:paraId="2C942493">
            <w:pPr>
              <w:keepNext w:val="0"/>
              <w:keepLines w:val="0"/>
              <w:widowControl/>
              <w:suppressLineNumbers w:val="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3.5</w:t>
            </w:r>
          </w:p>
        </w:tc>
        <w:tc>
          <w:tcPr>
            <w:tcW w:w="289" w:type="pct"/>
            <w:noWrap w:val="0"/>
            <w:vAlign w:val="center"/>
          </w:tcPr>
          <w:p w14:paraId="42A45053">
            <w:pPr>
              <w:keepNext w:val="0"/>
              <w:keepLines w:val="0"/>
              <w:widowControl/>
              <w:suppressLineNumbers w:val="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达标</w:t>
            </w:r>
          </w:p>
        </w:tc>
      </w:tr>
      <w:tr w14:paraId="37C006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4B2A6F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restart"/>
            <w:noWrap w:val="0"/>
            <w:vAlign w:val="center"/>
          </w:tcPr>
          <w:p w14:paraId="4B80506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szCs w:val="21"/>
                <w:lang w:val="en-US" w:eastAsia="zh-CN"/>
              </w:rPr>
              <w:t>1#喷涂生产线</w:t>
            </w:r>
          </w:p>
        </w:tc>
        <w:tc>
          <w:tcPr>
            <w:tcW w:w="344" w:type="pct"/>
            <w:noWrap w:val="0"/>
            <w:vAlign w:val="center"/>
          </w:tcPr>
          <w:p w14:paraId="5558A4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5" w:type="pct"/>
            <w:vMerge w:val="restart"/>
            <w:noWrap w:val="0"/>
            <w:vAlign w:val="center"/>
          </w:tcPr>
          <w:p w14:paraId="114F06F1">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09" w:type="pct"/>
            <w:vMerge w:val="restart"/>
            <w:noWrap w:val="0"/>
            <w:vAlign w:val="center"/>
          </w:tcPr>
          <w:p w14:paraId="49CDFF72">
            <w:pPr>
              <w:keepNext w:val="0"/>
              <w:keepLines w:val="0"/>
              <w:widowControl/>
              <w:suppressLineNumbers w:val="0"/>
              <w:jc w:val="center"/>
              <w:textAlignment w:val="center"/>
              <w:rPr>
                <w:color w:val="auto"/>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常温</w:t>
            </w:r>
          </w:p>
        </w:tc>
        <w:tc>
          <w:tcPr>
            <w:tcW w:w="257" w:type="pct"/>
            <w:vMerge w:val="restart"/>
            <w:noWrap w:val="0"/>
            <w:vAlign w:val="center"/>
          </w:tcPr>
          <w:p w14:paraId="56F13C68">
            <w:pPr>
              <w:keepNext w:val="0"/>
              <w:keepLines w:val="0"/>
              <w:widowControl/>
              <w:suppressLineNumbers w:val="0"/>
              <w:jc w:val="center"/>
              <w:textAlignment w:val="center"/>
              <w:rPr>
                <w:color w:val="auto"/>
                <w:kern w:val="0"/>
                <w:sz w:val="21"/>
                <w:szCs w:val="21"/>
                <w:highlight w:val="none"/>
                <w:lang w:bidi="ar"/>
              </w:rPr>
            </w:pPr>
            <w:r>
              <w:rPr>
                <w:rFonts w:hint="eastAsia" w:cs="Times New Roman"/>
                <w:i w:val="0"/>
                <w:iCs w:val="0"/>
                <w:color w:val="000000"/>
                <w:kern w:val="0"/>
                <w:sz w:val="21"/>
                <w:szCs w:val="21"/>
                <w:u w:val="none"/>
                <w:lang w:val="en-US" w:eastAsia="zh-CN" w:bidi="ar"/>
              </w:rPr>
              <w:t>1</w:t>
            </w:r>
          </w:p>
        </w:tc>
        <w:tc>
          <w:tcPr>
            <w:tcW w:w="315" w:type="pct"/>
            <w:vMerge w:val="restart"/>
            <w:noWrap w:val="0"/>
            <w:vAlign w:val="center"/>
          </w:tcPr>
          <w:p w14:paraId="1050769B">
            <w:pPr>
              <w:keepNext w:val="0"/>
              <w:keepLines w:val="0"/>
              <w:widowControl/>
              <w:suppressLineNumbers w:val="0"/>
              <w:jc w:val="center"/>
              <w:textAlignment w:val="center"/>
              <w:rPr>
                <w:rFonts w:hint="eastAsia"/>
                <w:color w:val="auto"/>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2112</w:t>
            </w:r>
          </w:p>
        </w:tc>
        <w:tc>
          <w:tcPr>
            <w:tcW w:w="315" w:type="pct"/>
            <w:vMerge w:val="restart"/>
            <w:shd w:val="clear" w:color="auto" w:fill="auto"/>
            <w:noWrap w:val="0"/>
            <w:vAlign w:val="center"/>
          </w:tcPr>
          <w:p w14:paraId="5EEBEBE7">
            <w:pPr>
              <w:autoSpaceDE w:val="0"/>
              <w:autoSpaceDN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DA00</w:t>
            </w:r>
            <w:r>
              <w:rPr>
                <w:rFonts w:hint="eastAsia" w:cs="Times New Roman"/>
                <w:i w:val="0"/>
                <w:iCs w:val="0"/>
                <w:color w:val="000000"/>
                <w:kern w:val="0"/>
                <w:sz w:val="21"/>
                <w:szCs w:val="21"/>
                <w:u w:val="none"/>
                <w:lang w:val="en-US" w:eastAsia="zh-CN" w:bidi="ar"/>
              </w:rPr>
              <w:t>2</w:t>
            </w:r>
          </w:p>
        </w:tc>
        <w:tc>
          <w:tcPr>
            <w:tcW w:w="310" w:type="pct"/>
            <w:vMerge w:val="restart"/>
            <w:tcBorders>
              <w:right w:val="single" w:color="auto" w:sz="4" w:space="0"/>
            </w:tcBorders>
            <w:noWrap w:val="0"/>
            <w:vAlign w:val="center"/>
          </w:tcPr>
          <w:p w14:paraId="40C24534">
            <w:pPr>
              <w:keepNext w:val="0"/>
              <w:keepLines w:val="0"/>
              <w:widowControl/>
              <w:suppressLineNumbers w:val="0"/>
              <w:jc w:val="center"/>
              <w:textAlignment w:val="center"/>
              <w:rPr>
                <w:color w:val="auto"/>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一般排放口</w:t>
            </w:r>
          </w:p>
        </w:tc>
        <w:tc>
          <w:tcPr>
            <w:tcW w:w="558" w:type="pct"/>
            <w:vMerge w:val="restart"/>
            <w:tcBorders>
              <w:left w:val="single" w:color="auto" w:sz="4" w:space="0"/>
            </w:tcBorders>
            <w:noWrap w:val="0"/>
            <w:vAlign w:val="center"/>
          </w:tcPr>
          <w:p w14:paraId="32AC214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收集效率9</w:t>
            </w:r>
            <w:r>
              <w:rPr>
                <w:rFonts w:hint="eastAsia" w:cs="Times New Roman"/>
                <w:i w:val="0"/>
                <w:iCs w:val="0"/>
                <w:color w:val="000000"/>
                <w:kern w:val="0"/>
                <w:sz w:val="21"/>
                <w:szCs w:val="21"/>
                <w:u w:val="none"/>
                <w:lang w:val="en-US" w:eastAsia="zh-CN" w:bidi="ar"/>
              </w:rPr>
              <w:t>5</w:t>
            </w:r>
            <w:r>
              <w:rPr>
                <w:rFonts w:hint="default" w:ascii="Times New Roman" w:hAnsi="Times New Roman" w:cs="Times New Roman"/>
                <w:i w:val="0"/>
                <w:iCs w:val="0"/>
                <w:color w:val="000000"/>
                <w:kern w:val="0"/>
                <w:sz w:val="21"/>
                <w:szCs w:val="21"/>
                <w:u w:val="none"/>
                <w:lang w:val="en-US" w:eastAsia="zh-CN" w:bidi="ar"/>
              </w:rPr>
              <w:t>%；处理效率90%</w:t>
            </w:r>
          </w:p>
        </w:tc>
        <w:tc>
          <w:tcPr>
            <w:tcW w:w="382" w:type="pct"/>
            <w:noWrap w:val="0"/>
            <w:vAlign w:val="center"/>
          </w:tcPr>
          <w:p w14:paraId="39A45B89">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0.5696</w:t>
            </w:r>
          </w:p>
        </w:tc>
        <w:tc>
          <w:tcPr>
            <w:tcW w:w="407" w:type="pct"/>
            <w:noWrap w:val="0"/>
            <w:vAlign w:val="center"/>
          </w:tcPr>
          <w:p w14:paraId="4B045130">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0.0243</w:t>
            </w:r>
          </w:p>
        </w:tc>
        <w:tc>
          <w:tcPr>
            <w:tcW w:w="348" w:type="pct"/>
            <w:noWrap w:val="0"/>
            <w:vAlign w:val="center"/>
          </w:tcPr>
          <w:p w14:paraId="443BE95D">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116.47</w:t>
            </w:r>
          </w:p>
        </w:tc>
        <w:tc>
          <w:tcPr>
            <w:tcW w:w="298" w:type="pct"/>
            <w:noWrap w:val="0"/>
            <w:vAlign w:val="center"/>
          </w:tcPr>
          <w:p w14:paraId="70B8A0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highlight w:val="none"/>
                <w:lang w:val="en-US" w:eastAsia="zh-CN"/>
              </w:rPr>
              <w:t>60</w:t>
            </w:r>
          </w:p>
        </w:tc>
        <w:tc>
          <w:tcPr>
            <w:tcW w:w="255" w:type="pct"/>
            <w:noWrap w:val="0"/>
            <w:vAlign w:val="center"/>
          </w:tcPr>
          <w:p w14:paraId="241449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21"/>
                <w:highlight w:val="none"/>
                <w:lang w:val="en-US" w:eastAsia="zh-CN"/>
              </w:rPr>
              <w:t>3.4</w:t>
            </w:r>
          </w:p>
        </w:tc>
        <w:tc>
          <w:tcPr>
            <w:tcW w:w="289" w:type="pct"/>
            <w:noWrap w:val="0"/>
            <w:vAlign w:val="center"/>
          </w:tcPr>
          <w:p w14:paraId="3D1AC82B">
            <w:pPr>
              <w:keepNext w:val="0"/>
              <w:keepLines w:val="0"/>
              <w:widowControl/>
              <w:suppressLineNumbers w:val="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达标</w:t>
            </w:r>
          </w:p>
        </w:tc>
      </w:tr>
      <w:tr w14:paraId="521975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7C28DFD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098AD167">
            <w:pPr>
              <w:keepNext w:val="0"/>
              <w:keepLines w:val="0"/>
              <w:widowControl/>
              <w:suppressLineNumbers w:val="0"/>
              <w:jc w:val="center"/>
              <w:textAlignment w:val="center"/>
              <w:rPr>
                <w:rFonts w:hint="eastAsia"/>
                <w:szCs w:val="21"/>
                <w:lang w:val="en-US" w:eastAsia="zh-CN"/>
              </w:rPr>
            </w:pPr>
          </w:p>
        </w:tc>
        <w:tc>
          <w:tcPr>
            <w:tcW w:w="344" w:type="pct"/>
            <w:noWrap w:val="0"/>
            <w:vAlign w:val="center"/>
          </w:tcPr>
          <w:p w14:paraId="4664AF8B">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rPr>
              <w:t>二甲苯</w:t>
            </w:r>
          </w:p>
        </w:tc>
        <w:tc>
          <w:tcPr>
            <w:tcW w:w="175" w:type="pct"/>
            <w:vMerge w:val="continue"/>
            <w:noWrap w:val="0"/>
            <w:vAlign w:val="center"/>
          </w:tcPr>
          <w:p w14:paraId="0C355E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noWrap w:val="0"/>
            <w:vAlign w:val="center"/>
          </w:tcPr>
          <w:p w14:paraId="734B55D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noWrap w:val="0"/>
            <w:vAlign w:val="center"/>
          </w:tcPr>
          <w:p w14:paraId="5545CE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noWrap w:val="0"/>
            <w:vAlign w:val="center"/>
          </w:tcPr>
          <w:p w14:paraId="46DCB7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shd w:val="clear" w:color="auto" w:fill="auto"/>
            <w:noWrap w:val="0"/>
            <w:vAlign w:val="center"/>
          </w:tcPr>
          <w:p w14:paraId="56B8548F">
            <w:pPr>
              <w:autoSpaceDE w:val="0"/>
              <w:autoSpaceDN w:val="0"/>
              <w:adjustRightInd w:val="0"/>
              <w:snapToGrid w:val="0"/>
              <w:jc w:val="center"/>
              <w:rPr>
                <w:rFonts w:hint="default"/>
                <w:szCs w:val="21"/>
                <w:lang w:val="en-US"/>
              </w:rPr>
            </w:pPr>
          </w:p>
        </w:tc>
        <w:tc>
          <w:tcPr>
            <w:tcW w:w="310" w:type="pct"/>
            <w:vMerge w:val="continue"/>
            <w:tcBorders>
              <w:right w:val="single" w:color="auto" w:sz="4" w:space="0"/>
            </w:tcBorders>
            <w:noWrap w:val="0"/>
            <w:vAlign w:val="center"/>
          </w:tcPr>
          <w:p w14:paraId="6D95697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tcBorders>
            <w:noWrap w:val="0"/>
            <w:vAlign w:val="center"/>
          </w:tcPr>
          <w:p w14:paraId="205F2E0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2071CC4E">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0.0139</w:t>
            </w:r>
          </w:p>
        </w:tc>
        <w:tc>
          <w:tcPr>
            <w:tcW w:w="407" w:type="pct"/>
            <w:noWrap w:val="0"/>
            <w:vAlign w:val="center"/>
          </w:tcPr>
          <w:p w14:paraId="621781EA">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0.0006</w:t>
            </w:r>
          </w:p>
        </w:tc>
        <w:tc>
          <w:tcPr>
            <w:tcW w:w="348" w:type="pct"/>
            <w:noWrap w:val="0"/>
            <w:vAlign w:val="center"/>
          </w:tcPr>
          <w:p w14:paraId="54AFA074">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2.85</w:t>
            </w:r>
          </w:p>
        </w:tc>
        <w:tc>
          <w:tcPr>
            <w:tcW w:w="298" w:type="pct"/>
            <w:noWrap w:val="0"/>
            <w:vAlign w:val="center"/>
          </w:tcPr>
          <w:p w14:paraId="14EB3C86">
            <w:pPr>
              <w:adjustRightInd w:val="0"/>
              <w:snapToGrid w:val="0"/>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bCs/>
                <w:szCs w:val="21"/>
                <w:lang w:val="en-US" w:eastAsia="zh-CN"/>
              </w:rPr>
              <w:t>15</w:t>
            </w:r>
          </w:p>
        </w:tc>
        <w:tc>
          <w:tcPr>
            <w:tcW w:w="255" w:type="pct"/>
            <w:noWrap w:val="0"/>
            <w:vAlign w:val="center"/>
          </w:tcPr>
          <w:p w14:paraId="724D72E7">
            <w:pPr>
              <w:pStyle w:val="84"/>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bCs/>
                <w:szCs w:val="21"/>
                <w:lang w:val="en-US" w:eastAsia="zh-CN"/>
              </w:rPr>
              <w:t>0.9</w:t>
            </w:r>
          </w:p>
        </w:tc>
        <w:tc>
          <w:tcPr>
            <w:tcW w:w="289" w:type="pct"/>
            <w:noWrap w:val="0"/>
            <w:vAlign w:val="center"/>
          </w:tcPr>
          <w:p w14:paraId="362009ED">
            <w:pPr>
              <w:adjustRightInd w:val="0"/>
              <w:snapToGrid w:val="0"/>
              <w:jc w:val="center"/>
              <w:rPr>
                <w:rFonts w:hint="eastAsia"/>
                <w:bCs/>
                <w:szCs w:val="21"/>
                <w:lang w:val="en-US" w:eastAsia="zh-CN"/>
              </w:rPr>
            </w:pPr>
            <w:r>
              <w:rPr>
                <w:rFonts w:hint="eastAsia"/>
                <w:color w:val="auto"/>
                <w:sz w:val="21"/>
                <w:szCs w:val="21"/>
                <w:highlight w:val="none"/>
                <w:lang w:val="en-US" w:eastAsia="zh-CN"/>
              </w:rPr>
              <w:t>达标</w:t>
            </w:r>
          </w:p>
        </w:tc>
      </w:tr>
      <w:tr w14:paraId="71FD90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055D54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279AC8AF">
            <w:pPr>
              <w:keepNext w:val="0"/>
              <w:keepLines w:val="0"/>
              <w:widowControl/>
              <w:suppressLineNumbers w:val="0"/>
              <w:jc w:val="center"/>
              <w:textAlignment w:val="center"/>
              <w:rPr>
                <w:rFonts w:hint="eastAsia"/>
                <w:szCs w:val="21"/>
                <w:lang w:val="en-US" w:eastAsia="zh-CN"/>
              </w:rPr>
            </w:pPr>
          </w:p>
        </w:tc>
        <w:tc>
          <w:tcPr>
            <w:tcW w:w="344" w:type="pct"/>
            <w:noWrap w:val="0"/>
            <w:vAlign w:val="center"/>
          </w:tcPr>
          <w:p w14:paraId="2BA901CC">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rPr>
              <w:t>乙苯</w:t>
            </w:r>
          </w:p>
        </w:tc>
        <w:tc>
          <w:tcPr>
            <w:tcW w:w="175" w:type="pct"/>
            <w:vMerge w:val="continue"/>
            <w:noWrap w:val="0"/>
            <w:vAlign w:val="center"/>
          </w:tcPr>
          <w:p w14:paraId="1164A6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noWrap w:val="0"/>
            <w:vAlign w:val="center"/>
          </w:tcPr>
          <w:p w14:paraId="19D67D4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noWrap w:val="0"/>
            <w:vAlign w:val="center"/>
          </w:tcPr>
          <w:p w14:paraId="35ECC0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noWrap w:val="0"/>
            <w:vAlign w:val="center"/>
          </w:tcPr>
          <w:p w14:paraId="69DC71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shd w:val="clear" w:color="auto" w:fill="auto"/>
            <w:noWrap w:val="0"/>
            <w:vAlign w:val="center"/>
          </w:tcPr>
          <w:p w14:paraId="0651513A">
            <w:pPr>
              <w:autoSpaceDE w:val="0"/>
              <w:autoSpaceDN w:val="0"/>
              <w:adjustRightInd w:val="0"/>
              <w:snapToGrid w:val="0"/>
              <w:jc w:val="center"/>
              <w:rPr>
                <w:rFonts w:hint="default"/>
                <w:szCs w:val="21"/>
                <w:lang w:val="en-US"/>
              </w:rPr>
            </w:pPr>
          </w:p>
        </w:tc>
        <w:tc>
          <w:tcPr>
            <w:tcW w:w="310" w:type="pct"/>
            <w:vMerge w:val="continue"/>
            <w:tcBorders>
              <w:right w:val="single" w:color="auto" w:sz="4" w:space="0"/>
            </w:tcBorders>
            <w:noWrap w:val="0"/>
            <w:vAlign w:val="center"/>
          </w:tcPr>
          <w:p w14:paraId="5103B87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tcBorders>
            <w:noWrap w:val="0"/>
            <w:vAlign w:val="center"/>
          </w:tcPr>
          <w:p w14:paraId="6CFCBBF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284879D7">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0.0021</w:t>
            </w:r>
          </w:p>
        </w:tc>
        <w:tc>
          <w:tcPr>
            <w:tcW w:w="407" w:type="pct"/>
            <w:noWrap w:val="0"/>
            <w:vAlign w:val="center"/>
          </w:tcPr>
          <w:p w14:paraId="47C12A17">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0.00009</w:t>
            </w:r>
          </w:p>
        </w:tc>
        <w:tc>
          <w:tcPr>
            <w:tcW w:w="348" w:type="pct"/>
            <w:noWrap w:val="0"/>
            <w:vAlign w:val="center"/>
          </w:tcPr>
          <w:p w14:paraId="37685E57">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0.43</w:t>
            </w:r>
          </w:p>
        </w:tc>
        <w:tc>
          <w:tcPr>
            <w:tcW w:w="298" w:type="pct"/>
            <w:noWrap w:val="0"/>
            <w:vAlign w:val="center"/>
          </w:tcPr>
          <w:p w14:paraId="2B19EF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w:t>
            </w:r>
          </w:p>
        </w:tc>
        <w:tc>
          <w:tcPr>
            <w:tcW w:w="255" w:type="pct"/>
            <w:noWrap w:val="0"/>
            <w:vAlign w:val="center"/>
          </w:tcPr>
          <w:p w14:paraId="1A381B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w:t>
            </w:r>
          </w:p>
        </w:tc>
        <w:tc>
          <w:tcPr>
            <w:tcW w:w="289" w:type="pct"/>
            <w:noWrap w:val="0"/>
            <w:vAlign w:val="center"/>
          </w:tcPr>
          <w:p w14:paraId="019F8DFA">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30180E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13DC86E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1C924474">
            <w:pPr>
              <w:keepNext w:val="0"/>
              <w:keepLines w:val="0"/>
              <w:widowControl/>
              <w:suppressLineNumbers w:val="0"/>
              <w:jc w:val="center"/>
              <w:textAlignment w:val="center"/>
              <w:rPr>
                <w:rFonts w:hint="eastAsia"/>
                <w:szCs w:val="21"/>
                <w:lang w:val="en-US" w:eastAsia="zh-CN"/>
              </w:rPr>
            </w:pPr>
          </w:p>
        </w:tc>
        <w:tc>
          <w:tcPr>
            <w:tcW w:w="344" w:type="pct"/>
            <w:noWrap w:val="0"/>
            <w:vAlign w:val="center"/>
          </w:tcPr>
          <w:p w14:paraId="00A7BFC3">
            <w:pPr>
              <w:autoSpaceDE w:val="0"/>
              <w:autoSpaceDN w:val="0"/>
              <w:adjustRightInd w:val="0"/>
              <w:snapToGrid w:val="0"/>
              <w:jc w:val="center"/>
              <w:rPr>
                <w:rFonts w:hint="eastAsia" w:eastAsia="宋体"/>
                <w:szCs w:val="21"/>
                <w:lang w:val="en-US" w:eastAsia="zh-CN"/>
              </w:rPr>
            </w:pPr>
            <w:r>
              <w:rPr>
                <w:rFonts w:hint="eastAsia"/>
                <w:szCs w:val="21"/>
                <w:lang w:val="en-US" w:eastAsia="zh-CN"/>
              </w:rPr>
              <w:t>漆雾</w:t>
            </w:r>
          </w:p>
        </w:tc>
        <w:tc>
          <w:tcPr>
            <w:tcW w:w="175" w:type="pct"/>
            <w:vMerge w:val="continue"/>
            <w:tcBorders>
              <w:bottom w:val="single" w:color="auto" w:sz="4" w:space="0"/>
            </w:tcBorders>
            <w:noWrap w:val="0"/>
            <w:vAlign w:val="center"/>
          </w:tcPr>
          <w:p w14:paraId="1AEE3E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tcBorders>
              <w:bottom w:val="single" w:color="auto" w:sz="4" w:space="0"/>
            </w:tcBorders>
            <w:noWrap w:val="0"/>
            <w:vAlign w:val="center"/>
          </w:tcPr>
          <w:p w14:paraId="31A3DE7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tcBorders>
              <w:bottom w:val="single" w:color="auto" w:sz="4" w:space="0"/>
            </w:tcBorders>
            <w:noWrap w:val="0"/>
            <w:vAlign w:val="center"/>
          </w:tcPr>
          <w:p w14:paraId="7FAB33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tcBorders>
              <w:bottom w:val="single" w:color="auto" w:sz="4" w:space="0"/>
            </w:tcBorders>
            <w:noWrap w:val="0"/>
            <w:vAlign w:val="center"/>
          </w:tcPr>
          <w:p w14:paraId="5186ED4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tcBorders>
              <w:bottom w:val="single" w:color="auto" w:sz="4" w:space="0"/>
            </w:tcBorders>
            <w:shd w:val="clear" w:color="auto" w:fill="auto"/>
            <w:noWrap w:val="0"/>
            <w:vAlign w:val="center"/>
          </w:tcPr>
          <w:p w14:paraId="4A7F7E75">
            <w:pPr>
              <w:autoSpaceDE w:val="0"/>
              <w:autoSpaceDN w:val="0"/>
              <w:adjustRightInd w:val="0"/>
              <w:snapToGrid w:val="0"/>
              <w:jc w:val="center"/>
              <w:rPr>
                <w:rFonts w:hint="default"/>
                <w:szCs w:val="21"/>
                <w:lang w:val="en-US"/>
              </w:rPr>
            </w:pPr>
          </w:p>
        </w:tc>
        <w:tc>
          <w:tcPr>
            <w:tcW w:w="310" w:type="pct"/>
            <w:vMerge w:val="continue"/>
            <w:tcBorders>
              <w:bottom w:val="single" w:color="auto" w:sz="4" w:space="0"/>
              <w:right w:val="single" w:color="auto" w:sz="4" w:space="0"/>
            </w:tcBorders>
            <w:noWrap w:val="0"/>
            <w:vAlign w:val="center"/>
          </w:tcPr>
          <w:p w14:paraId="2157EA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bottom w:val="single" w:color="auto" w:sz="4" w:space="0"/>
            </w:tcBorders>
            <w:noWrap w:val="0"/>
            <w:vAlign w:val="center"/>
          </w:tcPr>
          <w:p w14:paraId="2EADF0D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32BAE0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6.2</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5</w:t>
            </w:r>
          </w:p>
        </w:tc>
        <w:tc>
          <w:tcPr>
            <w:tcW w:w="407" w:type="pct"/>
            <w:noWrap w:val="0"/>
            <w:vAlign w:val="center"/>
          </w:tcPr>
          <w:p w14:paraId="6B97BC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2.7</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6</w:t>
            </w:r>
          </w:p>
        </w:tc>
        <w:tc>
          <w:tcPr>
            <w:tcW w:w="348" w:type="pct"/>
            <w:noWrap w:val="0"/>
            <w:vAlign w:val="center"/>
          </w:tcPr>
          <w:p w14:paraId="31BCE7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0.0128</w:t>
            </w:r>
          </w:p>
        </w:tc>
        <w:tc>
          <w:tcPr>
            <w:tcW w:w="298" w:type="pct"/>
            <w:noWrap w:val="0"/>
            <w:vAlign w:val="center"/>
          </w:tcPr>
          <w:p w14:paraId="02101809">
            <w:pPr>
              <w:keepNext w:val="0"/>
              <w:keepLines w:val="0"/>
              <w:widowControl/>
              <w:suppressLineNumbers w:val="0"/>
              <w:tabs>
                <w:tab w:val="left" w:pos="395"/>
              </w:tabs>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255" w:type="pct"/>
            <w:noWrap w:val="0"/>
            <w:vAlign w:val="center"/>
          </w:tcPr>
          <w:p w14:paraId="716BFAB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w:t>
            </w:r>
          </w:p>
        </w:tc>
        <w:tc>
          <w:tcPr>
            <w:tcW w:w="289" w:type="pct"/>
            <w:noWrap w:val="0"/>
            <w:vAlign w:val="center"/>
          </w:tcPr>
          <w:p w14:paraId="5CAE06D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584758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753C3DE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0E770DEC">
            <w:pPr>
              <w:keepNext w:val="0"/>
              <w:keepLines w:val="0"/>
              <w:widowControl/>
              <w:suppressLineNumbers w:val="0"/>
              <w:jc w:val="center"/>
              <w:textAlignment w:val="center"/>
              <w:rPr>
                <w:rFonts w:hint="eastAsia"/>
                <w:szCs w:val="21"/>
                <w:lang w:val="en-US" w:eastAsia="zh-CN"/>
              </w:rPr>
            </w:pPr>
          </w:p>
        </w:tc>
        <w:tc>
          <w:tcPr>
            <w:tcW w:w="344" w:type="pct"/>
            <w:noWrap w:val="0"/>
            <w:vAlign w:val="center"/>
          </w:tcPr>
          <w:p w14:paraId="5DEF27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5" w:type="pct"/>
            <w:vMerge w:val="restart"/>
            <w:tcBorders>
              <w:top w:val="single" w:color="auto" w:sz="4" w:space="0"/>
            </w:tcBorders>
            <w:noWrap w:val="0"/>
            <w:vAlign w:val="center"/>
          </w:tcPr>
          <w:p w14:paraId="22557A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09" w:type="pct"/>
            <w:vMerge w:val="restart"/>
            <w:tcBorders>
              <w:top w:val="single" w:color="auto" w:sz="4" w:space="0"/>
            </w:tcBorders>
            <w:noWrap w:val="0"/>
            <w:vAlign w:val="center"/>
          </w:tcPr>
          <w:p w14:paraId="1CAADD7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常温</w:t>
            </w:r>
          </w:p>
        </w:tc>
        <w:tc>
          <w:tcPr>
            <w:tcW w:w="257" w:type="pct"/>
            <w:vMerge w:val="restart"/>
            <w:tcBorders>
              <w:top w:val="single" w:color="auto" w:sz="4" w:space="0"/>
            </w:tcBorders>
            <w:noWrap w:val="0"/>
            <w:vAlign w:val="center"/>
          </w:tcPr>
          <w:p w14:paraId="3BCADA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315" w:type="pct"/>
            <w:vMerge w:val="restart"/>
            <w:tcBorders>
              <w:top w:val="single" w:color="auto" w:sz="4" w:space="0"/>
            </w:tcBorders>
            <w:noWrap w:val="0"/>
            <w:vAlign w:val="center"/>
          </w:tcPr>
          <w:p w14:paraId="193107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4800</w:t>
            </w:r>
          </w:p>
        </w:tc>
        <w:tc>
          <w:tcPr>
            <w:tcW w:w="315" w:type="pct"/>
            <w:vMerge w:val="restart"/>
            <w:tcBorders>
              <w:top w:val="single" w:color="auto" w:sz="4" w:space="0"/>
            </w:tcBorders>
            <w:shd w:val="clear" w:color="auto" w:fill="auto"/>
            <w:noWrap w:val="0"/>
            <w:vAlign w:val="center"/>
          </w:tcPr>
          <w:p w14:paraId="58A09C66">
            <w:pPr>
              <w:autoSpaceDE w:val="0"/>
              <w:autoSpaceDN w:val="0"/>
              <w:adjustRightInd w:val="0"/>
              <w:snapToGrid w:val="0"/>
              <w:jc w:val="center"/>
              <w:rPr>
                <w:rFonts w:hint="default"/>
                <w:szCs w:val="21"/>
                <w:lang w:val="en-US"/>
              </w:rPr>
            </w:pPr>
            <w:r>
              <w:rPr>
                <w:rFonts w:hint="default" w:ascii="Times New Roman" w:hAnsi="Times New Roman" w:eastAsia="宋体" w:cs="Times New Roman"/>
                <w:i w:val="0"/>
                <w:iCs w:val="0"/>
                <w:color w:val="000000"/>
                <w:kern w:val="0"/>
                <w:sz w:val="21"/>
                <w:szCs w:val="21"/>
                <w:u w:val="none"/>
                <w:lang w:val="en-US" w:eastAsia="zh-CN" w:bidi="ar"/>
              </w:rPr>
              <w:t>DA00</w:t>
            </w:r>
            <w:r>
              <w:rPr>
                <w:rFonts w:hint="eastAsia" w:cs="Times New Roman"/>
                <w:i w:val="0"/>
                <w:iCs w:val="0"/>
                <w:color w:val="000000"/>
                <w:kern w:val="0"/>
                <w:sz w:val="21"/>
                <w:szCs w:val="21"/>
                <w:u w:val="none"/>
                <w:lang w:val="en-US" w:eastAsia="zh-CN" w:bidi="ar"/>
              </w:rPr>
              <w:t>3</w:t>
            </w:r>
          </w:p>
        </w:tc>
        <w:tc>
          <w:tcPr>
            <w:tcW w:w="310" w:type="pct"/>
            <w:vMerge w:val="restart"/>
            <w:tcBorders>
              <w:top w:val="single" w:color="auto" w:sz="4" w:space="0"/>
              <w:right w:val="single" w:color="auto" w:sz="4" w:space="0"/>
            </w:tcBorders>
            <w:noWrap w:val="0"/>
            <w:vAlign w:val="center"/>
          </w:tcPr>
          <w:p w14:paraId="0AB5F6A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一般排放口</w:t>
            </w:r>
          </w:p>
        </w:tc>
        <w:tc>
          <w:tcPr>
            <w:tcW w:w="558" w:type="pct"/>
            <w:vMerge w:val="restart"/>
            <w:tcBorders>
              <w:top w:val="single" w:color="auto" w:sz="4" w:space="0"/>
              <w:left w:val="single" w:color="auto" w:sz="4" w:space="0"/>
            </w:tcBorders>
            <w:noWrap w:val="0"/>
            <w:vAlign w:val="center"/>
          </w:tcPr>
          <w:p w14:paraId="1EACBCE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收集效率9</w:t>
            </w:r>
            <w:r>
              <w:rPr>
                <w:rFonts w:hint="eastAsia" w:cs="Times New Roman"/>
                <w:i w:val="0"/>
                <w:iCs w:val="0"/>
                <w:color w:val="000000"/>
                <w:kern w:val="0"/>
                <w:sz w:val="21"/>
                <w:szCs w:val="21"/>
                <w:u w:val="none"/>
                <w:lang w:val="en-US" w:eastAsia="zh-CN" w:bidi="ar"/>
              </w:rPr>
              <w:t>5</w:t>
            </w:r>
            <w:r>
              <w:rPr>
                <w:rFonts w:hint="default" w:ascii="Times New Roman" w:hAnsi="Times New Roman" w:cs="Times New Roman"/>
                <w:i w:val="0"/>
                <w:iCs w:val="0"/>
                <w:color w:val="000000"/>
                <w:kern w:val="0"/>
                <w:sz w:val="21"/>
                <w:szCs w:val="21"/>
                <w:u w:val="none"/>
                <w:lang w:val="en-US" w:eastAsia="zh-CN" w:bidi="ar"/>
              </w:rPr>
              <w:t>%；处理效率90%</w:t>
            </w:r>
          </w:p>
        </w:tc>
        <w:tc>
          <w:tcPr>
            <w:tcW w:w="382" w:type="pct"/>
            <w:noWrap w:val="0"/>
            <w:vAlign w:val="center"/>
          </w:tcPr>
          <w:p w14:paraId="7C3B6782">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0.1604</w:t>
            </w:r>
          </w:p>
        </w:tc>
        <w:tc>
          <w:tcPr>
            <w:tcW w:w="407" w:type="pct"/>
            <w:noWrap w:val="0"/>
            <w:vAlign w:val="center"/>
          </w:tcPr>
          <w:p w14:paraId="0F0BE993">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0.0079</w:t>
            </w:r>
          </w:p>
        </w:tc>
        <w:tc>
          <w:tcPr>
            <w:tcW w:w="348" w:type="pct"/>
            <w:noWrap w:val="0"/>
            <w:vAlign w:val="center"/>
          </w:tcPr>
          <w:p w14:paraId="2E06D401">
            <w:pPr>
              <w:tabs>
                <w:tab w:val="left" w:pos="249"/>
              </w:tabs>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37.73</w:t>
            </w:r>
          </w:p>
        </w:tc>
        <w:tc>
          <w:tcPr>
            <w:tcW w:w="298" w:type="pct"/>
            <w:noWrap w:val="0"/>
            <w:vAlign w:val="center"/>
          </w:tcPr>
          <w:p w14:paraId="0D715E1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highlight w:val="none"/>
                <w:lang w:val="en-US" w:eastAsia="zh-CN"/>
              </w:rPr>
              <w:t>60</w:t>
            </w:r>
          </w:p>
        </w:tc>
        <w:tc>
          <w:tcPr>
            <w:tcW w:w="255" w:type="pct"/>
            <w:noWrap w:val="0"/>
            <w:vAlign w:val="center"/>
          </w:tcPr>
          <w:p w14:paraId="3E91E7C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21"/>
                <w:highlight w:val="none"/>
                <w:lang w:val="en-US" w:eastAsia="zh-CN"/>
              </w:rPr>
              <w:t>3.4</w:t>
            </w:r>
          </w:p>
        </w:tc>
        <w:tc>
          <w:tcPr>
            <w:tcW w:w="289" w:type="pct"/>
            <w:noWrap w:val="0"/>
            <w:vAlign w:val="center"/>
          </w:tcPr>
          <w:p w14:paraId="04619471">
            <w:pPr>
              <w:keepNext w:val="0"/>
              <w:keepLines w:val="0"/>
              <w:widowControl/>
              <w:suppressLineNumbers w:val="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达标</w:t>
            </w:r>
          </w:p>
        </w:tc>
      </w:tr>
      <w:tr w14:paraId="70214C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26BBB68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7166BFFA">
            <w:pPr>
              <w:keepNext w:val="0"/>
              <w:keepLines w:val="0"/>
              <w:widowControl/>
              <w:suppressLineNumbers w:val="0"/>
              <w:jc w:val="center"/>
              <w:textAlignment w:val="center"/>
              <w:rPr>
                <w:rFonts w:hint="eastAsia"/>
                <w:szCs w:val="21"/>
                <w:lang w:val="en-US" w:eastAsia="zh-CN"/>
              </w:rPr>
            </w:pPr>
          </w:p>
        </w:tc>
        <w:tc>
          <w:tcPr>
            <w:tcW w:w="344" w:type="pct"/>
            <w:tcBorders>
              <w:bottom w:val="single" w:color="auto" w:sz="4" w:space="0"/>
            </w:tcBorders>
            <w:noWrap w:val="0"/>
            <w:vAlign w:val="center"/>
          </w:tcPr>
          <w:p w14:paraId="542868BD">
            <w:pPr>
              <w:autoSpaceDE w:val="0"/>
              <w:autoSpaceDN w:val="0"/>
              <w:adjustRightInd w:val="0"/>
              <w:snapToGrid w:val="0"/>
              <w:jc w:val="center"/>
              <w:rPr>
                <w:rFonts w:hint="eastAsia" w:eastAsia="宋体"/>
                <w:szCs w:val="21"/>
                <w:lang w:val="en-US" w:eastAsia="zh-CN"/>
              </w:rPr>
            </w:pPr>
            <w:r>
              <w:rPr>
                <w:rFonts w:hint="eastAsia"/>
                <w:szCs w:val="21"/>
                <w:lang w:val="en-US" w:eastAsia="zh-CN"/>
              </w:rPr>
              <w:t>漆雾</w:t>
            </w:r>
          </w:p>
        </w:tc>
        <w:tc>
          <w:tcPr>
            <w:tcW w:w="175" w:type="pct"/>
            <w:vMerge w:val="continue"/>
            <w:tcBorders>
              <w:bottom w:val="single" w:color="auto" w:sz="4" w:space="0"/>
            </w:tcBorders>
            <w:noWrap w:val="0"/>
            <w:vAlign w:val="center"/>
          </w:tcPr>
          <w:p w14:paraId="7F1B37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tcBorders>
              <w:bottom w:val="single" w:color="auto" w:sz="4" w:space="0"/>
            </w:tcBorders>
            <w:noWrap w:val="0"/>
            <w:vAlign w:val="center"/>
          </w:tcPr>
          <w:p w14:paraId="570214E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tcBorders>
              <w:bottom w:val="single" w:color="auto" w:sz="4" w:space="0"/>
            </w:tcBorders>
            <w:noWrap w:val="0"/>
            <w:vAlign w:val="center"/>
          </w:tcPr>
          <w:p w14:paraId="7DC22A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tcBorders>
              <w:bottom w:val="single" w:color="auto" w:sz="4" w:space="0"/>
            </w:tcBorders>
            <w:noWrap w:val="0"/>
            <w:vAlign w:val="center"/>
          </w:tcPr>
          <w:p w14:paraId="209935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tcBorders>
              <w:bottom w:val="single" w:color="auto" w:sz="4" w:space="0"/>
            </w:tcBorders>
            <w:shd w:val="clear" w:color="auto" w:fill="auto"/>
            <w:noWrap w:val="0"/>
            <w:vAlign w:val="center"/>
          </w:tcPr>
          <w:p w14:paraId="3A56796F">
            <w:pPr>
              <w:autoSpaceDE w:val="0"/>
              <w:autoSpaceDN w:val="0"/>
              <w:adjustRightInd w:val="0"/>
              <w:snapToGrid w:val="0"/>
              <w:jc w:val="center"/>
              <w:rPr>
                <w:rFonts w:hint="default"/>
                <w:szCs w:val="21"/>
                <w:lang w:val="en-US"/>
              </w:rPr>
            </w:pPr>
          </w:p>
        </w:tc>
        <w:tc>
          <w:tcPr>
            <w:tcW w:w="310" w:type="pct"/>
            <w:vMerge w:val="continue"/>
            <w:tcBorders>
              <w:bottom w:val="single" w:color="auto" w:sz="4" w:space="0"/>
              <w:right w:val="single" w:color="auto" w:sz="4" w:space="0"/>
            </w:tcBorders>
            <w:noWrap w:val="0"/>
            <w:vAlign w:val="center"/>
          </w:tcPr>
          <w:p w14:paraId="7DAD630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bottom w:val="single" w:color="auto" w:sz="4" w:space="0"/>
            </w:tcBorders>
            <w:noWrap w:val="0"/>
            <w:vAlign w:val="center"/>
          </w:tcPr>
          <w:p w14:paraId="720567D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2E6E33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3.3</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5</w:t>
            </w:r>
          </w:p>
        </w:tc>
        <w:tc>
          <w:tcPr>
            <w:tcW w:w="407" w:type="pct"/>
            <w:noWrap w:val="0"/>
            <w:vAlign w:val="center"/>
          </w:tcPr>
          <w:p w14:paraId="2D819E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1.7</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6</w:t>
            </w:r>
          </w:p>
        </w:tc>
        <w:tc>
          <w:tcPr>
            <w:tcW w:w="348" w:type="pct"/>
            <w:noWrap w:val="0"/>
            <w:vAlign w:val="center"/>
          </w:tcPr>
          <w:p w14:paraId="7B452F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0.0079</w:t>
            </w:r>
          </w:p>
        </w:tc>
        <w:tc>
          <w:tcPr>
            <w:tcW w:w="298" w:type="pct"/>
            <w:noWrap w:val="0"/>
            <w:vAlign w:val="center"/>
          </w:tcPr>
          <w:p w14:paraId="27B12225">
            <w:pPr>
              <w:keepNext w:val="0"/>
              <w:keepLines w:val="0"/>
              <w:widowControl/>
              <w:suppressLineNumbers w:val="0"/>
              <w:tabs>
                <w:tab w:val="left" w:pos="395"/>
              </w:tabs>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255" w:type="pct"/>
            <w:noWrap w:val="0"/>
            <w:vAlign w:val="center"/>
          </w:tcPr>
          <w:p w14:paraId="3E91C5BB">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w:t>
            </w:r>
          </w:p>
        </w:tc>
        <w:tc>
          <w:tcPr>
            <w:tcW w:w="289" w:type="pct"/>
            <w:noWrap w:val="0"/>
            <w:vAlign w:val="center"/>
          </w:tcPr>
          <w:p w14:paraId="0549587D">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573E6A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7F6141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5E83A402">
            <w:pPr>
              <w:keepNext w:val="0"/>
              <w:keepLines w:val="0"/>
              <w:widowControl/>
              <w:suppressLineNumbers w:val="0"/>
              <w:jc w:val="center"/>
              <w:textAlignment w:val="center"/>
              <w:rPr>
                <w:rFonts w:hint="eastAsia"/>
                <w:szCs w:val="21"/>
                <w:lang w:val="en-US" w:eastAsia="zh-CN"/>
              </w:rPr>
            </w:pPr>
          </w:p>
        </w:tc>
        <w:tc>
          <w:tcPr>
            <w:tcW w:w="344" w:type="pct"/>
            <w:tcBorders>
              <w:top w:val="single" w:color="auto" w:sz="4" w:space="0"/>
            </w:tcBorders>
            <w:noWrap w:val="0"/>
            <w:vAlign w:val="center"/>
          </w:tcPr>
          <w:p w14:paraId="4A22A8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漆雾</w:t>
            </w:r>
          </w:p>
        </w:tc>
        <w:tc>
          <w:tcPr>
            <w:tcW w:w="175" w:type="pct"/>
            <w:vMerge w:val="restart"/>
            <w:tcBorders>
              <w:top w:val="single" w:color="auto" w:sz="4" w:space="0"/>
            </w:tcBorders>
            <w:noWrap w:val="0"/>
            <w:vAlign w:val="center"/>
          </w:tcPr>
          <w:p w14:paraId="60EF63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09" w:type="pct"/>
            <w:vMerge w:val="restart"/>
            <w:tcBorders>
              <w:top w:val="single" w:color="auto" w:sz="4" w:space="0"/>
            </w:tcBorders>
            <w:noWrap w:val="0"/>
            <w:vAlign w:val="center"/>
          </w:tcPr>
          <w:p w14:paraId="6D49229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常温</w:t>
            </w:r>
          </w:p>
        </w:tc>
        <w:tc>
          <w:tcPr>
            <w:tcW w:w="257" w:type="pct"/>
            <w:vMerge w:val="restart"/>
            <w:tcBorders>
              <w:top w:val="single" w:color="auto" w:sz="4" w:space="0"/>
            </w:tcBorders>
            <w:noWrap w:val="0"/>
            <w:vAlign w:val="center"/>
          </w:tcPr>
          <w:p w14:paraId="3166F6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315" w:type="pct"/>
            <w:vMerge w:val="restart"/>
            <w:tcBorders>
              <w:top w:val="single" w:color="auto" w:sz="4" w:space="0"/>
            </w:tcBorders>
            <w:noWrap w:val="0"/>
            <w:vAlign w:val="center"/>
          </w:tcPr>
          <w:p w14:paraId="704476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4800</w:t>
            </w:r>
          </w:p>
        </w:tc>
        <w:tc>
          <w:tcPr>
            <w:tcW w:w="315" w:type="pct"/>
            <w:vMerge w:val="restart"/>
            <w:tcBorders>
              <w:top w:val="single" w:color="auto" w:sz="4" w:space="0"/>
            </w:tcBorders>
            <w:shd w:val="clear" w:color="auto" w:fill="auto"/>
            <w:noWrap w:val="0"/>
            <w:vAlign w:val="center"/>
          </w:tcPr>
          <w:p w14:paraId="69590399">
            <w:pPr>
              <w:autoSpaceDE w:val="0"/>
              <w:autoSpaceDN w:val="0"/>
              <w:adjustRightInd w:val="0"/>
              <w:snapToGrid w:val="0"/>
              <w:jc w:val="center"/>
              <w:rPr>
                <w:rFonts w:hint="default"/>
                <w:szCs w:val="21"/>
                <w:lang w:val="en-US"/>
              </w:rPr>
            </w:pPr>
            <w:r>
              <w:rPr>
                <w:rFonts w:hint="default" w:ascii="Times New Roman" w:hAnsi="Times New Roman" w:eastAsia="宋体" w:cs="Times New Roman"/>
                <w:i w:val="0"/>
                <w:iCs w:val="0"/>
                <w:color w:val="000000"/>
                <w:kern w:val="0"/>
                <w:sz w:val="21"/>
                <w:szCs w:val="21"/>
                <w:u w:val="none"/>
                <w:lang w:val="en-US" w:eastAsia="zh-CN" w:bidi="ar"/>
              </w:rPr>
              <w:t>DA00</w:t>
            </w:r>
            <w:r>
              <w:rPr>
                <w:rFonts w:hint="eastAsia" w:ascii="宋体" w:hAnsi="宋体" w:cs="宋体"/>
                <w:color w:val="000000"/>
                <w:kern w:val="0"/>
                <w:sz w:val="21"/>
                <w:szCs w:val="21"/>
                <w:lang w:val="en-US" w:eastAsia="zh-CN" w:bidi="ar"/>
              </w:rPr>
              <w:t>4</w:t>
            </w:r>
          </w:p>
        </w:tc>
        <w:tc>
          <w:tcPr>
            <w:tcW w:w="310" w:type="pct"/>
            <w:vMerge w:val="restart"/>
            <w:tcBorders>
              <w:top w:val="single" w:color="auto" w:sz="4" w:space="0"/>
              <w:right w:val="single" w:color="auto" w:sz="4" w:space="0"/>
            </w:tcBorders>
            <w:noWrap w:val="0"/>
            <w:vAlign w:val="center"/>
          </w:tcPr>
          <w:p w14:paraId="780199D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一般排放口</w:t>
            </w:r>
          </w:p>
        </w:tc>
        <w:tc>
          <w:tcPr>
            <w:tcW w:w="558" w:type="pct"/>
            <w:vMerge w:val="restart"/>
            <w:tcBorders>
              <w:top w:val="single" w:color="auto" w:sz="4" w:space="0"/>
              <w:left w:val="single" w:color="auto" w:sz="4" w:space="0"/>
            </w:tcBorders>
            <w:noWrap w:val="0"/>
            <w:vAlign w:val="center"/>
          </w:tcPr>
          <w:p w14:paraId="70CFF2F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收集效率9</w:t>
            </w:r>
            <w:r>
              <w:rPr>
                <w:rFonts w:hint="eastAsia" w:cs="Times New Roman"/>
                <w:i w:val="0"/>
                <w:iCs w:val="0"/>
                <w:color w:val="000000"/>
                <w:kern w:val="0"/>
                <w:sz w:val="21"/>
                <w:szCs w:val="21"/>
                <w:u w:val="none"/>
                <w:lang w:val="en-US" w:eastAsia="zh-CN" w:bidi="ar"/>
              </w:rPr>
              <w:t>5</w:t>
            </w:r>
            <w:r>
              <w:rPr>
                <w:rFonts w:hint="default" w:ascii="Times New Roman" w:hAnsi="Times New Roman" w:cs="Times New Roman"/>
                <w:i w:val="0"/>
                <w:iCs w:val="0"/>
                <w:color w:val="000000"/>
                <w:kern w:val="0"/>
                <w:sz w:val="21"/>
                <w:szCs w:val="21"/>
                <w:u w:val="none"/>
                <w:lang w:val="en-US" w:eastAsia="zh-CN" w:bidi="ar"/>
              </w:rPr>
              <w:t>%；处理效率90%</w:t>
            </w:r>
          </w:p>
        </w:tc>
        <w:tc>
          <w:tcPr>
            <w:tcW w:w="382" w:type="pct"/>
            <w:noWrap w:val="0"/>
            <w:vAlign w:val="center"/>
          </w:tcPr>
          <w:p w14:paraId="4F6048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6.3</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6</w:t>
            </w:r>
          </w:p>
        </w:tc>
        <w:tc>
          <w:tcPr>
            <w:tcW w:w="407" w:type="pct"/>
            <w:noWrap w:val="0"/>
            <w:vAlign w:val="center"/>
          </w:tcPr>
          <w:p w14:paraId="242CF8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3.4</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7</w:t>
            </w:r>
          </w:p>
        </w:tc>
        <w:tc>
          <w:tcPr>
            <w:tcW w:w="348" w:type="pct"/>
            <w:noWrap w:val="0"/>
            <w:vAlign w:val="center"/>
          </w:tcPr>
          <w:p w14:paraId="2F422A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0.0016</w:t>
            </w:r>
          </w:p>
        </w:tc>
        <w:tc>
          <w:tcPr>
            <w:tcW w:w="298" w:type="pct"/>
            <w:noWrap w:val="0"/>
            <w:vAlign w:val="center"/>
          </w:tcPr>
          <w:p w14:paraId="584E51E9">
            <w:pPr>
              <w:keepNext w:val="0"/>
              <w:keepLines w:val="0"/>
              <w:widowControl/>
              <w:suppressLineNumbers w:val="0"/>
              <w:tabs>
                <w:tab w:val="left" w:pos="395"/>
              </w:tabs>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255" w:type="pct"/>
            <w:noWrap w:val="0"/>
            <w:vAlign w:val="center"/>
          </w:tcPr>
          <w:p w14:paraId="5108C27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w:t>
            </w:r>
          </w:p>
        </w:tc>
        <w:tc>
          <w:tcPr>
            <w:tcW w:w="289" w:type="pct"/>
            <w:noWrap w:val="0"/>
            <w:vAlign w:val="center"/>
          </w:tcPr>
          <w:p w14:paraId="67EB79BE">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034FC1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5770710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6A028A57">
            <w:pPr>
              <w:keepNext w:val="0"/>
              <w:keepLines w:val="0"/>
              <w:widowControl/>
              <w:suppressLineNumbers w:val="0"/>
              <w:jc w:val="center"/>
              <w:textAlignment w:val="center"/>
              <w:rPr>
                <w:rFonts w:hint="eastAsia"/>
                <w:szCs w:val="21"/>
                <w:lang w:val="en-US" w:eastAsia="zh-CN"/>
              </w:rPr>
            </w:pPr>
          </w:p>
        </w:tc>
        <w:tc>
          <w:tcPr>
            <w:tcW w:w="344" w:type="pct"/>
            <w:noWrap w:val="0"/>
            <w:vAlign w:val="center"/>
          </w:tcPr>
          <w:p w14:paraId="418E9541">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rPr>
              <w:t>二甲苯</w:t>
            </w:r>
          </w:p>
        </w:tc>
        <w:tc>
          <w:tcPr>
            <w:tcW w:w="175" w:type="pct"/>
            <w:vMerge w:val="continue"/>
            <w:noWrap w:val="0"/>
            <w:vAlign w:val="center"/>
          </w:tcPr>
          <w:p w14:paraId="725704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noWrap w:val="0"/>
            <w:vAlign w:val="center"/>
          </w:tcPr>
          <w:p w14:paraId="307CA6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noWrap w:val="0"/>
            <w:vAlign w:val="center"/>
          </w:tcPr>
          <w:p w14:paraId="7BA5F3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noWrap w:val="0"/>
            <w:vAlign w:val="center"/>
          </w:tcPr>
          <w:p w14:paraId="3A6773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shd w:val="clear" w:color="auto" w:fill="auto"/>
            <w:noWrap w:val="0"/>
            <w:vAlign w:val="center"/>
          </w:tcPr>
          <w:p w14:paraId="42F8E320">
            <w:pPr>
              <w:autoSpaceDE w:val="0"/>
              <w:autoSpaceDN w:val="0"/>
              <w:adjustRightInd w:val="0"/>
              <w:snapToGrid w:val="0"/>
              <w:jc w:val="center"/>
              <w:rPr>
                <w:rFonts w:hint="default"/>
                <w:szCs w:val="21"/>
                <w:lang w:val="en-US"/>
              </w:rPr>
            </w:pPr>
          </w:p>
        </w:tc>
        <w:tc>
          <w:tcPr>
            <w:tcW w:w="310" w:type="pct"/>
            <w:vMerge w:val="continue"/>
            <w:tcBorders>
              <w:right w:val="single" w:color="auto" w:sz="4" w:space="0"/>
            </w:tcBorders>
            <w:noWrap w:val="0"/>
            <w:vAlign w:val="center"/>
          </w:tcPr>
          <w:p w14:paraId="5019A78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tcBorders>
            <w:noWrap w:val="0"/>
            <w:vAlign w:val="center"/>
          </w:tcPr>
          <w:p w14:paraId="2C4D846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0D02A4C6">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4.6</w:t>
            </w:r>
            <w:r>
              <w:rPr>
                <w:rFonts w:hint="eastAsia"/>
                <w:szCs w:val="21"/>
              </w:rPr>
              <w:t>×10</w:t>
            </w:r>
            <w:r>
              <w:rPr>
                <w:rFonts w:hint="eastAsia"/>
                <w:szCs w:val="21"/>
                <w:vertAlign w:val="superscript"/>
              </w:rPr>
              <w:t>-</w:t>
            </w:r>
            <w:r>
              <w:rPr>
                <w:rFonts w:hint="eastAsia"/>
                <w:szCs w:val="21"/>
                <w:vertAlign w:val="superscript"/>
                <w:lang w:val="en-US" w:eastAsia="zh-CN"/>
              </w:rPr>
              <w:t>4</w:t>
            </w:r>
          </w:p>
        </w:tc>
        <w:tc>
          <w:tcPr>
            <w:tcW w:w="407" w:type="pct"/>
            <w:noWrap w:val="0"/>
            <w:vAlign w:val="center"/>
          </w:tcPr>
          <w:p w14:paraId="0EA66CE2">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2.4</w:t>
            </w:r>
            <w:r>
              <w:rPr>
                <w:rFonts w:hint="eastAsia"/>
                <w:szCs w:val="21"/>
              </w:rPr>
              <w:t>×10</w:t>
            </w:r>
            <w:r>
              <w:rPr>
                <w:rFonts w:hint="eastAsia"/>
                <w:szCs w:val="21"/>
                <w:vertAlign w:val="superscript"/>
              </w:rPr>
              <w:t>-5</w:t>
            </w:r>
          </w:p>
        </w:tc>
        <w:tc>
          <w:tcPr>
            <w:tcW w:w="348" w:type="pct"/>
            <w:noWrap w:val="0"/>
            <w:vAlign w:val="center"/>
          </w:tcPr>
          <w:p w14:paraId="7BD7C2B2">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0.12</w:t>
            </w:r>
          </w:p>
        </w:tc>
        <w:tc>
          <w:tcPr>
            <w:tcW w:w="298" w:type="pct"/>
            <w:noWrap w:val="0"/>
            <w:vAlign w:val="center"/>
          </w:tcPr>
          <w:p w14:paraId="3D4B5DA7">
            <w:pPr>
              <w:adjustRightInd w:val="0"/>
              <w:snapToGrid w:val="0"/>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bCs/>
                <w:szCs w:val="21"/>
                <w:lang w:val="en-US" w:eastAsia="zh-CN"/>
              </w:rPr>
              <w:t>15</w:t>
            </w:r>
          </w:p>
        </w:tc>
        <w:tc>
          <w:tcPr>
            <w:tcW w:w="255" w:type="pct"/>
            <w:noWrap w:val="0"/>
            <w:vAlign w:val="center"/>
          </w:tcPr>
          <w:p w14:paraId="0B7AC0F4">
            <w:pPr>
              <w:pStyle w:val="84"/>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bCs/>
                <w:szCs w:val="21"/>
                <w:lang w:val="en-US" w:eastAsia="zh-CN"/>
              </w:rPr>
              <w:t>0.9</w:t>
            </w:r>
          </w:p>
        </w:tc>
        <w:tc>
          <w:tcPr>
            <w:tcW w:w="289" w:type="pct"/>
            <w:noWrap w:val="0"/>
            <w:vAlign w:val="center"/>
          </w:tcPr>
          <w:p w14:paraId="5ADC9B0F">
            <w:pPr>
              <w:adjustRightInd w:val="0"/>
              <w:snapToGrid w:val="0"/>
              <w:jc w:val="center"/>
              <w:rPr>
                <w:rFonts w:hint="eastAsia"/>
                <w:bCs/>
                <w:szCs w:val="21"/>
                <w:lang w:val="en-US" w:eastAsia="zh-CN"/>
              </w:rPr>
            </w:pPr>
            <w:r>
              <w:rPr>
                <w:rFonts w:hint="eastAsia"/>
                <w:color w:val="auto"/>
                <w:sz w:val="21"/>
                <w:szCs w:val="21"/>
                <w:highlight w:val="none"/>
                <w:lang w:val="en-US" w:eastAsia="zh-CN"/>
              </w:rPr>
              <w:t>达标</w:t>
            </w:r>
          </w:p>
        </w:tc>
      </w:tr>
      <w:tr w14:paraId="639D1F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2ECEA34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70D8A3C4">
            <w:pPr>
              <w:keepNext w:val="0"/>
              <w:keepLines w:val="0"/>
              <w:widowControl/>
              <w:suppressLineNumbers w:val="0"/>
              <w:jc w:val="center"/>
              <w:textAlignment w:val="center"/>
              <w:rPr>
                <w:rFonts w:hint="eastAsia"/>
                <w:szCs w:val="21"/>
                <w:lang w:val="en-US" w:eastAsia="zh-CN"/>
              </w:rPr>
            </w:pPr>
          </w:p>
        </w:tc>
        <w:tc>
          <w:tcPr>
            <w:tcW w:w="344" w:type="pct"/>
            <w:noWrap w:val="0"/>
            <w:vAlign w:val="center"/>
          </w:tcPr>
          <w:p w14:paraId="0B5DEA4C">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rPr>
              <w:t>乙苯</w:t>
            </w:r>
          </w:p>
        </w:tc>
        <w:tc>
          <w:tcPr>
            <w:tcW w:w="175" w:type="pct"/>
            <w:vMerge w:val="continue"/>
            <w:noWrap w:val="0"/>
            <w:vAlign w:val="center"/>
          </w:tcPr>
          <w:p w14:paraId="5ABE4A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noWrap w:val="0"/>
            <w:vAlign w:val="center"/>
          </w:tcPr>
          <w:p w14:paraId="3E0A6C5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noWrap w:val="0"/>
            <w:vAlign w:val="center"/>
          </w:tcPr>
          <w:p w14:paraId="5A320B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noWrap w:val="0"/>
            <w:vAlign w:val="center"/>
          </w:tcPr>
          <w:p w14:paraId="3F6FDA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shd w:val="clear" w:color="auto" w:fill="auto"/>
            <w:noWrap w:val="0"/>
            <w:vAlign w:val="center"/>
          </w:tcPr>
          <w:p w14:paraId="0E5B52C0">
            <w:pPr>
              <w:autoSpaceDE w:val="0"/>
              <w:autoSpaceDN w:val="0"/>
              <w:adjustRightInd w:val="0"/>
              <w:snapToGrid w:val="0"/>
              <w:jc w:val="center"/>
              <w:rPr>
                <w:rFonts w:hint="default"/>
                <w:szCs w:val="21"/>
                <w:lang w:val="en-US"/>
              </w:rPr>
            </w:pPr>
          </w:p>
        </w:tc>
        <w:tc>
          <w:tcPr>
            <w:tcW w:w="310" w:type="pct"/>
            <w:vMerge w:val="continue"/>
            <w:tcBorders>
              <w:right w:val="single" w:color="auto" w:sz="4" w:space="0"/>
            </w:tcBorders>
            <w:noWrap w:val="0"/>
            <w:vAlign w:val="center"/>
          </w:tcPr>
          <w:p w14:paraId="5ED44C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tcBorders>
            <w:noWrap w:val="0"/>
            <w:vAlign w:val="center"/>
          </w:tcPr>
          <w:p w14:paraId="0B6EC53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4FE9FD33">
            <w:pPr>
              <w:tabs>
                <w:tab w:val="left" w:pos="319"/>
              </w:tabs>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4.6</w:t>
            </w:r>
            <w:r>
              <w:rPr>
                <w:rFonts w:hint="eastAsia"/>
                <w:szCs w:val="21"/>
              </w:rPr>
              <w:t>×10</w:t>
            </w:r>
            <w:r>
              <w:rPr>
                <w:rFonts w:hint="eastAsia"/>
                <w:szCs w:val="21"/>
                <w:vertAlign w:val="superscript"/>
              </w:rPr>
              <w:t>-</w:t>
            </w:r>
            <w:r>
              <w:rPr>
                <w:rFonts w:hint="eastAsia"/>
                <w:szCs w:val="21"/>
                <w:vertAlign w:val="superscript"/>
                <w:lang w:val="en-US" w:eastAsia="zh-CN"/>
              </w:rPr>
              <w:t>5</w:t>
            </w:r>
          </w:p>
        </w:tc>
        <w:tc>
          <w:tcPr>
            <w:tcW w:w="407" w:type="pct"/>
            <w:noWrap w:val="0"/>
            <w:vAlign w:val="center"/>
          </w:tcPr>
          <w:p w14:paraId="78EE2F09">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2.4</w:t>
            </w:r>
            <w:r>
              <w:rPr>
                <w:rFonts w:hint="eastAsia"/>
                <w:szCs w:val="21"/>
              </w:rPr>
              <w:t>×10</w:t>
            </w:r>
            <w:r>
              <w:rPr>
                <w:rFonts w:hint="eastAsia"/>
                <w:szCs w:val="21"/>
                <w:vertAlign w:val="superscript"/>
              </w:rPr>
              <w:t>-</w:t>
            </w:r>
            <w:r>
              <w:rPr>
                <w:rFonts w:hint="eastAsia"/>
                <w:szCs w:val="21"/>
                <w:vertAlign w:val="superscript"/>
                <w:lang w:val="en-US" w:eastAsia="zh-CN"/>
              </w:rPr>
              <w:t>6</w:t>
            </w:r>
          </w:p>
        </w:tc>
        <w:tc>
          <w:tcPr>
            <w:tcW w:w="348" w:type="pct"/>
            <w:noWrap w:val="0"/>
            <w:vAlign w:val="center"/>
          </w:tcPr>
          <w:p w14:paraId="37086FDC">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0.01</w:t>
            </w:r>
          </w:p>
        </w:tc>
        <w:tc>
          <w:tcPr>
            <w:tcW w:w="298" w:type="pct"/>
            <w:noWrap w:val="0"/>
            <w:vAlign w:val="center"/>
          </w:tcPr>
          <w:p w14:paraId="73DE840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w:t>
            </w:r>
          </w:p>
        </w:tc>
        <w:tc>
          <w:tcPr>
            <w:tcW w:w="255" w:type="pct"/>
            <w:noWrap w:val="0"/>
            <w:vAlign w:val="center"/>
          </w:tcPr>
          <w:p w14:paraId="3A6BA73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w:t>
            </w:r>
          </w:p>
        </w:tc>
        <w:tc>
          <w:tcPr>
            <w:tcW w:w="289" w:type="pct"/>
            <w:noWrap w:val="0"/>
            <w:vAlign w:val="center"/>
          </w:tcPr>
          <w:p w14:paraId="45D0A25E">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37320A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52389F3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tcBorders>
              <w:bottom w:val="single" w:color="auto" w:sz="4" w:space="0"/>
            </w:tcBorders>
            <w:noWrap w:val="0"/>
            <w:vAlign w:val="center"/>
          </w:tcPr>
          <w:p w14:paraId="57D92058">
            <w:pPr>
              <w:keepNext w:val="0"/>
              <w:keepLines w:val="0"/>
              <w:widowControl/>
              <w:suppressLineNumbers w:val="0"/>
              <w:jc w:val="center"/>
              <w:textAlignment w:val="center"/>
              <w:rPr>
                <w:rFonts w:hint="eastAsia"/>
                <w:szCs w:val="21"/>
                <w:lang w:val="en-US" w:eastAsia="zh-CN"/>
              </w:rPr>
            </w:pPr>
          </w:p>
        </w:tc>
        <w:tc>
          <w:tcPr>
            <w:tcW w:w="344" w:type="pct"/>
            <w:noWrap w:val="0"/>
            <w:vAlign w:val="center"/>
          </w:tcPr>
          <w:p w14:paraId="58B81762">
            <w:pPr>
              <w:autoSpaceDE w:val="0"/>
              <w:autoSpaceDN w:val="0"/>
              <w:adjustRightInd w:val="0"/>
              <w:snapToGrid w:val="0"/>
              <w:jc w:val="center"/>
              <w:rPr>
                <w:rFonts w:hint="eastAsia" w:eastAsia="宋体"/>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5" w:type="pct"/>
            <w:vMerge w:val="continue"/>
            <w:noWrap w:val="0"/>
            <w:vAlign w:val="center"/>
          </w:tcPr>
          <w:p w14:paraId="78A64A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noWrap w:val="0"/>
            <w:vAlign w:val="center"/>
          </w:tcPr>
          <w:p w14:paraId="652650E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noWrap w:val="0"/>
            <w:vAlign w:val="center"/>
          </w:tcPr>
          <w:p w14:paraId="450AED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tcBorders>
              <w:bottom w:val="single" w:color="auto" w:sz="4" w:space="0"/>
            </w:tcBorders>
            <w:noWrap w:val="0"/>
            <w:vAlign w:val="center"/>
          </w:tcPr>
          <w:p w14:paraId="2D5979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shd w:val="clear" w:color="auto" w:fill="auto"/>
            <w:noWrap w:val="0"/>
            <w:vAlign w:val="center"/>
          </w:tcPr>
          <w:p w14:paraId="2EDFE6AB">
            <w:pPr>
              <w:autoSpaceDE w:val="0"/>
              <w:autoSpaceDN w:val="0"/>
              <w:adjustRightInd w:val="0"/>
              <w:snapToGrid w:val="0"/>
              <w:jc w:val="center"/>
              <w:rPr>
                <w:rFonts w:hint="default"/>
                <w:szCs w:val="21"/>
                <w:lang w:val="en-US"/>
              </w:rPr>
            </w:pPr>
          </w:p>
        </w:tc>
        <w:tc>
          <w:tcPr>
            <w:tcW w:w="310" w:type="pct"/>
            <w:vMerge w:val="continue"/>
            <w:tcBorders>
              <w:right w:val="single" w:color="auto" w:sz="4" w:space="0"/>
            </w:tcBorders>
            <w:noWrap w:val="0"/>
            <w:vAlign w:val="center"/>
          </w:tcPr>
          <w:p w14:paraId="5BF7287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bottom w:val="single" w:color="auto" w:sz="4" w:space="0"/>
            </w:tcBorders>
            <w:noWrap w:val="0"/>
            <w:vAlign w:val="center"/>
          </w:tcPr>
          <w:p w14:paraId="3F2AC66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073E03B9">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0.1094</w:t>
            </w:r>
          </w:p>
        </w:tc>
        <w:tc>
          <w:tcPr>
            <w:tcW w:w="407" w:type="pct"/>
            <w:noWrap w:val="0"/>
            <w:vAlign w:val="center"/>
          </w:tcPr>
          <w:p w14:paraId="237C53C6">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0.0059</w:t>
            </w:r>
          </w:p>
        </w:tc>
        <w:tc>
          <w:tcPr>
            <w:tcW w:w="348" w:type="pct"/>
            <w:noWrap w:val="0"/>
            <w:vAlign w:val="center"/>
          </w:tcPr>
          <w:p w14:paraId="788BD8CF">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28.16</w:t>
            </w:r>
          </w:p>
        </w:tc>
        <w:tc>
          <w:tcPr>
            <w:tcW w:w="298" w:type="pct"/>
            <w:vMerge w:val="restart"/>
            <w:noWrap w:val="0"/>
            <w:vAlign w:val="center"/>
          </w:tcPr>
          <w:p w14:paraId="7632352B">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olor w:val="auto"/>
                <w:sz w:val="21"/>
                <w:szCs w:val="21"/>
                <w:highlight w:val="none"/>
                <w:lang w:val="en-US" w:eastAsia="zh-CN"/>
              </w:rPr>
              <w:t>60</w:t>
            </w:r>
          </w:p>
        </w:tc>
        <w:tc>
          <w:tcPr>
            <w:tcW w:w="255" w:type="pct"/>
            <w:vMerge w:val="restart"/>
            <w:noWrap w:val="0"/>
            <w:vAlign w:val="center"/>
          </w:tcPr>
          <w:p w14:paraId="15B253CD">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3.4</w:t>
            </w:r>
          </w:p>
        </w:tc>
        <w:tc>
          <w:tcPr>
            <w:tcW w:w="289" w:type="pct"/>
            <w:noWrap w:val="0"/>
            <w:vAlign w:val="center"/>
          </w:tcPr>
          <w:p w14:paraId="302EFD80">
            <w:pPr>
              <w:keepNext w:val="0"/>
              <w:keepLines w:val="0"/>
              <w:widowControl/>
              <w:suppressLineNumbers w:val="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达标</w:t>
            </w:r>
          </w:p>
        </w:tc>
      </w:tr>
      <w:tr w14:paraId="766E5E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71EADEC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tcBorders>
              <w:bottom w:val="single" w:color="auto" w:sz="4" w:space="0"/>
            </w:tcBorders>
            <w:noWrap w:val="0"/>
            <w:vAlign w:val="center"/>
          </w:tcPr>
          <w:p w14:paraId="08F5AE64">
            <w:pPr>
              <w:keepNext w:val="0"/>
              <w:keepLines w:val="0"/>
              <w:widowControl/>
              <w:suppressLineNumbers w:val="0"/>
              <w:jc w:val="center"/>
              <w:textAlignment w:val="center"/>
              <w:rPr>
                <w:rFonts w:hint="eastAsia"/>
                <w:szCs w:val="21"/>
                <w:lang w:val="en-US" w:eastAsia="zh-CN"/>
              </w:rPr>
            </w:pPr>
            <w:r>
              <w:rPr>
                <w:rFonts w:hint="eastAsia" w:ascii="宋体" w:hAnsi="宋体" w:cs="宋体"/>
                <w:i w:val="0"/>
                <w:iCs w:val="0"/>
                <w:color w:val="000000"/>
                <w:kern w:val="0"/>
                <w:sz w:val="21"/>
                <w:szCs w:val="21"/>
                <w:u w:val="none"/>
                <w:lang w:val="en-US" w:eastAsia="zh-CN" w:bidi="ar"/>
              </w:rPr>
              <w:t>焊接组装</w:t>
            </w:r>
          </w:p>
        </w:tc>
        <w:tc>
          <w:tcPr>
            <w:tcW w:w="344" w:type="pct"/>
            <w:noWrap w:val="0"/>
            <w:vAlign w:val="center"/>
          </w:tcPr>
          <w:p w14:paraId="087441BE">
            <w:pPr>
              <w:keepNext w:val="0"/>
              <w:keepLines w:val="0"/>
              <w:widowControl/>
              <w:suppressLineNumbers w:val="0"/>
              <w:jc w:val="center"/>
              <w:textAlignment w:val="center"/>
              <w:rPr>
                <w:rFonts w:hint="eastAsia"/>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5" w:type="pct"/>
            <w:vMerge w:val="continue"/>
            <w:tcBorders>
              <w:bottom w:val="single" w:color="auto" w:sz="4" w:space="0"/>
            </w:tcBorders>
            <w:noWrap w:val="0"/>
            <w:vAlign w:val="center"/>
          </w:tcPr>
          <w:p w14:paraId="3E566F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tcBorders>
              <w:bottom w:val="single" w:color="auto" w:sz="4" w:space="0"/>
            </w:tcBorders>
            <w:noWrap w:val="0"/>
            <w:vAlign w:val="center"/>
          </w:tcPr>
          <w:p w14:paraId="6AA22B3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tcBorders>
              <w:bottom w:val="single" w:color="auto" w:sz="4" w:space="0"/>
            </w:tcBorders>
            <w:noWrap w:val="0"/>
            <w:vAlign w:val="center"/>
          </w:tcPr>
          <w:p w14:paraId="25C76F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tcBorders>
              <w:bottom w:val="single" w:color="auto" w:sz="4" w:space="0"/>
            </w:tcBorders>
            <w:noWrap w:val="0"/>
            <w:vAlign w:val="center"/>
          </w:tcPr>
          <w:p w14:paraId="726E203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600</w:t>
            </w:r>
          </w:p>
        </w:tc>
        <w:tc>
          <w:tcPr>
            <w:tcW w:w="315" w:type="pct"/>
            <w:vMerge w:val="continue"/>
            <w:tcBorders>
              <w:bottom w:val="single" w:color="auto" w:sz="4" w:space="0"/>
            </w:tcBorders>
            <w:shd w:val="clear" w:color="auto" w:fill="auto"/>
            <w:noWrap w:val="0"/>
            <w:vAlign w:val="center"/>
          </w:tcPr>
          <w:p w14:paraId="3F2E0260">
            <w:pPr>
              <w:autoSpaceDE w:val="0"/>
              <w:autoSpaceDN w:val="0"/>
              <w:adjustRightInd w:val="0"/>
              <w:snapToGrid w:val="0"/>
              <w:jc w:val="center"/>
              <w:rPr>
                <w:rFonts w:hint="default"/>
                <w:szCs w:val="21"/>
                <w:lang w:val="en-US"/>
              </w:rPr>
            </w:pPr>
          </w:p>
        </w:tc>
        <w:tc>
          <w:tcPr>
            <w:tcW w:w="310" w:type="pct"/>
            <w:vMerge w:val="continue"/>
            <w:tcBorders>
              <w:bottom w:val="single" w:color="auto" w:sz="4" w:space="0"/>
              <w:right w:val="single" w:color="auto" w:sz="4" w:space="0"/>
            </w:tcBorders>
            <w:noWrap w:val="0"/>
            <w:vAlign w:val="center"/>
          </w:tcPr>
          <w:p w14:paraId="07B0BE6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tcBorders>
              <w:top w:val="single" w:color="auto" w:sz="4" w:space="0"/>
              <w:left w:val="single" w:color="auto" w:sz="4" w:space="0"/>
              <w:bottom w:val="single" w:color="auto" w:sz="4" w:space="0"/>
            </w:tcBorders>
            <w:noWrap w:val="0"/>
            <w:vAlign w:val="center"/>
          </w:tcPr>
          <w:p w14:paraId="37E98BD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收集效率90%；处理效率90%</w:t>
            </w:r>
          </w:p>
        </w:tc>
        <w:tc>
          <w:tcPr>
            <w:tcW w:w="382" w:type="pct"/>
            <w:noWrap w:val="0"/>
            <w:vAlign w:val="center"/>
          </w:tcPr>
          <w:p w14:paraId="60E8D0B3">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Cs w:val="21"/>
                <w:lang w:val="en-US" w:eastAsia="zh-CN"/>
              </w:rPr>
              <w:t>4.09</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4</w:t>
            </w:r>
          </w:p>
        </w:tc>
        <w:tc>
          <w:tcPr>
            <w:tcW w:w="407" w:type="pct"/>
            <w:noWrap w:val="0"/>
            <w:vAlign w:val="center"/>
          </w:tcPr>
          <w:p w14:paraId="35972E9B">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Cs w:val="21"/>
                <w:lang w:val="en-US" w:eastAsia="zh-CN"/>
              </w:rPr>
              <w:t>2.19</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5</w:t>
            </w:r>
          </w:p>
        </w:tc>
        <w:tc>
          <w:tcPr>
            <w:tcW w:w="348" w:type="pct"/>
            <w:noWrap w:val="0"/>
            <w:vAlign w:val="center"/>
          </w:tcPr>
          <w:p w14:paraId="302DAEDC">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Cs w:val="21"/>
                <w:lang w:val="en-US" w:eastAsia="zh-CN"/>
              </w:rPr>
              <w:t>0.013</w:t>
            </w:r>
          </w:p>
        </w:tc>
        <w:tc>
          <w:tcPr>
            <w:tcW w:w="298" w:type="pct"/>
            <w:vMerge w:val="continue"/>
            <w:noWrap w:val="0"/>
            <w:vAlign w:val="center"/>
          </w:tcPr>
          <w:p w14:paraId="7967B80C">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255" w:type="pct"/>
            <w:vMerge w:val="continue"/>
            <w:noWrap w:val="0"/>
            <w:vAlign w:val="center"/>
          </w:tcPr>
          <w:p w14:paraId="240238B4">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289" w:type="pct"/>
            <w:noWrap w:val="0"/>
            <w:vAlign w:val="center"/>
          </w:tcPr>
          <w:p w14:paraId="39CE0ECF">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02E0F6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1186C1F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restart"/>
            <w:tcBorders>
              <w:top w:val="single" w:color="auto" w:sz="4" w:space="0"/>
            </w:tcBorders>
            <w:noWrap w:val="0"/>
            <w:vAlign w:val="center"/>
          </w:tcPr>
          <w:p w14:paraId="248889D7">
            <w:pPr>
              <w:keepNext w:val="0"/>
              <w:keepLines w:val="0"/>
              <w:widowControl/>
              <w:suppressLineNumbers w:val="0"/>
              <w:jc w:val="center"/>
              <w:textAlignment w:val="center"/>
              <w:rPr>
                <w:rFonts w:hint="eastAsia"/>
                <w:szCs w:val="21"/>
                <w:lang w:val="en-US" w:eastAsia="zh-CN"/>
              </w:rPr>
            </w:pPr>
            <w:r>
              <w:rPr>
                <w:rFonts w:hint="eastAsia"/>
                <w:szCs w:val="21"/>
                <w:lang w:val="en-US" w:eastAsia="zh-CN"/>
              </w:rPr>
              <w:t>2#喷涂生产线</w:t>
            </w:r>
          </w:p>
        </w:tc>
        <w:tc>
          <w:tcPr>
            <w:tcW w:w="344" w:type="pct"/>
            <w:noWrap w:val="0"/>
            <w:vAlign w:val="center"/>
          </w:tcPr>
          <w:p w14:paraId="04A2DF4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5" w:type="pct"/>
            <w:vMerge w:val="restart"/>
            <w:tcBorders>
              <w:top w:val="single" w:color="auto" w:sz="4" w:space="0"/>
            </w:tcBorders>
            <w:noWrap w:val="0"/>
            <w:vAlign w:val="center"/>
          </w:tcPr>
          <w:p w14:paraId="4DEEE5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09" w:type="pct"/>
            <w:vMerge w:val="restart"/>
            <w:tcBorders>
              <w:top w:val="single" w:color="auto" w:sz="4" w:space="0"/>
            </w:tcBorders>
            <w:noWrap w:val="0"/>
            <w:vAlign w:val="center"/>
          </w:tcPr>
          <w:p w14:paraId="10B82AA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常温</w:t>
            </w:r>
          </w:p>
        </w:tc>
        <w:tc>
          <w:tcPr>
            <w:tcW w:w="257" w:type="pct"/>
            <w:vMerge w:val="restart"/>
            <w:tcBorders>
              <w:top w:val="single" w:color="auto" w:sz="4" w:space="0"/>
            </w:tcBorders>
            <w:noWrap w:val="0"/>
            <w:vAlign w:val="center"/>
          </w:tcPr>
          <w:p w14:paraId="0EF5DD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315" w:type="pct"/>
            <w:vMerge w:val="restart"/>
            <w:tcBorders>
              <w:top w:val="single" w:color="auto" w:sz="4" w:space="0"/>
            </w:tcBorders>
            <w:noWrap w:val="0"/>
            <w:vAlign w:val="center"/>
          </w:tcPr>
          <w:p w14:paraId="78589C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4800</w:t>
            </w:r>
          </w:p>
        </w:tc>
        <w:tc>
          <w:tcPr>
            <w:tcW w:w="315" w:type="pct"/>
            <w:vMerge w:val="restart"/>
            <w:tcBorders>
              <w:top w:val="single" w:color="auto" w:sz="4" w:space="0"/>
            </w:tcBorders>
            <w:shd w:val="clear" w:color="auto" w:fill="auto"/>
            <w:noWrap w:val="0"/>
            <w:vAlign w:val="center"/>
          </w:tcPr>
          <w:p w14:paraId="6E1381A9">
            <w:pPr>
              <w:autoSpaceDE w:val="0"/>
              <w:autoSpaceDN w:val="0"/>
              <w:adjustRightInd w:val="0"/>
              <w:snapToGrid w:val="0"/>
              <w:jc w:val="center"/>
              <w:rPr>
                <w:rFonts w:hint="default"/>
                <w:szCs w:val="21"/>
                <w:lang w:val="en-US"/>
              </w:rPr>
            </w:pPr>
            <w:r>
              <w:rPr>
                <w:rFonts w:hint="default" w:ascii="Times New Roman" w:hAnsi="Times New Roman" w:eastAsia="宋体" w:cs="Times New Roman"/>
                <w:i w:val="0"/>
                <w:iCs w:val="0"/>
                <w:color w:val="000000"/>
                <w:kern w:val="0"/>
                <w:sz w:val="21"/>
                <w:szCs w:val="21"/>
                <w:u w:val="none"/>
                <w:lang w:val="en-US" w:eastAsia="zh-CN" w:bidi="ar"/>
              </w:rPr>
              <w:t>DA00</w:t>
            </w:r>
            <w:r>
              <w:rPr>
                <w:rFonts w:hint="eastAsia" w:cs="Times New Roman"/>
                <w:i w:val="0"/>
                <w:iCs w:val="0"/>
                <w:color w:val="000000"/>
                <w:kern w:val="0"/>
                <w:sz w:val="21"/>
                <w:szCs w:val="21"/>
                <w:u w:val="none"/>
                <w:lang w:val="en-US" w:eastAsia="zh-CN" w:bidi="ar"/>
              </w:rPr>
              <w:t>5</w:t>
            </w:r>
          </w:p>
        </w:tc>
        <w:tc>
          <w:tcPr>
            <w:tcW w:w="310" w:type="pct"/>
            <w:vMerge w:val="restart"/>
            <w:tcBorders>
              <w:top w:val="single" w:color="auto" w:sz="4" w:space="0"/>
              <w:right w:val="single" w:color="auto" w:sz="4" w:space="0"/>
            </w:tcBorders>
            <w:noWrap w:val="0"/>
            <w:vAlign w:val="center"/>
          </w:tcPr>
          <w:p w14:paraId="500267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一般排放口</w:t>
            </w:r>
          </w:p>
        </w:tc>
        <w:tc>
          <w:tcPr>
            <w:tcW w:w="558" w:type="pct"/>
            <w:vMerge w:val="restart"/>
            <w:tcBorders>
              <w:top w:val="single" w:color="auto" w:sz="4" w:space="0"/>
              <w:left w:val="single" w:color="auto" w:sz="4" w:space="0"/>
            </w:tcBorders>
            <w:noWrap w:val="0"/>
            <w:vAlign w:val="center"/>
          </w:tcPr>
          <w:p w14:paraId="03C59F6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收集效率9</w:t>
            </w:r>
            <w:r>
              <w:rPr>
                <w:rFonts w:hint="eastAsia" w:cs="Times New Roman"/>
                <w:i w:val="0"/>
                <w:iCs w:val="0"/>
                <w:color w:val="000000"/>
                <w:kern w:val="0"/>
                <w:sz w:val="21"/>
                <w:szCs w:val="21"/>
                <w:u w:val="none"/>
                <w:lang w:val="en-US" w:eastAsia="zh-CN" w:bidi="ar"/>
              </w:rPr>
              <w:t>5</w:t>
            </w:r>
            <w:r>
              <w:rPr>
                <w:rFonts w:hint="default" w:ascii="Times New Roman" w:hAnsi="Times New Roman" w:cs="Times New Roman"/>
                <w:i w:val="0"/>
                <w:iCs w:val="0"/>
                <w:color w:val="000000"/>
                <w:kern w:val="0"/>
                <w:sz w:val="21"/>
                <w:szCs w:val="21"/>
                <w:u w:val="none"/>
                <w:lang w:val="en-US" w:eastAsia="zh-CN" w:bidi="ar"/>
              </w:rPr>
              <w:t>%；处理效率90%</w:t>
            </w:r>
          </w:p>
        </w:tc>
        <w:tc>
          <w:tcPr>
            <w:tcW w:w="382" w:type="pct"/>
            <w:noWrap w:val="0"/>
            <w:vAlign w:val="center"/>
          </w:tcPr>
          <w:p w14:paraId="50640FA5">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0.2630</w:t>
            </w:r>
          </w:p>
        </w:tc>
        <w:tc>
          <w:tcPr>
            <w:tcW w:w="407" w:type="pct"/>
            <w:noWrap w:val="0"/>
            <w:vAlign w:val="center"/>
          </w:tcPr>
          <w:p w14:paraId="34EBC875">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0.0378</w:t>
            </w:r>
          </w:p>
        </w:tc>
        <w:tc>
          <w:tcPr>
            <w:tcW w:w="348" w:type="pct"/>
            <w:noWrap w:val="0"/>
            <w:vAlign w:val="center"/>
          </w:tcPr>
          <w:p w14:paraId="171B824A">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1822.31</w:t>
            </w:r>
          </w:p>
        </w:tc>
        <w:tc>
          <w:tcPr>
            <w:tcW w:w="298" w:type="pct"/>
            <w:noWrap w:val="0"/>
            <w:vAlign w:val="center"/>
          </w:tcPr>
          <w:p w14:paraId="5BC7521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highlight w:val="none"/>
                <w:lang w:val="en-US" w:eastAsia="zh-CN"/>
              </w:rPr>
              <w:t>60</w:t>
            </w:r>
          </w:p>
        </w:tc>
        <w:tc>
          <w:tcPr>
            <w:tcW w:w="255" w:type="pct"/>
            <w:noWrap w:val="0"/>
            <w:vAlign w:val="center"/>
          </w:tcPr>
          <w:p w14:paraId="7AB5F06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21"/>
                <w:highlight w:val="none"/>
                <w:lang w:val="en-US" w:eastAsia="zh-CN"/>
              </w:rPr>
              <w:t>3.4</w:t>
            </w:r>
          </w:p>
        </w:tc>
        <w:tc>
          <w:tcPr>
            <w:tcW w:w="289" w:type="pct"/>
            <w:noWrap w:val="0"/>
            <w:vAlign w:val="center"/>
          </w:tcPr>
          <w:p w14:paraId="3FEE5B8E">
            <w:pPr>
              <w:keepNext w:val="0"/>
              <w:keepLines w:val="0"/>
              <w:widowControl/>
              <w:suppressLineNumbers w:val="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达标</w:t>
            </w:r>
          </w:p>
        </w:tc>
      </w:tr>
      <w:tr w14:paraId="214DD4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49694D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07A1E7E1">
            <w:pPr>
              <w:keepNext w:val="0"/>
              <w:keepLines w:val="0"/>
              <w:widowControl/>
              <w:suppressLineNumbers w:val="0"/>
              <w:jc w:val="center"/>
              <w:textAlignment w:val="center"/>
              <w:rPr>
                <w:rFonts w:hint="eastAsia"/>
                <w:szCs w:val="21"/>
                <w:lang w:val="en-US" w:eastAsia="zh-CN"/>
              </w:rPr>
            </w:pPr>
          </w:p>
        </w:tc>
        <w:tc>
          <w:tcPr>
            <w:tcW w:w="344" w:type="pct"/>
            <w:noWrap w:val="0"/>
            <w:vAlign w:val="center"/>
          </w:tcPr>
          <w:p w14:paraId="16B58E25">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rPr>
              <w:t>二甲苯</w:t>
            </w:r>
          </w:p>
        </w:tc>
        <w:tc>
          <w:tcPr>
            <w:tcW w:w="175" w:type="pct"/>
            <w:vMerge w:val="continue"/>
            <w:noWrap w:val="0"/>
            <w:vAlign w:val="center"/>
          </w:tcPr>
          <w:p w14:paraId="7551F8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noWrap w:val="0"/>
            <w:vAlign w:val="center"/>
          </w:tcPr>
          <w:p w14:paraId="64E038F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noWrap w:val="0"/>
            <w:vAlign w:val="center"/>
          </w:tcPr>
          <w:p w14:paraId="023F05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noWrap w:val="0"/>
            <w:vAlign w:val="center"/>
          </w:tcPr>
          <w:p w14:paraId="1B8F43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shd w:val="clear" w:color="auto" w:fill="auto"/>
            <w:noWrap w:val="0"/>
            <w:vAlign w:val="center"/>
          </w:tcPr>
          <w:p w14:paraId="0A516CAC">
            <w:pPr>
              <w:autoSpaceDE w:val="0"/>
              <w:autoSpaceDN w:val="0"/>
              <w:adjustRightInd w:val="0"/>
              <w:snapToGrid w:val="0"/>
              <w:jc w:val="center"/>
              <w:rPr>
                <w:rFonts w:hint="default"/>
                <w:szCs w:val="21"/>
                <w:lang w:val="en-US"/>
              </w:rPr>
            </w:pPr>
          </w:p>
        </w:tc>
        <w:tc>
          <w:tcPr>
            <w:tcW w:w="310" w:type="pct"/>
            <w:vMerge w:val="continue"/>
            <w:tcBorders>
              <w:right w:val="single" w:color="auto" w:sz="4" w:space="0"/>
            </w:tcBorders>
            <w:noWrap w:val="0"/>
            <w:vAlign w:val="center"/>
          </w:tcPr>
          <w:p w14:paraId="7155E5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tcBorders>
            <w:noWrap w:val="0"/>
            <w:vAlign w:val="center"/>
          </w:tcPr>
          <w:p w14:paraId="484AA1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3B222265">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0.0043</w:t>
            </w:r>
          </w:p>
        </w:tc>
        <w:tc>
          <w:tcPr>
            <w:tcW w:w="407" w:type="pct"/>
            <w:noWrap w:val="0"/>
            <w:vAlign w:val="center"/>
          </w:tcPr>
          <w:p w14:paraId="369009E6">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0.0006</w:t>
            </w:r>
          </w:p>
        </w:tc>
        <w:tc>
          <w:tcPr>
            <w:tcW w:w="348" w:type="pct"/>
            <w:noWrap w:val="0"/>
            <w:vAlign w:val="center"/>
          </w:tcPr>
          <w:p w14:paraId="7EDA6D08">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2.97</w:t>
            </w:r>
          </w:p>
        </w:tc>
        <w:tc>
          <w:tcPr>
            <w:tcW w:w="298" w:type="pct"/>
            <w:noWrap w:val="0"/>
            <w:vAlign w:val="center"/>
          </w:tcPr>
          <w:p w14:paraId="5EE692C5">
            <w:pPr>
              <w:adjustRightInd w:val="0"/>
              <w:snapToGrid w:val="0"/>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bCs/>
                <w:szCs w:val="21"/>
                <w:lang w:val="en-US" w:eastAsia="zh-CN"/>
              </w:rPr>
              <w:t>15</w:t>
            </w:r>
          </w:p>
        </w:tc>
        <w:tc>
          <w:tcPr>
            <w:tcW w:w="255" w:type="pct"/>
            <w:noWrap w:val="0"/>
            <w:vAlign w:val="center"/>
          </w:tcPr>
          <w:p w14:paraId="0461191A">
            <w:pPr>
              <w:pStyle w:val="84"/>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bCs/>
                <w:szCs w:val="21"/>
                <w:lang w:val="en-US" w:eastAsia="zh-CN"/>
              </w:rPr>
              <w:t>0.9</w:t>
            </w:r>
          </w:p>
        </w:tc>
        <w:tc>
          <w:tcPr>
            <w:tcW w:w="289" w:type="pct"/>
            <w:noWrap w:val="0"/>
            <w:vAlign w:val="center"/>
          </w:tcPr>
          <w:p w14:paraId="2638FDD4">
            <w:pPr>
              <w:adjustRightInd w:val="0"/>
              <w:snapToGrid w:val="0"/>
              <w:jc w:val="center"/>
              <w:rPr>
                <w:rFonts w:hint="eastAsia"/>
                <w:bCs/>
                <w:szCs w:val="21"/>
                <w:lang w:val="en-US" w:eastAsia="zh-CN"/>
              </w:rPr>
            </w:pPr>
            <w:r>
              <w:rPr>
                <w:rFonts w:hint="eastAsia"/>
                <w:color w:val="auto"/>
                <w:sz w:val="21"/>
                <w:szCs w:val="21"/>
                <w:highlight w:val="none"/>
                <w:lang w:val="en-US" w:eastAsia="zh-CN"/>
              </w:rPr>
              <w:t>达标</w:t>
            </w:r>
          </w:p>
        </w:tc>
      </w:tr>
      <w:tr w14:paraId="27D620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07B278B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10AC55FE">
            <w:pPr>
              <w:keepNext w:val="0"/>
              <w:keepLines w:val="0"/>
              <w:widowControl/>
              <w:suppressLineNumbers w:val="0"/>
              <w:jc w:val="center"/>
              <w:textAlignment w:val="center"/>
              <w:rPr>
                <w:rFonts w:hint="eastAsia"/>
                <w:szCs w:val="21"/>
                <w:lang w:val="en-US" w:eastAsia="zh-CN"/>
              </w:rPr>
            </w:pPr>
          </w:p>
        </w:tc>
        <w:tc>
          <w:tcPr>
            <w:tcW w:w="344" w:type="pct"/>
            <w:noWrap w:val="0"/>
            <w:vAlign w:val="center"/>
          </w:tcPr>
          <w:p w14:paraId="2BE49380">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rPr>
              <w:t>乙苯</w:t>
            </w:r>
          </w:p>
        </w:tc>
        <w:tc>
          <w:tcPr>
            <w:tcW w:w="175" w:type="pct"/>
            <w:vMerge w:val="continue"/>
            <w:noWrap w:val="0"/>
            <w:vAlign w:val="center"/>
          </w:tcPr>
          <w:p w14:paraId="23AB9C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09" w:type="pct"/>
            <w:vMerge w:val="continue"/>
            <w:noWrap w:val="0"/>
            <w:vAlign w:val="center"/>
          </w:tcPr>
          <w:p w14:paraId="6AADD42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7" w:type="pct"/>
            <w:vMerge w:val="continue"/>
            <w:noWrap w:val="0"/>
            <w:vAlign w:val="center"/>
          </w:tcPr>
          <w:p w14:paraId="2E1A16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noWrap w:val="0"/>
            <w:vAlign w:val="center"/>
          </w:tcPr>
          <w:p w14:paraId="5705C1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15" w:type="pct"/>
            <w:vMerge w:val="continue"/>
            <w:shd w:val="clear" w:color="auto" w:fill="auto"/>
            <w:noWrap w:val="0"/>
            <w:vAlign w:val="center"/>
          </w:tcPr>
          <w:p w14:paraId="522BDAA2">
            <w:pPr>
              <w:autoSpaceDE w:val="0"/>
              <w:autoSpaceDN w:val="0"/>
              <w:adjustRightInd w:val="0"/>
              <w:snapToGrid w:val="0"/>
              <w:jc w:val="center"/>
              <w:rPr>
                <w:rFonts w:hint="default"/>
                <w:szCs w:val="21"/>
                <w:lang w:val="en-US"/>
              </w:rPr>
            </w:pPr>
          </w:p>
        </w:tc>
        <w:tc>
          <w:tcPr>
            <w:tcW w:w="310" w:type="pct"/>
            <w:vMerge w:val="continue"/>
            <w:tcBorders>
              <w:right w:val="single" w:color="auto" w:sz="4" w:space="0"/>
            </w:tcBorders>
            <w:noWrap w:val="0"/>
            <w:vAlign w:val="center"/>
          </w:tcPr>
          <w:p w14:paraId="110140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58" w:type="pct"/>
            <w:vMerge w:val="continue"/>
            <w:tcBorders>
              <w:left w:val="single" w:color="auto" w:sz="4" w:space="0"/>
            </w:tcBorders>
            <w:noWrap w:val="0"/>
            <w:vAlign w:val="center"/>
          </w:tcPr>
          <w:p w14:paraId="09644C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2" w:type="pct"/>
            <w:noWrap w:val="0"/>
            <w:vAlign w:val="center"/>
          </w:tcPr>
          <w:p w14:paraId="749E2E8C">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6.3</w:t>
            </w:r>
            <w:r>
              <w:rPr>
                <w:rFonts w:hint="eastAsia"/>
                <w:szCs w:val="21"/>
              </w:rPr>
              <w:t>×10</w:t>
            </w:r>
            <w:r>
              <w:rPr>
                <w:rFonts w:hint="eastAsia"/>
                <w:szCs w:val="21"/>
                <w:vertAlign w:val="superscript"/>
              </w:rPr>
              <w:t>-</w:t>
            </w:r>
            <w:r>
              <w:rPr>
                <w:rFonts w:hint="eastAsia"/>
                <w:szCs w:val="21"/>
                <w:vertAlign w:val="superscript"/>
                <w:lang w:val="en-US" w:eastAsia="zh-CN"/>
              </w:rPr>
              <w:t>6</w:t>
            </w:r>
          </w:p>
        </w:tc>
        <w:tc>
          <w:tcPr>
            <w:tcW w:w="407" w:type="pct"/>
            <w:noWrap w:val="0"/>
            <w:vAlign w:val="center"/>
          </w:tcPr>
          <w:p w14:paraId="6440DF5E">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9.2</w:t>
            </w:r>
            <w:r>
              <w:rPr>
                <w:rFonts w:hint="eastAsia"/>
                <w:szCs w:val="21"/>
              </w:rPr>
              <w:t>×10</w:t>
            </w:r>
            <w:r>
              <w:rPr>
                <w:rFonts w:hint="eastAsia"/>
                <w:szCs w:val="21"/>
                <w:vertAlign w:val="superscript"/>
              </w:rPr>
              <w:t>-5</w:t>
            </w:r>
          </w:p>
        </w:tc>
        <w:tc>
          <w:tcPr>
            <w:tcW w:w="348" w:type="pct"/>
            <w:noWrap w:val="0"/>
            <w:vAlign w:val="center"/>
          </w:tcPr>
          <w:p w14:paraId="6736E46C">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0.44</w:t>
            </w:r>
          </w:p>
        </w:tc>
        <w:tc>
          <w:tcPr>
            <w:tcW w:w="298" w:type="pct"/>
            <w:noWrap w:val="0"/>
            <w:vAlign w:val="center"/>
          </w:tcPr>
          <w:p w14:paraId="1690496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w:t>
            </w:r>
          </w:p>
        </w:tc>
        <w:tc>
          <w:tcPr>
            <w:tcW w:w="255" w:type="pct"/>
            <w:noWrap w:val="0"/>
            <w:vAlign w:val="center"/>
          </w:tcPr>
          <w:p w14:paraId="1578E63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w:t>
            </w:r>
          </w:p>
        </w:tc>
        <w:tc>
          <w:tcPr>
            <w:tcW w:w="289" w:type="pct"/>
            <w:noWrap w:val="0"/>
            <w:vAlign w:val="center"/>
          </w:tcPr>
          <w:p w14:paraId="0366A79B">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6895D9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4DCC481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tcBorders>
              <w:bottom w:val="single" w:color="auto" w:sz="4" w:space="0"/>
            </w:tcBorders>
            <w:noWrap w:val="0"/>
            <w:vAlign w:val="center"/>
          </w:tcPr>
          <w:p w14:paraId="7A9B94C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44" w:type="pct"/>
            <w:noWrap w:val="0"/>
            <w:vAlign w:val="center"/>
          </w:tcPr>
          <w:p w14:paraId="3EF58807">
            <w:pPr>
              <w:autoSpaceDE w:val="0"/>
              <w:autoSpaceDN w:val="0"/>
              <w:adjustRightInd w:val="0"/>
              <w:snapToGrid w:val="0"/>
              <w:jc w:val="center"/>
              <w:rPr>
                <w:rFonts w:hint="eastAsia" w:eastAsia="宋体"/>
                <w:szCs w:val="21"/>
                <w:lang w:val="en-US" w:eastAsia="zh-CN"/>
              </w:rPr>
            </w:pPr>
            <w:r>
              <w:rPr>
                <w:rFonts w:hint="eastAsia"/>
                <w:szCs w:val="21"/>
                <w:lang w:val="en-US" w:eastAsia="zh-CN"/>
              </w:rPr>
              <w:t>漆雾</w:t>
            </w:r>
          </w:p>
        </w:tc>
        <w:tc>
          <w:tcPr>
            <w:tcW w:w="175" w:type="pct"/>
            <w:vMerge w:val="continue"/>
            <w:noWrap w:val="0"/>
            <w:vAlign w:val="center"/>
          </w:tcPr>
          <w:p w14:paraId="27F28CCC">
            <w:pPr>
              <w:keepNext w:val="0"/>
              <w:keepLines w:val="0"/>
              <w:widowControl/>
              <w:suppressLineNumbers w:val="0"/>
              <w:jc w:val="center"/>
              <w:textAlignment w:val="center"/>
              <w:rPr>
                <w:color w:val="FF0000"/>
                <w:kern w:val="0"/>
                <w:sz w:val="21"/>
                <w:szCs w:val="21"/>
                <w:highlight w:val="none"/>
                <w:lang w:bidi="ar"/>
              </w:rPr>
            </w:pPr>
          </w:p>
        </w:tc>
        <w:tc>
          <w:tcPr>
            <w:tcW w:w="209" w:type="pct"/>
            <w:vMerge w:val="continue"/>
            <w:noWrap w:val="0"/>
            <w:vAlign w:val="center"/>
          </w:tcPr>
          <w:p w14:paraId="3797E26C">
            <w:pPr>
              <w:keepNext w:val="0"/>
              <w:keepLines w:val="0"/>
              <w:widowControl/>
              <w:suppressLineNumbers w:val="0"/>
              <w:jc w:val="center"/>
              <w:textAlignment w:val="center"/>
              <w:rPr>
                <w:color w:val="FF0000"/>
                <w:kern w:val="0"/>
                <w:sz w:val="21"/>
                <w:szCs w:val="21"/>
                <w:highlight w:val="none"/>
                <w:lang w:bidi="ar"/>
              </w:rPr>
            </w:pPr>
          </w:p>
        </w:tc>
        <w:tc>
          <w:tcPr>
            <w:tcW w:w="257" w:type="pct"/>
            <w:vMerge w:val="continue"/>
            <w:noWrap w:val="0"/>
            <w:vAlign w:val="center"/>
          </w:tcPr>
          <w:p w14:paraId="6EFF756C">
            <w:pPr>
              <w:jc w:val="center"/>
              <w:rPr>
                <w:color w:val="FF0000"/>
                <w:kern w:val="0"/>
                <w:sz w:val="21"/>
                <w:szCs w:val="21"/>
                <w:highlight w:val="none"/>
                <w:lang w:bidi="ar"/>
              </w:rPr>
            </w:pPr>
          </w:p>
        </w:tc>
        <w:tc>
          <w:tcPr>
            <w:tcW w:w="315" w:type="pct"/>
            <w:vMerge w:val="continue"/>
            <w:noWrap w:val="0"/>
            <w:vAlign w:val="center"/>
          </w:tcPr>
          <w:p w14:paraId="28441827">
            <w:pPr>
              <w:jc w:val="center"/>
              <w:rPr>
                <w:color w:val="FF0000"/>
                <w:kern w:val="0"/>
                <w:sz w:val="21"/>
                <w:szCs w:val="21"/>
                <w:highlight w:val="none"/>
                <w:lang w:bidi="ar"/>
              </w:rPr>
            </w:pPr>
          </w:p>
        </w:tc>
        <w:tc>
          <w:tcPr>
            <w:tcW w:w="315" w:type="pct"/>
            <w:vMerge w:val="continue"/>
            <w:noWrap w:val="0"/>
            <w:vAlign w:val="center"/>
          </w:tcPr>
          <w:p w14:paraId="448FAB63">
            <w:pPr>
              <w:jc w:val="center"/>
              <w:rPr>
                <w:color w:val="FF0000"/>
                <w:kern w:val="0"/>
                <w:sz w:val="21"/>
                <w:szCs w:val="21"/>
                <w:highlight w:val="none"/>
                <w:lang w:bidi="ar"/>
              </w:rPr>
            </w:pPr>
          </w:p>
        </w:tc>
        <w:tc>
          <w:tcPr>
            <w:tcW w:w="310" w:type="pct"/>
            <w:vMerge w:val="continue"/>
            <w:tcBorders>
              <w:right w:val="single" w:color="auto" w:sz="4" w:space="0"/>
            </w:tcBorders>
            <w:noWrap w:val="0"/>
            <w:vAlign w:val="center"/>
          </w:tcPr>
          <w:p w14:paraId="57AA7F25">
            <w:pPr>
              <w:jc w:val="center"/>
              <w:rPr>
                <w:color w:val="FF0000"/>
                <w:kern w:val="0"/>
                <w:sz w:val="21"/>
                <w:szCs w:val="21"/>
                <w:highlight w:val="none"/>
                <w:lang w:bidi="ar"/>
              </w:rPr>
            </w:pPr>
          </w:p>
        </w:tc>
        <w:tc>
          <w:tcPr>
            <w:tcW w:w="558" w:type="pct"/>
            <w:vMerge w:val="continue"/>
            <w:tcBorders>
              <w:left w:val="single" w:color="auto" w:sz="4" w:space="0"/>
            </w:tcBorders>
            <w:noWrap w:val="0"/>
            <w:vAlign w:val="center"/>
          </w:tcPr>
          <w:p w14:paraId="46551769">
            <w:pPr>
              <w:jc w:val="center"/>
              <w:rPr>
                <w:color w:val="FF0000"/>
                <w:kern w:val="0"/>
                <w:sz w:val="21"/>
                <w:szCs w:val="21"/>
                <w:highlight w:val="none"/>
                <w:lang w:bidi="ar"/>
              </w:rPr>
            </w:pPr>
          </w:p>
        </w:tc>
        <w:tc>
          <w:tcPr>
            <w:tcW w:w="382" w:type="pct"/>
            <w:noWrap w:val="0"/>
            <w:vAlign w:val="center"/>
          </w:tcPr>
          <w:p w14:paraId="68C82EE3">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4.8</w:t>
            </w:r>
            <w:r>
              <w:rPr>
                <w:rFonts w:hint="eastAsia"/>
                <w:szCs w:val="21"/>
              </w:rPr>
              <w:t>×10</w:t>
            </w:r>
            <w:r>
              <w:rPr>
                <w:rFonts w:hint="eastAsia"/>
                <w:szCs w:val="21"/>
                <w:vertAlign w:val="superscript"/>
              </w:rPr>
              <w:t>-</w:t>
            </w:r>
            <w:r>
              <w:rPr>
                <w:rFonts w:hint="eastAsia"/>
                <w:szCs w:val="21"/>
                <w:vertAlign w:val="superscript"/>
                <w:lang w:val="en-US" w:eastAsia="zh-CN"/>
              </w:rPr>
              <w:t>8</w:t>
            </w:r>
          </w:p>
        </w:tc>
        <w:tc>
          <w:tcPr>
            <w:tcW w:w="407" w:type="pct"/>
            <w:noWrap w:val="0"/>
            <w:vAlign w:val="center"/>
          </w:tcPr>
          <w:p w14:paraId="3089745F">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6.9</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9</w:t>
            </w:r>
          </w:p>
        </w:tc>
        <w:tc>
          <w:tcPr>
            <w:tcW w:w="348" w:type="pct"/>
            <w:noWrap w:val="0"/>
            <w:vAlign w:val="center"/>
          </w:tcPr>
          <w:p w14:paraId="38B10413">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0.0331</w:t>
            </w:r>
          </w:p>
        </w:tc>
        <w:tc>
          <w:tcPr>
            <w:tcW w:w="298" w:type="pct"/>
            <w:noWrap w:val="0"/>
            <w:vAlign w:val="center"/>
          </w:tcPr>
          <w:p w14:paraId="284BDA17">
            <w:pPr>
              <w:keepNext w:val="0"/>
              <w:keepLines w:val="0"/>
              <w:widowControl/>
              <w:suppressLineNumbers w:val="0"/>
              <w:tabs>
                <w:tab w:val="left" w:pos="395"/>
              </w:tabs>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255" w:type="pct"/>
            <w:noWrap w:val="0"/>
            <w:vAlign w:val="center"/>
          </w:tcPr>
          <w:p w14:paraId="2EC1AE48">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w:t>
            </w:r>
          </w:p>
        </w:tc>
        <w:tc>
          <w:tcPr>
            <w:tcW w:w="289" w:type="pct"/>
            <w:noWrap w:val="0"/>
            <w:vAlign w:val="center"/>
          </w:tcPr>
          <w:p w14:paraId="31CC8D6A">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1D9560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22DCC0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restart"/>
            <w:tcBorders>
              <w:top w:val="single" w:color="auto" w:sz="4" w:space="0"/>
            </w:tcBorders>
            <w:noWrap w:val="0"/>
            <w:vAlign w:val="center"/>
          </w:tcPr>
          <w:p w14:paraId="59E60DE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szCs w:val="21"/>
                <w:lang w:val="en-US" w:eastAsia="zh-CN"/>
              </w:rPr>
              <w:t>3#喷涂生产线</w:t>
            </w:r>
          </w:p>
        </w:tc>
        <w:tc>
          <w:tcPr>
            <w:tcW w:w="344" w:type="pct"/>
            <w:noWrap w:val="0"/>
            <w:vAlign w:val="center"/>
          </w:tcPr>
          <w:p w14:paraId="486F03FE">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5" w:type="pct"/>
            <w:vMerge w:val="restart"/>
            <w:noWrap w:val="0"/>
            <w:vAlign w:val="center"/>
          </w:tcPr>
          <w:p w14:paraId="6DF3D3A4">
            <w:pPr>
              <w:keepNext w:val="0"/>
              <w:keepLines w:val="0"/>
              <w:widowControl/>
              <w:suppressLineNumbers w:val="0"/>
              <w:jc w:val="center"/>
              <w:textAlignment w:val="center"/>
              <w:rPr>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09" w:type="pct"/>
            <w:vMerge w:val="restart"/>
            <w:noWrap w:val="0"/>
            <w:vAlign w:val="center"/>
          </w:tcPr>
          <w:p w14:paraId="3B7DFDC8">
            <w:pPr>
              <w:keepNext w:val="0"/>
              <w:keepLines w:val="0"/>
              <w:widowControl/>
              <w:suppressLineNumbers w:val="0"/>
              <w:jc w:val="center"/>
              <w:textAlignment w:val="center"/>
              <w:rPr>
                <w:color w:val="FF0000"/>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常温</w:t>
            </w:r>
          </w:p>
        </w:tc>
        <w:tc>
          <w:tcPr>
            <w:tcW w:w="257" w:type="pct"/>
            <w:vMerge w:val="restart"/>
            <w:noWrap w:val="0"/>
            <w:vAlign w:val="center"/>
          </w:tcPr>
          <w:p w14:paraId="1F12AA27">
            <w:pPr>
              <w:keepNext w:val="0"/>
              <w:keepLines w:val="0"/>
              <w:widowControl/>
              <w:suppressLineNumbers w:val="0"/>
              <w:jc w:val="center"/>
              <w:textAlignment w:val="center"/>
              <w:rPr>
                <w:color w:val="FF0000"/>
                <w:kern w:val="0"/>
                <w:sz w:val="21"/>
                <w:szCs w:val="21"/>
                <w:highlight w:val="none"/>
                <w:lang w:bidi="ar"/>
              </w:rPr>
            </w:pPr>
            <w:r>
              <w:rPr>
                <w:rFonts w:hint="eastAsia" w:cs="Times New Roman"/>
                <w:i w:val="0"/>
                <w:iCs w:val="0"/>
                <w:color w:val="000000"/>
                <w:kern w:val="0"/>
                <w:sz w:val="21"/>
                <w:szCs w:val="21"/>
                <w:u w:val="none"/>
                <w:lang w:val="en-US" w:eastAsia="zh-CN" w:bidi="ar"/>
              </w:rPr>
              <w:t>1</w:t>
            </w:r>
          </w:p>
        </w:tc>
        <w:tc>
          <w:tcPr>
            <w:tcW w:w="315" w:type="pct"/>
            <w:vMerge w:val="restart"/>
            <w:noWrap w:val="0"/>
            <w:vAlign w:val="center"/>
          </w:tcPr>
          <w:p w14:paraId="2616BD83">
            <w:pPr>
              <w:jc w:val="center"/>
              <w:rPr>
                <w:color w:val="FF0000"/>
                <w:kern w:val="0"/>
                <w:sz w:val="21"/>
                <w:szCs w:val="21"/>
                <w:highlight w:val="none"/>
                <w:lang w:bidi="ar"/>
              </w:rPr>
            </w:pPr>
            <w:r>
              <w:rPr>
                <w:rFonts w:hint="eastAsia" w:cs="Times New Roman"/>
                <w:i w:val="0"/>
                <w:iCs w:val="0"/>
                <w:color w:val="000000"/>
                <w:kern w:val="0"/>
                <w:sz w:val="21"/>
                <w:szCs w:val="21"/>
                <w:u w:val="none"/>
                <w:lang w:val="en-US" w:eastAsia="zh-CN" w:bidi="ar"/>
              </w:rPr>
              <w:t>4800</w:t>
            </w:r>
          </w:p>
        </w:tc>
        <w:tc>
          <w:tcPr>
            <w:tcW w:w="315" w:type="pct"/>
            <w:vMerge w:val="restart"/>
            <w:noWrap w:val="0"/>
            <w:vAlign w:val="center"/>
          </w:tcPr>
          <w:p w14:paraId="4AE7781E">
            <w:pPr>
              <w:jc w:val="center"/>
              <w:rPr>
                <w:rFonts w:hint="default"/>
                <w:color w:val="FF0000"/>
                <w:kern w:val="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DA00</w:t>
            </w:r>
            <w:r>
              <w:rPr>
                <w:rFonts w:hint="eastAsia" w:cs="Times New Roman"/>
                <w:i w:val="0"/>
                <w:iCs w:val="0"/>
                <w:color w:val="000000"/>
                <w:kern w:val="0"/>
                <w:sz w:val="21"/>
                <w:szCs w:val="21"/>
                <w:u w:val="none"/>
                <w:lang w:val="en-US" w:eastAsia="zh-CN" w:bidi="ar"/>
              </w:rPr>
              <w:t>6</w:t>
            </w:r>
          </w:p>
        </w:tc>
        <w:tc>
          <w:tcPr>
            <w:tcW w:w="310" w:type="pct"/>
            <w:vMerge w:val="restart"/>
            <w:tcBorders>
              <w:right w:val="single" w:color="auto" w:sz="4" w:space="0"/>
            </w:tcBorders>
            <w:noWrap w:val="0"/>
            <w:vAlign w:val="center"/>
          </w:tcPr>
          <w:p w14:paraId="0CB7F94A">
            <w:pPr>
              <w:jc w:val="center"/>
              <w:rPr>
                <w:color w:val="FF0000"/>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一般排放口</w:t>
            </w:r>
          </w:p>
        </w:tc>
        <w:tc>
          <w:tcPr>
            <w:tcW w:w="558" w:type="pct"/>
            <w:vMerge w:val="restart"/>
            <w:tcBorders>
              <w:left w:val="single" w:color="auto" w:sz="4" w:space="0"/>
            </w:tcBorders>
            <w:noWrap w:val="0"/>
            <w:vAlign w:val="center"/>
          </w:tcPr>
          <w:p w14:paraId="544C333F">
            <w:pPr>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收集效率9</w:t>
            </w:r>
            <w:r>
              <w:rPr>
                <w:rFonts w:hint="eastAsia" w:cs="Times New Roman"/>
                <w:i w:val="0"/>
                <w:iCs w:val="0"/>
                <w:color w:val="000000"/>
                <w:kern w:val="0"/>
                <w:sz w:val="21"/>
                <w:szCs w:val="21"/>
                <w:u w:val="none"/>
                <w:lang w:val="en-US" w:eastAsia="zh-CN" w:bidi="ar"/>
              </w:rPr>
              <w:t>5</w:t>
            </w:r>
            <w:r>
              <w:rPr>
                <w:rFonts w:hint="default" w:ascii="Times New Roman" w:hAnsi="Times New Roman" w:cs="Times New Roman"/>
                <w:i w:val="0"/>
                <w:iCs w:val="0"/>
                <w:color w:val="000000"/>
                <w:kern w:val="0"/>
                <w:sz w:val="21"/>
                <w:szCs w:val="21"/>
                <w:u w:val="none"/>
                <w:lang w:val="en-US" w:eastAsia="zh-CN" w:bidi="ar"/>
              </w:rPr>
              <w:t>%；处理效率90%</w:t>
            </w:r>
          </w:p>
        </w:tc>
        <w:tc>
          <w:tcPr>
            <w:tcW w:w="382" w:type="pct"/>
            <w:noWrap w:val="0"/>
            <w:vAlign w:val="center"/>
          </w:tcPr>
          <w:p w14:paraId="2A61E7CF">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0.4987</w:t>
            </w:r>
          </w:p>
        </w:tc>
        <w:tc>
          <w:tcPr>
            <w:tcW w:w="407" w:type="pct"/>
            <w:noWrap w:val="0"/>
            <w:vAlign w:val="center"/>
          </w:tcPr>
          <w:p w14:paraId="3D070345">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0.0378</w:t>
            </w:r>
          </w:p>
        </w:tc>
        <w:tc>
          <w:tcPr>
            <w:tcW w:w="348" w:type="pct"/>
            <w:noWrap w:val="0"/>
            <w:vAlign w:val="center"/>
          </w:tcPr>
          <w:p w14:paraId="7DCDF9B7">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1822.31</w:t>
            </w:r>
          </w:p>
        </w:tc>
        <w:tc>
          <w:tcPr>
            <w:tcW w:w="298" w:type="pct"/>
            <w:noWrap w:val="0"/>
            <w:vAlign w:val="center"/>
          </w:tcPr>
          <w:p w14:paraId="5C1A133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highlight w:val="none"/>
                <w:lang w:val="en-US" w:eastAsia="zh-CN"/>
              </w:rPr>
              <w:t>60</w:t>
            </w:r>
          </w:p>
        </w:tc>
        <w:tc>
          <w:tcPr>
            <w:tcW w:w="255" w:type="pct"/>
            <w:noWrap w:val="0"/>
            <w:vAlign w:val="center"/>
          </w:tcPr>
          <w:p w14:paraId="535142D1">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color w:val="auto"/>
                <w:sz w:val="21"/>
                <w:szCs w:val="21"/>
                <w:highlight w:val="none"/>
                <w:lang w:val="en-US" w:eastAsia="zh-CN"/>
              </w:rPr>
              <w:t>3.4</w:t>
            </w:r>
          </w:p>
        </w:tc>
        <w:tc>
          <w:tcPr>
            <w:tcW w:w="289" w:type="pct"/>
            <w:noWrap w:val="0"/>
            <w:vAlign w:val="center"/>
          </w:tcPr>
          <w:p w14:paraId="4366882D">
            <w:pPr>
              <w:keepNext w:val="0"/>
              <w:keepLines w:val="0"/>
              <w:widowControl/>
              <w:suppressLineNumbers w:val="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达标</w:t>
            </w:r>
          </w:p>
        </w:tc>
      </w:tr>
      <w:tr w14:paraId="0C8179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7BC7EAD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7977EE5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44" w:type="pct"/>
            <w:noWrap w:val="0"/>
            <w:vAlign w:val="center"/>
          </w:tcPr>
          <w:p w14:paraId="6AB1A676">
            <w:pPr>
              <w:autoSpaceDE w:val="0"/>
              <w:autoSpaceDN w:val="0"/>
              <w:adjustRightInd w:val="0"/>
              <w:snapToGrid w:val="0"/>
              <w:jc w:val="center"/>
              <w:rPr>
                <w:rFonts w:hint="eastAsia"/>
                <w:szCs w:val="21"/>
              </w:rPr>
            </w:pPr>
            <w:r>
              <w:rPr>
                <w:rFonts w:hint="eastAsia"/>
                <w:szCs w:val="21"/>
              </w:rPr>
              <w:t>二甲苯</w:t>
            </w:r>
          </w:p>
        </w:tc>
        <w:tc>
          <w:tcPr>
            <w:tcW w:w="175" w:type="pct"/>
            <w:vMerge w:val="continue"/>
            <w:noWrap w:val="0"/>
            <w:vAlign w:val="center"/>
          </w:tcPr>
          <w:p w14:paraId="0D616FE9">
            <w:pPr>
              <w:keepNext w:val="0"/>
              <w:keepLines w:val="0"/>
              <w:widowControl/>
              <w:suppressLineNumbers w:val="0"/>
              <w:jc w:val="center"/>
              <w:textAlignment w:val="center"/>
              <w:rPr>
                <w:color w:val="FF0000"/>
                <w:kern w:val="0"/>
                <w:sz w:val="21"/>
                <w:szCs w:val="21"/>
                <w:highlight w:val="none"/>
                <w:lang w:bidi="ar"/>
              </w:rPr>
            </w:pPr>
          </w:p>
        </w:tc>
        <w:tc>
          <w:tcPr>
            <w:tcW w:w="209" w:type="pct"/>
            <w:vMerge w:val="continue"/>
            <w:noWrap w:val="0"/>
            <w:vAlign w:val="center"/>
          </w:tcPr>
          <w:p w14:paraId="1C9EC54A">
            <w:pPr>
              <w:keepNext w:val="0"/>
              <w:keepLines w:val="0"/>
              <w:widowControl/>
              <w:suppressLineNumbers w:val="0"/>
              <w:jc w:val="center"/>
              <w:textAlignment w:val="center"/>
              <w:rPr>
                <w:color w:val="FF0000"/>
                <w:kern w:val="0"/>
                <w:sz w:val="21"/>
                <w:szCs w:val="21"/>
                <w:highlight w:val="none"/>
                <w:lang w:bidi="ar"/>
              </w:rPr>
            </w:pPr>
          </w:p>
        </w:tc>
        <w:tc>
          <w:tcPr>
            <w:tcW w:w="257" w:type="pct"/>
            <w:vMerge w:val="continue"/>
            <w:noWrap w:val="0"/>
            <w:vAlign w:val="center"/>
          </w:tcPr>
          <w:p w14:paraId="0D96AF6B">
            <w:pPr>
              <w:jc w:val="center"/>
              <w:rPr>
                <w:color w:val="FF0000"/>
                <w:kern w:val="0"/>
                <w:sz w:val="21"/>
                <w:szCs w:val="21"/>
                <w:highlight w:val="none"/>
                <w:lang w:bidi="ar"/>
              </w:rPr>
            </w:pPr>
          </w:p>
        </w:tc>
        <w:tc>
          <w:tcPr>
            <w:tcW w:w="315" w:type="pct"/>
            <w:vMerge w:val="continue"/>
            <w:noWrap w:val="0"/>
            <w:vAlign w:val="center"/>
          </w:tcPr>
          <w:p w14:paraId="0CFAD7F4">
            <w:pPr>
              <w:jc w:val="center"/>
              <w:rPr>
                <w:color w:val="FF0000"/>
                <w:kern w:val="0"/>
                <w:sz w:val="21"/>
                <w:szCs w:val="21"/>
                <w:highlight w:val="none"/>
                <w:lang w:bidi="ar"/>
              </w:rPr>
            </w:pPr>
          </w:p>
        </w:tc>
        <w:tc>
          <w:tcPr>
            <w:tcW w:w="315" w:type="pct"/>
            <w:vMerge w:val="continue"/>
            <w:noWrap w:val="0"/>
            <w:vAlign w:val="center"/>
          </w:tcPr>
          <w:p w14:paraId="54C24EB1">
            <w:pPr>
              <w:jc w:val="center"/>
              <w:rPr>
                <w:color w:val="FF0000"/>
                <w:kern w:val="0"/>
                <w:sz w:val="21"/>
                <w:szCs w:val="21"/>
                <w:highlight w:val="none"/>
                <w:lang w:bidi="ar"/>
              </w:rPr>
            </w:pPr>
          </w:p>
        </w:tc>
        <w:tc>
          <w:tcPr>
            <w:tcW w:w="310" w:type="pct"/>
            <w:vMerge w:val="continue"/>
            <w:tcBorders>
              <w:right w:val="single" w:color="auto" w:sz="4" w:space="0"/>
            </w:tcBorders>
            <w:noWrap w:val="0"/>
            <w:vAlign w:val="center"/>
          </w:tcPr>
          <w:p w14:paraId="22E69A18">
            <w:pPr>
              <w:jc w:val="center"/>
              <w:rPr>
                <w:color w:val="FF0000"/>
                <w:kern w:val="0"/>
                <w:sz w:val="21"/>
                <w:szCs w:val="21"/>
                <w:highlight w:val="none"/>
                <w:lang w:bidi="ar"/>
              </w:rPr>
            </w:pPr>
          </w:p>
        </w:tc>
        <w:tc>
          <w:tcPr>
            <w:tcW w:w="558" w:type="pct"/>
            <w:vMerge w:val="continue"/>
            <w:tcBorders>
              <w:left w:val="single" w:color="auto" w:sz="4" w:space="0"/>
            </w:tcBorders>
            <w:noWrap w:val="0"/>
            <w:vAlign w:val="center"/>
          </w:tcPr>
          <w:p w14:paraId="689A0F02">
            <w:pPr>
              <w:jc w:val="center"/>
              <w:rPr>
                <w:color w:val="FF0000"/>
                <w:kern w:val="0"/>
                <w:sz w:val="21"/>
                <w:szCs w:val="21"/>
                <w:highlight w:val="none"/>
                <w:lang w:bidi="ar"/>
              </w:rPr>
            </w:pPr>
          </w:p>
        </w:tc>
        <w:tc>
          <w:tcPr>
            <w:tcW w:w="382" w:type="pct"/>
            <w:noWrap w:val="0"/>
            <w:vAlign w:val="center"/>
          </w:tcPr>
          <w:p w14:paraId="6A1D163A">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0.0079</w:t>
            </w:r>
          </w:p>
        </w:tc>
        <w:tc>
          <w:tcPr>
            <w:tcW w:w="407" w:type="pct"/>
            <w:noWrap w:val="0"/>
            <w:vAlign w:val="center"/>
          </w:tcPr>
          <w:p w14:paraId="3A5010B0">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0.0006</w:t>
            </w:r>
          </w:p>
        </w:tc>
        <w:tc>
          <w:tcPr>
            <w:tcW w:w="348" w:type="pct"/>
            <w:noWrap w:val="0"/>
            <w:vAlign w:val="center"/>
          </w:tcPr>
          <w:p w14:paraId="02604BF3">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2.97</w:t>
            </w:r>
          </w:p>
        </w:tc>
        <w:tc>
          <w:tcPr>
            <w:tcW w:w="298" w:type="pct"/>
            <w:noWrap w:val="0"/>
            <w:vAlign w:val="center"/>
          </w:tcPr>
          <w:p w14:paraId="275FFEE3">
            <w:pPr>
              <w:adjustRightInd w:val="0"/>
              <w:snapToGrid w:val="0"/>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bCs/>
                <w:szCs w:val="21"/>
                <w:lang w:val="en-US" w:eastAsia="zh-CN"/>
              </w:rPr>
              <w:t>15</w:t>
            </w:r>
          </w:p>
        </w:tc>
        <w:tc>
          <w:tcPr>
            <w:tcW w:w="255" w:type="pct"/>
            <w:noWrap w:val="0"/>
            <w:vAlign w:val="center"/>
          </w:tcPr>
          <w:p w14:paraId="256ACDBF">
            <w:pPr>
              <w:pStyle w:val="84"/>
              <w:adjustRightInd w:val="0"/>
              <w:snapToGrid w:val="0"/>
              <w:jc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bCs/>
                <w:szCs w:val="21"/>
                <w:lang w:val="en-US" w:eastAsia="zh-CN"/>
              </w:rPr>
              <w:t>0.9</w:t>
            </w:r>
          </w:p>
        </w:tc>
        <w:tc>
          <w:tcPr>
            <w:tcW w:w="289" w:type="pct"/>
            <w:noWrap w:val="0"/>
            <w:vAlign w:val="center"/>
          </w:tcPr>
          <w:p w14:paraId="5322B9A2">
            <w:pPr>
              <w:adjustRightInd w:val="0"/>
              <w:snapToGrid w:val="0"/>
              <w:jc w:val="center"/>
              <w:rPr>
                <w:rFonts w:hint="eastAsia"/>
                <w:bCs/>
                <w:szCs w:val="21"/>
                <w:lang w:val="en-US" w:eastAsia="zh-CN"/>
              </w:rPr>
            </w:pPr>
            <w:r>
              <w:rPr>
                <w:rFonts w:hint="eastAsia"/>
                <w:color w:val="auto"/>
                <w:sz w:val="21"/>
                <w:szCs w:val="21"/>
                <w:highlight w:val="none"/>
                <w:lang w:val="en-US" w:eastAsia="zh-CN"/>
              </w:rPr>
              <w:t>达标</w:t>
            </w:r>
          </w:p>
        </w:tc>
      </w:tr>
      <w:tr w14:paraId="523D51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608494B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223C409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44" w:type="pct"/>
            <w:noWrap w:val="0"/>
            <w:vAlign w:val="center"/>
          </w:tcPr>
          <w:p w14:paraId="456A19EA">
            <w:pPr>
              <w:autoSpaceDE w:val="0"/>
              <w:autoSpaceDN w:val="0"/>
              <w:adjustRightInd w:val="0"/>
              <w:snapToGrid w:val="0"/>
              <w:jc w:val="center"/>
              <w:rPr>
                <w:rFonts w:hint="eastAsia"/>
                <w:szCs w:val="21"/>
              </w:rPr>
            </w:pPr>
            <w:r>
              <w:rPr>
                <w:rFonts w:hint="eastAsia"/>
                <w:szCs w:val="21"/>
              </w:rPr>
              <w:t>乙苯</w:t>
            </w:r>
          </w:p>
        </w:tc>
        <w:tc>
          <w:tcPr>
            <w:tcW w:w="175" w:type="pct"/>
            <w:vMerge w:val="continue"/>
            <w:noWrap w:val="0"/>
            <w:vAlign w:val="center"/>
          </w:tcPr>
          <w:p w14:paraId="28294BBA">
            <w:pPr>
              <w:keepNext w:val="0"/>
              <w:keepLines w:val="0"/>
              <w:widowControl/>
              <w:suppressLineNumbers w:val="0"/>
              <w:jc w:val="center"/>
              <w:textAlignment w:val="center"/>
              <w:rPr>
                <w:color w:val="FF0000"/>
                <w:kern w:val="0"/>
                <w:sz w:val="21"/>
                <w:szCs w:val="21"/>
                <w:highlight w:val="none"/>
                <w:lang w:bidi="ar"/>
              </w:rPr>
            </w:pPr>
          </w:p>
        </w:tc>
        <w:tc>
          <w:tcPr>
            <w:tcW w:w="209" w:type="pct"/>
            <w:vMerge w:val="continue"/>
            <w:noWrap w:val="0"/>
            <w:vAlign w:val="center"/>
          </w:tcPr>
          <w:p w14:paraId="57F0D623">
            <w:pPr>
              <w:keepNext w:val="0"/>
              <w:keepLines w:val="0"/>
              <w:widowControl/>
              <w:suppressLineNumbers w:val="0"/>
              <w:jc w:val="center"/>
              <w:textAlignment w:val="center"/>
              <w:rPr>
                <w:color w:val="FF0000"/>
                <w:kern w:val="0"/>
                <w:sz w:val="21"/>
                <w:szCs w:val="21"/>
                <w:highlight w:val="none"/>
                <w:lang w:bidi="ar"/>
              </w:rPr>
            </w:pPr>
          </w:p>
        </w:tc>
        <w:tc>
          <w:tcPr>
            <w:tcW w:w="257" w:type="pct"/>
            <w:vMerge w:val="continue"/>
            <w:noWrap w:val="0"/>
            <w:vAlign w:val="center"/>
          </w:tcPr>
          <w:p w14:paraId="1B93CE41">
            <w:pPr>
              <w:jc w:val="center"/>
              <w:rPr>
                <w:color w:val="FF0000"/>
                <w:kern w:val="0"/>
                <w:sz w:val="21"/>
                <w:szCs w:val="21"/>
                <w:highlight w:val="none"/>
                <w:lang w:bidi="ar"/>
              </w:rPr>
            </w:pPr>
          </w:p>
        </w:tc>
        <w:tc>
          <w:tcPr>
            <w:tcW w:w="315" w:type="pct"/>
            <w:vMerge w:val="continue"/>
            <w:noWrap w:val="0"/>
            <w:vAlign w:val="center"/>
          </w:tcPr>
          <w:p w14:paraId="0E36A35B">
            <w:pPr>
              <w:jc w:val="center"/>
              <w:rPr>
                <w:color w:val="FF0000"/>
                <w:kern w:val="0"/>
                <w:sz w:val="21"/>
                <w:szCs w:val="21"/>
                <w:highlight w:val="none"/>
                <w:lang w:bidi="ar"/>
              </w:rPr>
            </w:pPr>
          </w:p>
        </w:tc>
        <w:tc>
          <w:tcPr>
            <w:tcW w:w="315" w:type="pct"/>
            <w:vMerge w:val="continue"/>
            <w:noWrap w:val="0"/>
            <w:vAlign w:val="center"/>
          </w:tcPr>
          <w:p w14:paraId="0B855FAA">
            <w:pPr>
              <w:jc w:val="center"/>
              <w:rPr>
                <w:color w:val="FF0000"/>
                <w:kern w:val="0"/>
                <w:sz w:val="21"/>
                <w:szCs w:val="21"/>
                <w:highlight w:val="none"/>
                <w:lang w:bidi="ar"/>
              </w:rPr>
            </w:pPr>
          </w:p>
        </w:tc>
        <w:tc>
          <w:tcPr>
            <w:tcW w:w="310" w:type="pct"/>
            <w:vMerge w:val="continue"/>
            <w:tcBorders>
              <w:right w:val="single" w:color="auto" w:sz="4" w:space="0"/>
            </w:tcBorders>
            <w:noWrap w:val="0"/>
            <w:vAlign w:val="center"/>
          </w:tcPr>
          <w:p w14:paraId="0268F468">
            <w:pPr>
              <w:jc w:val="center"/>
              <w:rPr>
                <w:color w:val="FF0000"/>
                <w:kern w:val="0"/>
                <w:sz w:val="21"/>
                <w:szCs w:val="21"/>
                <w:highlight w:val="none"/>
                <w:lang w:bidi="ar"/>
              </w:rPr>
            </w:pPr>
          </w:p>
        </w:tc>
        <w:tc>
          <w:tcPr>
            <w:tcW w:w="558" w:type="pct"/>
            <w:vMerge w:val="continue"/>
            <w:tcBorders>
              <w:left w:val="single" w:color="auto" w:sz="4" w:space="0"/>
            </w:tcBorders>
            <w:noWrap w:val="0"/>
            <w:vAlign w:val="center"/>
          </w:tcPr>
          <w:p w14:paraId="0603F16F">
            <w:pPr>
              <w:jc w:val="center"/>
              <w:rPr>
                <w:color w:val="FF0000"/>
                <w:kern w:val="0"/>
                <w:sz w:val="21"/>
                <w:szCs w:val="21"/>
                <w:highlight w:val="none"/>
                <w:lang w:bidi="ar"/>
              </w:rPr>
            </w:pPr>
          </w:p>
        </w:tc>
        <w:tc>
          <w:tcPr>
            <w:tcW w:w="382" w:type="pct"/>
            <w:noWrap w:val="0"/>
            <w:vAlign w:val="center"/>
          </w:tcPr>
          <w:p w14:paraId="50A8F845">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1.2</w:t>
            </w:r>
            <w:r>
              <w:rPr>
                <w:rFonts w:hint="eastAsia"/>
                <w:szCs w:val="21"/>
              </w:rPr>
              <w:t>×10</w:t>
            </w:r>
            <w:r>
              <w:rPr>
                <w:rFonts w:hint="eastAsia"/>
                <w:szCs w:val="21"/>
                <w:vertAlign w:val="superscript"/>
              </w:rPr>
              <w:t>-5</w:t>
            </w:r>
          </w:p>
        </w:tc>
        <w:tc>
          <w:tcPr>
            <w:tcW w:w="407" w:type="pct"/>
            <w:noWrap w:val="0"/>
            <w:vAlign w:val="center"/>
          </w:tcPr>
          <w:p w14:paraId="4091FBD9">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9.2</w:t>
            </w:r>
            <w:r>
              <w:rPr>
                <w:rFonts w:hint="eastAsia"/>
                <w:szCs w:val="21"/>
              </w:rPr>
              <w:t>×10</w:t>
            </w:r>
            <w:r>
              <w:rPr>
                <w:rFonts w:hint="eastAsia"/>
                <w:szCs w:val="21"/>
                <w:vertAlign w:val="superscript"/>
              </w:rPr>
              <w:t>-5</w:t>
            </w:r>
          </w:p>
        </w:tc>
        <w:tc>
          <w:tcPr>
            <w:tcW w:w="348" w:type="pct"/>
            <w:noWrap w:val="0"/>
            <w:vAlign w:val="center"/>
          </w:tcPr>
          <w:p w14:paraId="42129D94">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0.44</w:t>
            </w:r>
          </w:p>
        </w:tc>
        <w:tc>
          <w:tcPr>
            <w:tcW w:w="298" w:type="pct"/>
            <w:noWrap w:val="0"/>
            <w:vAlign w:val="center"/>
          </w:tcPr>
          <w:p w14:paraId="0F93551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w:t>
            </w:r>
          </w:p>
        </w:tc>
        <w:tc>
          <w:tcPr>
            <w:tcW w:w="255" w:type="pct"/>
            <w:noWrap w:val="0"/>
            <w:vAlign w:val="center"/>
          </w:tcPr>
          <w:p w14:paraId="5D454E88">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w:t>
            </w:r>
          </w:p>
        </w:tc>
        <w:tc>
          <w:tcPr>
            <w:tcW w:w="289" w:type="pct"/>
            <w:noWrap w:val="0"/>
            <w:vAlign w:val="center"/>
          </w:tcPr>
          <w:p w14:paraId="7B74CDE6">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5A816B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63DA07A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tcBorders>
              <w:bottom w:val="single" w:color="auto" w:sz="4" w:space="0"/>
            </w:tcBorders>
            <w:noWrap w:val="0"/>
            <w:vAlign w:val="center"/>
          </w:tcPr>
          <w:p w14:paraId="3FBB762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44" w:type="pct"/>
            <w:noWrap w:val="0"/>
            <w:vAlign w:val="center"/>
          </w:tcPr>
          <w:p w14:paraId="42D7040C">
            <w:pPr>
              <w:autoSpaceDE w:val="0"/>
              <w:autoSpaceDN w:val="0"/>
              <w:adjustRightInd w:val="0"/>
              <w:snapToGrid w:val="0"/>
              <w:jc w:val="center"/>
              <w:rPr>
                <w:rFonts w:hint="eastAsia"/>
                <w:szCs w:val="21"/>
              </w:rPr>
            </w:pPr>
            <w:r>
              <w:rPr>
                <w:rFonts w:hint="eastAsia" w:ascii="宋体" w:hAnsi="宋体" w:cs="宋体"/>
                <w:i w:val="0"/>
                <w:iCs w:val="0"/>
                <w:color w:val="000000"/>
                <w:kern w:val="0"/>
                <w:sz w:val="21"/>
                <w:szCs w:val="21"/>
                <w:u w:val="none"/>
                <w:lang w:val="en-US" w:eastAsia="zh-CN" w:bidi="ar"/>
              </w:rPr>
              <w:t>漆雾</w:t>
            </w:r>
          </w:p>
        </w:tc>
        <w:tc>
          <w:tcPr>
            <w:tcW w:w="175" w:type="pct"/>
            <w:vMerge w:val="continue"/>
            <w:noWrap w:val="0"/>
            <w:vAlign w:val="center"/>
          </w:tcPr>
          <w:p w14:paraId="31FA1833">
            <w:pPr>
              <w:keepNext w:val="0"/>
              <w:keepLines w:val="0"/>
              <w:widowControl/>
              <w:suppressLineNumbers w:val="0"/>
              <w:jc w:val="center"/>
              <w:textAlignment w:val="center"/>
              <w:rPr>
                <w:color w:val="FF0000"/>
                <w:kern w:val="0"/>
                <w:sz w:val="21"/>
                <w:szCs w:val="21"/>
                <w:highlight w:val="none"/>
                <w:lang w:bidi="ar"/>
              </w:rPr>
            </w:pPr>
          </w:p>
        </w:tc>
        <w:tc>
          <w:tcPr>
            <w:tcW w:w="209" w:type="pct"/>
            <w:vMerge w:val="continue"/>
            <w:noWrap w:val="0"/>
            <w:vAlign w:val="center"/>
          </w:tcPr>
          <w:p w14:paraId="6C78F233">
            <w:pPr>
              <w:keepNext w:val="0"/>
              <w:keepLines w:val="0"/>
              <w:widowControl/>
              <w:suppressLineNumbers w:val="0"/>
              <w:jc w:val="center"/>
              <w:textAlignment w:val="center"/>
              <w:rPr>
                <w:color w:val="FF0000"/>
                <w:kern w:val="0"/>
                <w:sz w:val="21"/>
                <w:szCs w:val="21"/>
                <w:highlight w:val="none"/>
                <w:lang w:bidi="ar"/>
              </w:rPr>
            </w:pPr>
          </w:p>
        </w:tc>
        <w:tc>
          <w:tcPr>
            <w:tcW w:w="257" w:type="pct"/>
            <w:vMerge w:val="continue"/>
            <w:noWrap w:val="0"/>
            <w:vAlign w:val="center"/>
          </w:tcPr>
          <w:p w14:paraId="276E6A71">
            <w:pPr>
              <w:jc w:val="center"/>
              <w:rPr>
                <w:color w:val="FF0000"/>
                <w:kern w:val="0"/>
                <w:sz w:val="21"/>
                <w:szCs w:val="21"/>
                <w:highlight w:val="none"/>
                <w:lang w:bidi="ar"/>
              </w:rPr>
            </w:pPr>
          </w:p>
        </w:tc>
        <w:tc>
          <w:tcPr>
            <w:tcW w:w="315" w:type="pct"/>
            <w:vMerge w:val="continue"/>
            <w:noWrap w:val="0"/>
            <w:vAlign w:val="center"/>
          </w:tcPr>
          <w:p w14:paraId="41BFB432">
            <w:pPr>
              <w:jc w:val="center"/>
              <w:rPr>
                <w:color w:val="FF0000"/>
                <w:kern w:val="0"/>
                <w:sz w:val="21"/>
                <w:szCs w:val="21"/>
                <w:highlight w:val="none"/>
                <w:lang w:bidi="ar"/>
              </w:rPr>
            </w:pPr>
          </w:p>
        </w:tc>
        <w:tc>
          <w:tcPr>
            <w:tcW w:w="315" w:type="pct"/>
            <w:vMerge w:val="continue"/>
            <w:noWrap w:val="0"/>
            <w:vAlign w:val="center"/>
          </w:tcPr>
          <w:p w14:paraId="0966C5A7">
            <w:pPr>
              <w:jc w:val="center"/>
              <w:rPr>
                <w:color w:val="FF0000"/>
                <w:kern w:val="0"/>
                <w:sz w:val="21"/>
                <w:szCs w:val="21"/>
                <w:highlight w:val="none"/>
                <w:lang w:bidi="ar"/>
              </w:rPr>
            </w:pPr>
          </w:p>
        </w:tc>
        <w:tc>
          <w:tcPr>
            <w:tcW w:w="310" w:type="pct"/>
            <w:vMerge w:val="continue"/>
            <w:tcBorders>
              <w:right w:val="single" w:color="auto" w:sz="4" w:space="0"/>
            </w:tcBorders>
            <w:noWrap w:val="0"/>
            <w:vAlign w:val="center"/>
          </w:tcPr>
          <w:p w14:paraId="01D0875B">
            <w:pPr>
              <w:jc w:val="center"/>
              <w:rPr>
                <w:color w:val="FF0000"/>
                <w:kern w:val="0"/>
                <w:sz w:val="21"/>
                <w:szCs w:val="21"/>
                <w:highlight w:val="none"/>
                <w:lang w:bidi="ar"/>
              </w:rPr>
            </w:pPr>
          </w:p>
        </w:tc>
        <w:tc>
          <w:tcPr>
            <w:tcW w:w="558" w:type="pct"/>
            <w:vMerge w:val="continue"/>
            <w:tcBorders>
              <w:left w:val="single" w:color="auto" w:sz="4" w:space="0"/>
            </w:tcBorders>
            <w:noWrap w:val="0"/>
            <w:vAlign w:val="center"/>
          </w:tcPr>
          <w:p w14:paraId="68857012">
            <w:pPr>
              <w:jc w:val="center"/>
              <w:rPr>
                <w:color w:val="FF0000"/>
                <w:kern w:val="0"/>
                <w:sz w:val="21"/>
                <w:szCs w:val="21"/>
                <w:highlight w:val="none"/>
                <w:lang w:bidi="ar"/>
              </w:rPr>
            </w:pPr>
          </w:p>
        </w:tc>
        <w:tc>
          <w:tcPr>
            <w:tcW w:w="382" w:type="pct"/>
            <w:noWrap w:val="0"/>
            <w:vAlign w:val="center"/>
          </w:tcPr>
          <w:p w14:paraId="5B0CE137">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auto"/>
                <w:kern w:val="0"/>
                <w:sz w:val="21"/>
                <w:szCs w:val="21"/>
                <w:u w:val="none"/>
                <w:lang w:val="en-US" w:eastAsia="zh-CN" w:bidi="ar"/>
              </w:rPr>
              <w:t>9.1</w:t>
            </w:r>
            <w:r>
              <w:rPr>
                <w:rFonts w:hint="eastAsia"/>
                <w:szCs w:val="21"/>
              </w:rPr>
              <w:t>×10</w:t>
            </w:r>
            <w:r>
              <w:rPr>
                <w:rFonts w:hint="eastAsia"/>
                <w:szCs w:val="21"/>
                <w:vertAlign w:val="superscript"/>
              </w:rPr>
              <w:t>-</w:t>
            </w:r>
            <w:r>
              <w:rPr>
                <w:rFonts w:hint="eastAsia"/>
                <w:szCs w:val="21"/>
                <w:vertAlign w:val="superscript"/>
                <w:lang w:val="en-US" w:eastAsia="zh-CN"/>
              </w:rPr>
              <w:t>8</w:t>
            </w:r>
          </w:p>
        </w:tc>
        <w:tc>
          <w:tcPr>
            <w:tcW w:w="407" w:type="pct"/>
            <w:noWrap w:val="0"/>
            <w:vAlign w:val="center"/>
          </w:tcPr>
          <w:p w14:paraId="536A5A63">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6.9</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9</w:t>
            </w:r>
          </w:p>
        </w:tc>
        <w:tc>
          <w:tcPr>
            <w:tcW w:w="348" w:type="pct"/>
            <w:noWrap w:val="0"/>
            <w:vAlign w:val="center"/>
          </w:tcPr>
          <w:p w14:paraId="35D023E9">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0.0331</w:t>
            </w:r>
          </w:p>
        </w:tc>
        <w:tc>
          <w:tcPr>
            <w:tcW w:w="298" w:type="pct"/>
            <w:noWrap w:val="0"/>
            <w:vAlign w:val="center"/>
          </w:tcPr>
          <w:p w14:paraId="523F37E5">
            <w:pPr>
              <w:keepNext w:val="0"/>
              <w:keepLines w:val="0"/>
              <w:widowControl/>
              <w:suppressLineNumbers w:val="0"/>
              <w:tabs>
                <w:tab w:val="left" w:pos="395"/>
              </w:tabs>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255" w:type="pct"/>
            <w:noWrap w:val="0"/>
            <w:vAlign w:val="center"/>
          </w:tcPr>
          <w:p w14:paraId="4B799D41">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w:t>
            </w:r>
          </w:p>
        </w:tc>
        <w:tc>
          <w:tcPr>
            <w:tcW w:w="289" w:type="pct"/>
            <w:noWrap w:val="0"/>
            <w:vAlign w:val="center"/>
          </w:tcPr>
          <w:p w14:paraId="4E84DD33">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03D737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1D60709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restart"/>
            <w:noWrap w:val="0"/>
            <w:vAlign w:val="center"/>
          </w:tcPr>
          <w:p w14:paraId="65CD44B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szCs w:val="21"/>
                <w:lang w:val="en-US" w:eastAsia="zh-CN"/>
              </w:rPr>
              <w:t>4#喷涂生产线</w:t>
            </w:r>
          </w:p>
        </w:tc>
        <w:tc>
          <w:tcPr>
            <w:tcW w:w="344" w:type="pct"/>
            <w:noWrap w:val="0"/>
            <w:vAlign w:val="center"/>
          </w:tcPr>
          <w:p w14:paraId="0AC50FFC">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5" w:type="pct"/>
            <w:vMerge w:val="restart"/>
            <w:noWrap w:val="0"/>
            <w:vAlign w:val="center"/>
          </w:tcPr>
          <w:p w14:paraId="73DAF8C8">
            <w:pPr>
              <w:keepNext w:val="0"/>
              <w:keepLines w:val="0"/>
              <w:widowControl/>
              <w:suppressLineNumbers w:val="0"/>
              <w:jc w:val="center"/>
              <w:textAlignment w:val="center"/>
              <w:rPr>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09" w:type="pct"/>
            <w:vMerge w:val="restart"/>
            <w:noWrap w:val="0"/>
            <w:vAlign w:val="center"/>
          </w:tcPr>
          <w:p w14:paraId="1892D2C2">
            <w:pPr>
              <w:keepNext w:val="0"/>
              <w:keepLines w:val="0"/>
              <w:widowControl/>
              <w:suppressLineNumbers w:val="0"/>
              <w:jc w:val="center"/>
              <w:textAlignment w:val="center"/>
              <w:rPr>
                <w:color w:val="FF0000"/>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常温</w:t>
            </w:r>
          </w:p>
        </w:tc>
        <w:tc>
          <w:tcPr>
            <w:tcW w:w="257" w:type="pct"/>
            <w:vMerge w:val="restart"/>
            <w:noWrap w:val="0"/>
            <w:vAlign w:val="center"/>
          </w:tcPr>
          <w:p w14:paraId="73B795A0">
            <w:pPr>
              <w:keepNext w:val="0"/>
              <w:keepLines w:val="0"/>
              <w:widowControl/>
              <w:suppressLineNumbers w:val="0"/>
              <w:jc w:val="center"/>
              <w:textAlignment w:val="center"/>
              <w:rPr>
                <w:color w:val="FF0000"/>
                <w:kern w:val="0"/>
                <w:sz w:val="21"/>
                <w:szCs w:val="21"/>
                <w:highlight w:val="none"/>
                <w:lang w:bidi="ar"/>
              </w:rPr>
            </w:pPr>
            <w:r>
              <w:rPr>
                <w:rFonts w:hint="eastAsia" w:cs="Times New Roman"/>
                <w:i w:val="0"/>
                <w:iCs w:val="0"/>
                <w:color w:val="000000"/>
                <w:kern w:val="0"/>
                <w:sz w:val="21"/>
                <w:szCs w:val="21"/>
                <w:u w:val="none"/>
                <w:lang w:val="en-US" w:eastAsia="zh-CN" w:bidi="ar"/>
              </w:rPr>
              <w:t>1</w:t>
            </w:r>
          </w:p>
        </w:tc>
        <w:tc>
          <w:tcPr>
            <w:tcW w:w="315" w:type="pct"/>
            <w:vMerge w:val="restart"/>
            <w:noWrap w:val="0"/>
            <w:vAlign w:val="center"/>
          </w:tcPr>
          <w:p w14:paraId="7EAEA881">
            <w:pPr>
              <w:jc w:val="center"/>
              <w:rPr>
                <w:color w:val="FF0000"/>
                <w:kern w:val="0"/>
                <w:sz w:val="21"/>
                <w:szCs w:val="21"/>
                <w:highlight w:val="none"/>
                <w:lang w:bidi="ar"/>
              </w:rPr>
            </w:pPr>
            <w:r>
              <w:rPr>
                <w:rFonts w:hint="eastAsia" w:cs="Times New Roman"/>
                <w:i w:val="0"/>
                <w:iCs w:val="0"/>
                <w:color w:val="000000"/>
                <w:kern w:val="0"/>
                <w:sz w:val="21"/>
                <w:szCs w:val="21"/>
                <w:u w:val="none"/>
                <w:lang w:val="en-US" w:eastAsia="zh-CN" w:bidi="ar"/>
              </w:rPr>
              <w:t>4800</w:t>
            </w:r>
          </w:p>
        </w:tc>
        <w:tc>
          <w:tcPr>
            <w:tcW w:w="315" w:type="pct"/>
            <w:vMerge w:val="restart"/>
            <w:noWrap w:val="0"/>
            <w:vAlign w:val="center"/>
          </w:tcPr>
          <w:p w14:paraId="6800F239">
            <w:pPr>
              <w:jc w:val="center"/>
              <w:rPr>
                <w:rFonts w:hint="default"/>
                <w:color w:val="FF0000"/>
                <w:kern w:val="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DA00</w:t>
            </w:r>
            <w:r>
              <w:rPr>
                <w:rFonts w:hint="eastAsia" w:cs="Times New Roman"/>
                <w:i w:val="0"/>
                <w:iCs w:val="0"/>
                <w:color w:val="000000"/>
                <w:kern w:val="0"/>
                <w:sz w:val="21"/>
                <w:szCs w:val="21"/>
                <w:u w:val="none"/>
                <w:lang w:val="en-US" w:eastAsia="zh-CN" w:bidi="ar"/>
              </w:rPr>
              <w:t>7</w:t>
            </w:r>
          </w:p>
        </w:tc>
        <w:tc>
          <w:tcPr>
            <w:tcW w:w="310" w:type="pct"/>
            <w:vMerge w:val="restart"/>
            <w:tcBorders>
              <w:right w:val="single" w:color="auto" w:sz="4" w:space="0"/>
            </w:tcBorders>
            <w:noWrap w:val="0"/>
            <w:vAlign w:val="center"/>
          </w:tcPr>
          <w:p w14:paraId="21E54044">
            <w:pPr>
              <w:jc w:val="center"/>
              <w:rPr>
                <w:color w:val="FF0000"/>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一般排放口</w:t>
            </w:r>
          </w:p>
        </w:tc>
        <w:tc>
          <w:tcPr>
            <w:tcW w:w="558" w:type="pct"/>
            <w:vMerge w:val="restart"/>
            <w:tcBorders>
              <w:left w:val="single" w:color="auto" w:sz="4" w:space="0"/>
            </w:tcBorders>
            <w:noWrap w:val="0"/>
            <w:vAlign w:val="center"/>
          </w:tcPr>
          <w:p w14:paraId="0A74B608">
            <w:pPr>
              <w:jc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收集效率90%；处理效率90%</w:t>
            </w:r>
          </w:p>
        </w:tc>
        <w:tc>
          <w:tcPr>
            <w:tcW w:w="382" w:type="pct"/>
            <w:noWrap w:val="0"/>
            <w:vAlign w:val="center"/>
          </w:tcPr>
          <w:p w14:paraId="111CE89A">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0.4987</w:t>
            </w:r>
          </w:p>
        </w:tc>
        <w:tc>
          <w:tcPr>
            <w:tcW w:w="407" w:type="pct"/>
            <w:noWrap w:val="0"/>
            <w:vAlign w:val="center"/>
          </w:tcPr>
          <w:p w14:paraId="5844EA86">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0.0378</w:t>
            </w:r>
          </w:p>
        </w:tc>
        <w:tc>
          <w:tcPr>
            <w:tcW w:w="348" w:type="pct"/>
            <w:noWrap w:val="0"/>
            <w:vAlign w:val="center"/>
          </w:tcPr>
          <w:p w14:paraId="312F10CF">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1822.31</w:t>
            </w:r>
          </w:p>
        </w:tc>
        <w:tc>
          <w:tcPr>
            <w:tcW w:w="298" w:type="pct"/>
            <w:noWrap w:val="0"/>
            <w:vAlign w:val="center"/>
          </w:tcPr>
          <w:p w14:paraId="45BA155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highlight w:val="none"/>
                <w:lang w:val="en-US" w:eastAsia="zh-CN"/>
              </w:rPr>
              <w:t>60</w:t>
            </w:r>
          </w:p>
        </w:tc>
        <w:tc>
          <w:tcPr>
            <w:tcW w:w="255" w:type="pct"/>
            <w:noWrap w:val="0"/>
            <w:vAlign w:val="center"/>
          </w:tcPr>
          <w:p w14:paraId="055C7E46">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color w:val="auto"/>
                <w:sz w:val="21"/>
                <w:szCs w:val="21"/>
                <w:highlight w:val="none"/>
                <w:lang w:val="en-US" w:eastAsia="zh-CN"/>
              </w:rPr>
              <w:t>3.4</w:t>
            </w:r>
          </w:p>
        </w:tc>
        <w:tc>
          <w:tcPr>
            <w:tcW w:w="289" w:type="pct"/>
            <w:noWrap w:val="0"/>
            <w:vAlign w:val="center"/>
          </w:tcPr>
          <w:p w14:paraId="68EA17FB">
            <w:pPr>
              <w:keepNext w:val="0"/>
              <w:keepLines w:val="0"/>
              <w:widowControl/>
              <w:suppressLineNumbers w:val="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达标</w:t>
            </w:r>
          </w:p>
        </w:tc>
      </w:tr>
      <w:tr w14:paraId="476527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60E8879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5C85B6A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44" w:type="pct"/>
            <w:noWrap w:val="0"/>
            <w:vAlign w:val="center"/>
          </w:tcPr>
          <w:p w14:paraId="1F053ED4">
            <w:pPr>
              <w:autoSpaceDE w:val="0"/>
              <w:autoSpaceDN w:val="0"/>
              <w:adjustRightInd w:val="0"/>
              <w:snapToGrid w:val="0"/>
              <w:jc w:val="center"/>
              <w:rPr>
                <w:rFonts w:hint="eastAsia"/>
                <w:szCs w:val="21"/>
              </w:rPr>
            </w:pPr>
            <w:r>
              <w:rPr>
                <w:rFonts w:hint="eastAsia"/>
                <w:szCs w:val="21"/>
              </w:rPr>
              <w:t>二甲苯</w:t>
            </w:r>
          </w:p>
        </w:tc>
        <w:tc>
          <w:tcPr>
            <w:tcW w:w="175" w:type="pct"/>
            <w:vMerge w:val="continue"/>
            <w:noWrap w:val="0"/>
            <w:vAlign w:val="center"/>
          </w:tcPr>
          <w:p w14:paraId="44C3CA7C">
            <w:pPr>
              <w:keepNext w:val="0"/>
              <w:keepLines w:val="0"/>
              <w:widowControl/>
              <w:suppressLineNumbers w:val="0"/>
              <w:jc w:val="center"/>
              <w:textAlignment w:val="center"/>
              <w:rPr>
                <w:color w:val="FF0000"/>
                <w:kern w:val="0"/>
                <w:sz w:val="21"/>
                <w:szCs w:val="21"/>
                <w:highlight w:val="none"/>
                <w:lang w:bidi="ar"/>
              </w:rPr>
            </w:pPr>
          </w:p>
        </w:tc>
        <w:tc>
          <w:tcPr>
            <w:tcW w:w="209" w:type="pct"/>
            <w:vMerge w:val="continue"/>
            <w:noWrap w:val="0"/>
            <w:vAlign w:val="center"/>
          </w:tcPr>
          <w:p w14:paraId="28CAE895">
            <w:pPr>
              <w:keepNext w:val="0"/>
              <w:keepLines w:val="0"/>
              <w:widowControl/>
              <w:suppressLineNumbers w:val="0"/>
              <w:jc w:val="center"/>
              <w:textAlignment w:val="center"/>
              <w:rPr>
                <w:color w:val="FF0000"/>
                <w:kern w:val="0"/>
                <w:sz w:val="21"/>
                <w:szCs w:val="21"/>
                <w:highlight w:val="none"/>
                <w:lang w:bidi="ar"/>
              </w:rPr>
            </w:pPr>
          </w:p>
        </w:tc>
        <w:tc>
          <w:tcPr>
            <w:tcW w:w="257" w:type="pct"/>
            <w:vMerge w:val="continue"/>
            <w:noWrap w:val="0"/>
            <w:vAlign w:val="center"/>
          </w:tcPr>
          <w:p w14:paraId="0717E94A">
            <w:pPr>
              <w:jc w:val="center"/>
              <w:rPr>
                <w:color w:val="FF0000"/>
                <w:kern w:val="0"/>
                <w:sz w:val="21"/>
                <w:szCs w:val="21"/>
                <w:highlight w:val="none"/>
                <w:lang w:bidi="ar"/>
              </w:rPr>
            </w:pPr>
          </w:p>
        </w:tc>
        <w:tc>
          <w:tcPr>
            <w:tcW w:w="315" w:type="pct"/>
            <w:vMerge w:val="continue"/>
            <w:noWrap w:val="0"/>
            <w:vAlign w:val="center"/>
          </w:tcPr>
          <w:p w14:paraId="2B106967">
            <w:pPr>
              <w:jc w:val="center"/>
              <w:rPr>
                <w:color w:val="FF0000"/>
                <w:kern w:val="0"/>
                <w:sz w:val="21"/>
                <w:szCs w:val="21"/>
                <w:highlight w:val="none"/>
                <w:lang w:bidi="ar"/>
              </w:rPr>
            </w:pPr>
          </w:p>
        </w:tc>
        <w:tc>
          <w:tcPr>
            <w:tcW w:w="315" w:type="pct"/>
            <w:vMerge w:val="continue"/>
            <w:noWrap w:val="0"/>
            <w:vAlign w:val="center"/>
          </w:tcPr>
          <w:p w14:paraId="162986CB">
            <w:pPr>
              <w:jc w:val="center"/>
              <w:rPr>
                <w:color w:val="FF0000"/>
                <w:kern w:val="0"/>
                <w:sz w:val="21"/>
                <w:szCs w:val="21"/>
                <w:highlight w:val="none"/>
                <w:lang w:bidi="ar"/>
              </w:rPr>
            </w:pPr>
          </w:p>
        </w:tc>
        <w:tc>
          <w:tcPr>
            <w:tcW w:w="310" w:type="pct"/>
            <w:vMerge w:val="continue"/>
            <w:tcBorders>
              <w:right w:val="single" w:color="auto" w:sz="4" w:space="0"/>
            </w:tcBorders>
            <w:noWrap w:val="0"/>
            <w:vAlign w:val="center"/>
          </w:tcPr>
          <w:p w14:paraId="39202489">
            <w:pPr>
              <w:jc w:val="center"/>
              <w:rPr>
                <w:color w:val="FF0000"/>
                <w:kern w:val="0"/>
                <w:sz w:val="21"/>
                <w:szCs w:val="21"/>
                <w:highlight w:val="none"/>
                <w:lang w:bidi="ar"/>
              </w:rPr>
            </w:pPr>
          </w:p>
        </w:tc>
        <w:tc>
          <w:tcPr>
            <w:tcW w:w="558" w:type="pct"/>
            <w:vMerge w:val="continue"/>
            <w:tcBorders>
              <w:left w:val="single" w:color="auto" w:sz="4" w:space="0"/>
            </w:tcBorders>
            <w:noWrap w:val="0"/>
            <w:vAlign w:val="center"/>
          </w:tcPr>
          <w:p w14:paraId="395C2DD1">
            <w:pPr>
              <w:jc w:val="center"/>
              <w:rPr>
                <w:color w:val="FF0000"/>
                <w:kern w:val="0"/>
                <w:sz w:val="21"/>
                <w:szCs w:val="21"/>
                <w:highlight w:val="none"/>
                <w:lang w:bidi="ar"/>
              </w:rPr>
            </w:pPr>
          </w:p>
        </w:tc>
        <w:tc>
          <w:tcPr>
            <w:tcW w:w="382" w:type="pct"/>
            <w:noWrap w:val="0"/>
            <w:vAlign w:val="center"/>
          </w:tcPr>
          <w:p w14:paraId="15B583B5">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0.0079</w:t>
            </w:r>
          </w:p>
        </w:tc>
        <w:tc>
          <w:tcPr>
            <w:tcW w:w="407" w:type="pct"/>
            <w:noWrap w:val="0"/>
            <w:vAlign w:val="center"/>
          </w:tcPr>
          <w:p w14:paraId="23C02A96">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0.0006</w:t>
            </w:r>
          </w:p>
        </w:tc>
        <w:tc>
          <w:tcPr>
            <w:tcW w:w="348" w:type="pct"/>
            <w:noWrap w:val="0"/>
            <w:vAlign w:val="center"/>
          </w:tcPr>
          <w:p w14:paraId="517B39E5">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2.97</w:t>
            </w:r>
          </w:p>
        </w:tc>
        <w:tc>
          <w:tcPr>
            <w:tcW w:w="298" w:type="pct"/>
            <w:noWrap w:val="0"/>
            <w:vAlign w:val="center"/>
          </w:tcPr>
          <w:p w14:paraId="28B60DB7">
            <w:pPr>
              <w:adjustRightInd w:val="0"/>
              <w:snapToGrid w:val="0"/>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bCs/>
                <w:szCs w:val="21"/>
                <w:lang w:val="en-US" w:eastAsia="zh-CN"/>
              </w:rPr>
              <w:t>15</w:t>
            </w:r>
          </w:p>
        </w:tc>
        <w:tc>
          <w:tcPr>
            <w:tcW w:w="255" w:type="pct"/>
            <w:noWrap w:val="0"/>
            <w:vAlign w:val="center"/>
          </w:tcPr>
          <w:p w14:paraId="0BA16532">
            <w:pPr>
              <w:pStyle w:val="84"/>
              <w:adjustRightInd w:val="0"/>
              <w:snapToGrid w:val="0"/>
              <w:jc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bCs/>
                <w:szCs w:val="21"/>
                <w:lang w:val="en-US" w:eastAsia="zh-CN"/>
              </w:rPr>
              <w:t>0.9</w:t>
            </w:r>
          </w:p>
        </w:tc>
        <w:tc>
          <w:tcPr>
            <w:tcW w:w="289" w:type="pct"/>
            <w:noWrap w:val="0"/>
            <w:vAlign w:val="center"/>
          </w:tcPr>
          <w:p w14:paraId="076E4FE3">
            <w:pPr>
              <w:adjustRightInd w:val="0"/>
              <w:snapToGrid w:val="0"/>
              <w:jc w:val="center"/>
              <w:rPr>
                <w:rFonts w:hint="eastAsia"/>
                <w:bCs/>
                <w:szCs w:val="21"/>
                <w:lang w:val="en-US" w:eastAsia="zh-CN"/>
              </w:rPr>
            </w:pPr>
            <w:r>
              <w:rPr>
                <w:rFonts w:hint="eastAsia"/>
                <w:color w:val="auto"/>
                <w:sz w:val="21"/>
                <w:szCs w:val="21"/>
                <w:highlight w:val="none"/>
                <w:lang w:val="en-US" w:eastAsia="zh-CN"/>
              </w:rPr>
              <w:t>达标</w:t>
            </w:r>
          </w:p>
        </w:tc>
      </w:tr>
      <w:tr w14:paraId="637E88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04DE778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noWrap w:val="0"/>
            <w:vAlign w:val="center"/>
          </w:tcPr>
          <w:p w14:paraId="387DC9E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44" w:type="pct"/>
            <w:noWrap w:val="0"/>
            <w:vAlign w:val="center"/>
          </w:tcPr>
          <w:p w14:paraId="09A24D30">
            <w:pPr>
              <w:autoSpaceDE w:val="0"/>
              <w:autoSpaceDN w:val="0"/>
              <w:adjustRightInd w:val="0"/>
              <w:snapToGrid w:val="0"/>
              <w:jc w:val="center"/>
              <w:rPr>
                <w:rFonts w:hint="eastAsia"/>
                <w:szCs w:val="21"/>
              </w:rPr>
            </w:pPr>
            <w:r>
              <w:rPr>
                <w:rFonts w:hint="eastAsia"/>
                <w:szCs w:val="21"/>
              </w:rPr>
              <w:t>乙苯</w:t>
            </w:r>
          </w:p>
        </w:tc>
        <w:tc>
          <w:tcPr>
            <w:tcW w:w="175" w:type="pct"/>
            <w:vMerge w:val="continue"/>
            <w:noWrap w:val="0"/>
            <w:vAlign w:val="center"/>
          </w:tcPr>
          <w:p w14:paraId="4A95CAB4">
            <w:pPr>
              <w:keepNext w:val="0"/>
              <w:keepLines w:val="0"/>
              <w:widowControl/>
              <w:suppressLineNumbers w:val="0"/>
              <w:jc w:val="center"/>
              <w:textAlignment w:val="center"/>
              <w:rPr>
                <w:color w:val="FF0000"/>
                <w:kern w:val="0"/>
                <w:sz w:val="21"/>
                <w:szCs w:val="21"/>
                <w:highlight w:val="none"/>
                <w:lang w:bidi="ar"/>
              </w:rPr>
            </w:pPr>
          </w:p>
        </w:tc>
        <w:tc>
          <w:tcPr>
            <w:tcW w:w="209" w:type="pct"/>
            <w:vMerge w:val="continue"/>
            <w:noWrap w:val="0"/>
            <w:vAlign w:val="center"/>
          </w:tcPr>
          <w:p w14:paraId="70A76523">
            <w:pPr>
              <w:keepNext w:val="0"/>
              <w:keepLines w:val="0"/>
              <w:widowControl/>
              <w:suppressLineNumbers w:val="0"/>
              <w:jc w:val="center"/>
              <w:textAlignment w:val="center"/>
              <w:rPr>
                <w:color w:val="FF0000"/>
                <w:kern w:val="0"/>
                <w:sz w:val="21"/>
                <w:szCs w:val="21"/>
                <w:highlight w:val="none"/>
                <w:lang w:bidi="ar"/>
              </w:rPr>
            </w:pPr>
          </w:p>
        </w:tc>
        <w:tc>
          <w:tcPr>
            <w:tcW w:w="257" w:type="pct"/>
            <w:vMerge w:val="continue"/>
            <w:noWrap w:val="0"/>
            <w:vAlign w:val="center"/>
          </w:tcPr>
          <w:p w14:paraId="1FCA1EE1">
            <w:pPr>
              <w:jc w:val="center"/>
              <w:rPr>
                <w:color w:val="FF0000"/>
                <w:kern w:val="0"/>
                <w:sz w:val="21"/>
                <w:szCs w:val="21"/>
                <w:highlight w:val="none"/>
                <w:lang w:bidi="ar"/>
              </w:rPr>
            </w:pPr>
          </w:p>
        </w:tc>
        <w:tc>
          <w:tcPr>
            <w:tcW w:w="315" w:type="pct"/>
            <w:vMerge w:val="continue"/>
            <w:noWrap w:val="0"/>
            <w:vAlign w:val="center"/>
          </w:tcPr>
          <w:p w14:paraId="52817454">
            <w:pPr>
              <w:jc w:val="center"/>
              <w:rPr>
                <w:color w:val="FF0000"/>
                <w:kern w:val="0"/>
                <w:sz w:val="21"/>
                <w:szCs w:val="21"/>
                <w:highlight w:val="none"/>
                <w:lang w:bidi="ar"/>
              </w:rPr>
            </w:pPr>
          </w:p>
        </w:tc>
        <w:tc>
          <w:tcPr>
            <w:tcW w:w="315" w:type="pct"/>
            <w:vMerge w:val="continue"/>
            <w:noWrap w:val="0"/>
            <w:vAlign w:val="center"/>
          </w:tcPr>
          <w:p w14:paraId="315D3D83">
            <w:pPr>
              <w:jc w:val="center"/>
              <w:rPr>
                <w:color w:val="FF0000"/>
                <w:kern w:val="0"/>
                <w:sz w:val="21"/>
                <w:szCs w:val="21"/>
                <w:highlight w:val="none"/>
                <w:lang w:bidi="ar"/>
              </w:rPr>
            </w:pPr>
          </w:p>
        </w:tc>
        <w:tc>
          <w:tcPr>
            <w:tcW w:w="310" w:type="pct"/>
            <w:vMerge w:val="continue"/>
            <w:tcBorders>
              <w:right w:val="single" w:color="auto" w:sz="4" w:space="0"/>
            </w:tcBorders>
            <w:noWrap w:val="0"/>
            <w:vAlign w:val="center"/>
          </w:tcPr>
          <w:p w14:paraId="250DECD1">
            <w:pPr>
              <w:jc w:val="center"/>
              <w:rPr>
                <w:color w:val="FF0000"/>
                <w:kern w:val="0"/>
                <w:sz w:val="21"/>
                <w:szCs w:val="21"/>
                <w:highlight w:val="none"/>
                <w:lang w:bidi="ar"/>
              </w:rPr>
            </w:pPr>
          </w:p>
        </w:tc>
        <w:tc>
          <w:tcPr>
            <w:tcW w:w="558" w:type="pct"/>
            <w:vMerge w:val="continue"/>
            <w:tcBorders>
              <w:left w:val="single" w:color="auto" w:sz="4" w:space="0"/>
            </w:tcBorders>
            <w:noWrap w:val="0"/>
            <w:vAlign w:val="center"/>
          </w:tcPr>
          <w:p w14:paraId="2BAEAC57">
            <w:pPr>
              <w:jc w:val="center"/>
              <w:rPr>
                <w:color w:val="FF0000"/>
                <w:kern w:val="0"/>
                <w:sz w:val="21"/>
                <w:szCs w:val="21"/>
                <w:highlight w:val="none"/>
                <w:lang w:bidi="ar"/>
              </w:rPr>
            </w:pPr>
          </w:p>
        </w:tc>
        <w:tc>
          <w:tcPr>
            <w:tcW w:w="382" w:type="pct"/>
            <w:noWrap w:val="0"/>
            <w:vAlign w:val="center"/>
          </w:tcPr>
          <w:p w14:paraId="25396403">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1.2</w:t>
            </w:r>
            <w:r>
              <w:rPr>
                <w:rFonts w:hint="eastAsia"/>
                <w:szCs w:val="21"/>
              </w:rPr>
              <w:t>×10</w:t>
            </w:r>
            <w:r>
              <w:rPr>
                <w:rFonts w:hint="eastAsia"/>
                <w:szCs w:val="21"/>
                <w:vertAlign w:val="superscript"/>
              </w:rPr>
              <w:t>-5</w:t>
            </w:r>
          </w:p>
        </w:tc>
        <w:tc>
          <w:tcPr>
            <w:tcW w:w="407" w:type="pct"/>
            <w:noWrap w:val="0"/>
            <w:vAlign w:val="center"/>
          </w:tcPr>
          <w:p w14:paraId="426E536D">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9.2</w:t>
            </w:r>
            <w:r>
              <w:rPr>
                <w:rFonts w:hint="eastAsia"/>
                <w:szCs w:val="21"/>
              </w:rPr>
              <w:t>×10</w:t>
            </w:r>
            <w:r>
              <w:rPr>
                <w:rFonts w:hint="eastAsia"/>
                <w:szCs w:val="21"/>
                <w:vertAlign w:val="superscript"/>
              </w:rPr>
              <w:t>-5</w:t>
            </w:r>
          </w:p>
        </w:tc>
        <w:tc>
          <w:tcPr>
            <w:tcW w:w="348" w:type="pct"/>
            <w:noWrap w:val="0"/>
            <w:vAlign w:val="center"/>
          </w:tcPr>
          <w:p w14:paraId="2C8983E4">
            <w:pPr>
              <w:autoSpaceDE w:val="0"/>
              <w:autoSpaceDN w:val="0"/>
              <w:adjustRightInd w:val="0"/>
              <w:snapToGrid w:val="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szCs w:val="21"/>
                <w:lang w:val="en-US" w:eastAsia="zh-CN"/>
              </w:rPr>
              <w:t>0.44</w:t>
            </w:r>
          </w:p>
        </w:tc>
        <w:tc>
          <w:tcPr>
            <w:tcW w:w="298" w:type="pct"/>
            <w:noWrap w:val="0"/>
            <w:vAlign w:val="center"/>
          </w:tcPr>
          <w:p w14:paraId="431749F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w:t>
            </w:r>
          </w:p>
        </w:tc>
        <w:tc>
          <w:tcPr>
            <w:tcW w:w="255" w:type="pct"/>
            <w:noWrap w:val="0"/>
            <w:vAlign w:val="center"/>
          </w:tcPr>
          <w:p w14:paraId="627C3B03">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w:t>
            </w:r>
          </w:p>
        </w:tc>
        <w:tc>
          <w:tcPr>
            <w:tcW w:w="289" w:type="pct"/>
            <w:noWrap w:val="0"/>
            <w:vAlign w:val="center"/>
          </w:tcPr>
          <w:p w14:paraId="2FC472E7">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3A0F77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1019CC7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continue"/>
            <w:tcBorders>
              <w:bottom w:val="single" w:color="auto" w:sz="4" w:space="0"/>
            </w:tcBorders>
            <w:noWrap w:val="0"/>
            <w:vAlign w:val="center"/>
          </w:tcPr>
          <w:p w14:paraId="6479959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44" w:type="pct"/>
            <w:noWrap w:val="0"/>
            <w:vAlign w:val="center"/>
          </w:tcPr>
          <w:p w14:paraId="6F79450D">
            <w:pPr>
              <w:autoSpaceDE w:val="0"/>
              <w:autoSpaceDN w:val="0"/>
              <w:adjustRightInd w:val="0"/>
              <w:snapToGrid w:val="0"/>
              <w:jc w:val="center"/>
              <w:rPr>
                <w:rFonts w:hint="eastAsia"/>
                <w:szCs w:val="21"/>
              </w:rPr>
            </w:pPr>
            <w:r>
              <w:rPr>
                <w:rFonts w:hint="eastAsia" w:ascii="宋体" w:hAnsi="宋体" w:cs="宋体"/>
                <w:i w:val="0"/>
                <w:iCs w:val="0"/>
                <w:color w:val="000000"/>
                <w:kern w:val="0"/>
                <w:sz w:val="21"/>
                <w:szCs w:val="21"/>
                <w:u w:val="none"/>
                <w:lang w:val="en-US" w:eastAsia="zh-CN" w:bidi="ar"/>
              </w:rPr>
              <w:t>漆雾</w:t>
            </w:r>
          </w:p>
        </w:tc>
        <w:tc>
          <w:tcPr>
            <w:tcW w:w="175" w:type="pct"/>
            <w:vMerge w:val="continue"/>
            <w:noWrap w:val="0"/>
            <w:vAlign w:val="center"/>
          </w:tcPr>
          <w:p w14:paraId="24DEEEFB">
            <w:pPr>
              <w:keepNext w:val="0"/>
              <w:keepLines w:val="0"/>
              <w:widowControl/>
              <w:suppressLineNumbers w:val="0"/>
              <w:jc w:val="center"/>
              <w:textAlignment w:val="center"/>
              <w:rPr>
                <w:color w:val="FF0000"/>
                <w:kern w:val="0"/>
                <w:sz w:val="21"/>
                <w:szCs w:val="21"/>
                <w:highlight w:val="none"/>
                <w:lang w:bidi="ar"/>
              </w:rPr>
            </w:pPr>
          </w:p>
        </w:tc>
        <w:tc>
          <w:tcPr>
            <w:tcW w:w="209" w:type="pct"/>
            <w:vMerge w:val="continue"/>
            <w:noWrap w:val="0"/>
            <w:vAlign w:val="center"/>
          </w:tcPr>
          <w:p w14:paraId="2D923B3D">
            <w:pPr>
              <w:keepNext w:val="0"/>
              <w:keepLines w:val="0"/>
              <w:widowControl/>
              <w:suppressLineNumbers w:val="0"/>
              <w:jc w:val="center"/>
              <w:textAlignment w:val="center"/>
              <w:rPr>
                <w:color w:val="FF0000"/>
                <w:kern w:val="0"/>
                <w:sz w:val="21"/>
                <w:szCs w:val="21"/>
                <w:highlight w:val="none"/>
                <w:lang w:bidi="ar"/>
              </w:rPr>
            </w:pPr>
          </w:p>
        </w:tc>
        <w:tc>
          <w:tcPr>
            <w:tcW w:w="257" w:type="pct"/>
            <w:vMerge w:val="continue"/>
            <w:noWrap w:val="0"/>
            <w:vAlign w:val="center"/>
          </w:tcPr>
          <w:p w14:paraId="08BA4199">
            <w:pPr>
              <w:jc w:val="center"/>
              <w:rPr>
                <w:color w:val="FF0000"/>
                <w:kern w:val="0"/>
                <w:sz w:val="21"/>
                <w:szCs w:val="21"/>
                <w:highlight w:val="none"/>
                <w:lang w:bidi="ar"/>
              </w:rPr>
            </w:pPr>
          </w:p>
        </w:tc>
        <w:tc>
          <w:tcPr>
            <w:tcW w:w="315" w:type="pct"/>
            <w:vMerge w:val="continue"/>
            <w:noWrap w:val="0"/>
            <w:vAlign w:val="center"/>
          </w:tcPr>
          <w:p w14:paraId="680221B4">
            <w:pPr>
              <w:jc w:val="center"/>
              <w:rPr>
                <w:color w:val="FF0000"/>
                <w:kern w:val="0"/>
                <w:sz w:val="21"/>
                <w:szCs w:val="21"/>
                <w:highlight w:val="none"/>
                <w:lang w:bidi="ar"/>
              </w:rPr>
            </w:pPr>
          </w:p>
        </w:tc>
        <w:tc>
          <w:tcPr>
            <w:tcW w:w="315" w:type="pct"/>
            <w:vMerge w:val="continue"/>
            <w:noWrap w:val="0"/>
            <w:vAlign w:val="center"/>
          </w:tcPr>
          <w:p w14:paraId="0A612AE3">
            <w:pPr>
              <w:jc w:val="center"/>
              <w:rPr>
                <w:color w:val="FF0000"/>
                <w:kern w:val="0"/>
                <w:sz w:val="21"/>
                <w:szCs w:val="21"/>
                <w:highlight w:val="none"/>
                <w:lang w:bidi="ar"/>
              </w:rPr>
            </w:pPr>
          </w:p>
        </w:tc>
        <w:tc>
          <w:tcPr>
            <w:tcW w:w="310" w:type="pct"/>
            <w:vMerge w:val="continue"/>
            <w:tcBorders>
              <w:right w:val="single" w:color="auto" w:sz="4" w:space="0"/>
            </w:tcBorders>
            <w:noWrap w:val="0"/>
            <w:vAlign w:val="center"/>
          </w:tcPr>
          <w:p w14:paraId="5EAFAF74">
            <w:pPr>
              <w:jc w:val="center"/>
              <w:rPr>
                <w:color w:val="FF0000"/>
                <w:kern w:val="0"/>
                <w:sz w:val="21"/>
                <w:szCs w:val="21"/>
                <w:highlight w:val="none"/>
                <w:lang w:bidi="ar"/>
              </w:rPr>
            </w:pPr>
          </w:p>
        </w:tc>
        <w:tc>
          <w:tcPr>
            <w:tcW w:w="558" w:type="pct"/>
            <w:vMerge w:val="continue"/>
            <w:tcBorders>
              <w:left w:val="single" w:color="auto" w:sz="4" w:space="0"/>
            </w:tcBorders>
            <w:noWrap w:val="0"/>
            <w:vAlign w:val="center"/>
          </w:tcPr>
          <w:p w14:paraId="7EE648A4">
            <w:pPr>
              <w:jc w:val="center"/>
              <w:rPr>
                <w:color w:val="FF0000"/>
                <w:kern w:val="0"/>
                <w:sz w:val="21"/>
                <w:szCs w:val="21"/>
                <w:highlight w:val="none"/>
                <w:lang w:bidi="ar"/>
              </w:rPr>
            </w:pPr>
          </w:p>
        </w:tc>
        <w:tc>
          <w:tcPr>
            <w:tcW w:w="382" w:type="pct"/>
            <w:noWrap w:val="0"/>
            <w:vAlign w:val="center"/>
          </w:tcPr>
          <w:p w14:paraId="3A9BBFD9">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auto"/>
                <w:kern w:val="0"/>
                <w:sz w:val="21"/>
                <w:szCs w:val="21"/>
                <w:u w:val="none"/>
                <w:lang w:val="en-US" w:eastAsia="zh-CN" w:bidi="ar"/>
              </w:rPr>
              <w:t>9.1</w:t>
            </w:r>
            <w:r>
              <w:rPr>
                <w:rFonts w:hint="eastAsia"/>
                <w:szCs w:val="21"/>
              </w:rPr>
              <w:t>×10</w:t>
            </w:r>
            <w:r>
              <w:rPr>
                <w:rFonts w:hint="eastAsia"/>
                <w:szCs w:val="21"/>
                <w:vertAlign w:val="superscript"/>
              </w:rPr>
              <w:t>-</w:t>
            </w:r>
            <w:r>
              <w:rPr>
                <w:rFonts w:hint="eastAsia"/>
                <w:szCs w:val="21"/>
                <w:vertAlign w:val="superscript"/>
                <w:lang w:val="en-US" w:eastAsia="zh-CN"/>
              </w:rPr>
              <w:t>8</w:t>
            </w:r>
          </w:p>
        </w:tc>
        <w:tc>
          <w:tcPr>
            <w:tcW w:w="407" w:type="pct"/>
            <w:noWrap w:val="0"/>
            <w:vAlign w:val="center"/>
          </w:tcPr>
          <w:p w14:paraId="7721D913">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6.9</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9</w:t>
            </w:r>
          </w:p>
        </w:tc>
        <w:tc>
          <w:tcPr>
            <w:tcW w:w="348" w:type="pct"/>
            <w:noWrap w:val="0"/>
            <w:vAlign w:val="center"/>
          </w:tcPr>
          <w:p w14:paraId="22450D0E">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0.0331</w:t>
            </w:r>
          </w:p>
        </w:tc>
        <w:tc>
          <w:tcPr>
            <w:tcW w:w="298" w:type="pct"/>
            <w:noWrap w:val="0"/>
            <w:vAlign w:val="center"/>
          </w:tcPr>
          <w:p w14:paraId="33AA7F5F">
            <w:pPr>
              <w:keepNext w:val="0"/>
              <w:keepLines w:val="0"/>
              <w:widowControl/>
              <w:suppressLineNumbers w:val="0"/>
              <w:tabs>
                <w:tab w:val="left" w:pos="395"/>
              </w:tabs>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255" w:type="pct"/>
            <w:noWrap w:val="0"/>
            <w:vAlign w:val="center"/>
          </w:tcPr>
          <w:p w14:paraId="55E39A59">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3.5</w:t>
            </w:r>
          </w:p>
        </w:tc>
        <w:tc>
          <w:tcPr>
            <w:tcW w:w="289" w:type="pct"/>
            <w:noWrap w:val="0"/>
            <w:vAlign w:val="center"/>
          </w:tcPr>
          <w:p w14:paraId="3EE05AE1">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6C00BE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restart"/>
            <w:noWrap w:val="0"/>
            <w:vAlign w:val="center"/>
          </w:tcPr>
          <w:p w14:paraId="587E29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无组织废气</w:t>
            </w:r>
          </w:p>
        </w:tc>
        <w:tc>
          <w:tcPr>
            <w:tcW w:w="343" w:type="pct"/>
            <w:tcBorders>
              <w:top w:val="single" w:color="auto" w:sz="4" w:space="0"/>
            </w:tcBorders>
            <w:noWrap w:val="0"/>
            <w:vAlign w:val="center"/>
          </w:tcPr>
          <w:p w14:paraId="047D4FA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注塑车间破碎</w:t>
            </w:r>
          </w:p>
        </w:tc>
        <w:tc>
          <w:tcPr>
            <w:tcW w:w="344" w:type="pct"/>
            <w:noWrap w:val="0"/>
            <w:vAlign w:val="center"/>
          </w:tcPr>
          <w:p w14:paraId="10752375">
            <w:pPr>
              <w:keepNext w:val="0"/>
              <w:keepLines w:val="0"/>
              <w:widowControl/>
              <w:suppressLineNumbers w:val="0"/>
              <w:jc w:val="center"/>
              <w:textAlignment w:val="center"/>
              <w:rPr>
                <w:color w:val="auto"/>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颗粒物</w:t>
            </w:r>
          </w:p>
        </w:tc>
        <w:tc>
          <w:tcPr>
            <w:tcW w:w="175" w:type="pct"/>
            <w:noWrap w:val="0"/>
            <w:vAlign w:val="center"/>
          </w:tcPr>
          <w:p w14:paraId="56AE8E68">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9" w:type="pct"/>
            <w:noWrap w:val="0"/>
            <w:vAlign w:val="center"/>
          </w:tcPr>
          <w:p w14:paraId="5BC464CB">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57" w:type="pct"/>
            <w:noWrap w:val="0"/>
            <w:vAlign w:val="center"/>
          </w:tcPr>
          <w:p w14:paraId="32FF2754">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15" w:type="pct"/>
            <w:tcBorders>
              <w:bottom w:val="single" w:color="auto" w:sz="4" w:space="0"/>
            </w:tcBorders>
            <w:noWrap w:val="0"/>
            <w:vAlign w:val="center"/>
          </w:tcPr>
          <w:p w14:paraId="246ED5EB">
            <w:pPr>
              <w:keepNext w:val="0"/>
              <w:keepLines w:val="0"/>
              <w:widowControl/>
              <w:suppressLineNumbers w:val="0"/>
              <w:jc w:val="center"/>
              <w:textAlignment w:val="center"/>
              <w:rPr>
                <w:rFonts w:hint="default"/>
                <w:color w:val="auto"/>
                <w:kern w:val="0"/>
                <w:sz w:val="21"/>
                <w:szCs w:val="21"/>
                <w:highlight w:val="none"/>
                <w:lang w:val="en-US" w:bidi="ar"/>
              </w:rPr>
            </w:pPr>
            <w:r>
              <w:rPr>
                <w:rFonts w:hint="eastAsia" w:cs="Times New Roman"/>
                <w:i w:val="0"/>
                <w:iCs w:val="0"/>
                <w:color w:val="000000"/>
                <w:kern w:val="0"/>
                <w:sz w:val="21"/>
                <w:szCs w:val="21"/>
                <w:u w:val="none"/>
                <w:lang w:val="en-US" w:eastAsia="zh-CN" w:bidi="ar"/>
              </w:rPr>
              <w:t>12</w:t>
            </w:r>
          </w:p>
        </w:tc>
        <w:tc>
          <w:tcPr>
            <w:tcW w:w="315" w:type="pct"/>
            <w:vMerge w:val="restart"/>
            <w:noWrap w:val="0"/>
            <w:vAlign w:val="center"/>
          </w:tcPr>
          <w:p w14:paraId="1324CB53">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69" w:type="pct"/>
            <w:gridSpan w:val="2"/>
            <w:vMerge w:val="restart"/>
            <w:noWrap w:val="0"/>
            <w:vAlign w:val="center"/>
          </w:tcPr>
          <w:p w14:paraId="5A381E27">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82" w:type="pct"/>
            <w:noWrap w:val="0"/>
            <w:vAlign w:val="center"/>
          </w:tcPr>
          <w:p w14:paraId="303DA296">
            <w:pPr>
              <w:keepNext w:val="0"/>
              <w:keepLines w:val="0"/>
              <w:widowControl/>
              <w:suppressLineNumbers w:val="0"/>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407" w:type="pct"/>
            <w:noWrap w:val="0"/>
            <w:vAlign w:val="center"/>
          </w:tcPr>
          <w:p w14:paraId="1D10ED36">
            <w:pPr>
              <w:keepNext w:val="0"/>
              <w:keepLines w:val="0"/>
              <w:widowControl/>
              <w:suppressLineNumbers w:val="0"/>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348" w:type="pct"/>
            <w:noWrap w:val="0"/>
            <w:vAlign w:val="center"/>
          </w:tcPr>
          <w:p w14:paraId="435BDAF8">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1.1</w:t>
            </w:r>
            <w:r>
              <w:rPr>
                <w:rFonts w:hint="eastAsia"/>
                <w:szCs w:val="21"/>
              </w:rPr>
              <w:t>×10</w:t>
            </w:r>
            <w:r>
              <w:rPr>
                <w:rFonts w:hint="eastAsia"/>
                <w:szCs w:val="21"/>
                <w:vertAlign w:val="superscript"/>
              </w:rPr>
              <w:t>-5</w:t>
            </w:r>
          </w:p>
        </w:tc>
        <w:tc>
          <w:tcPr>
            <w:tcW w:w="298" w:type="pct"/>
            <w:noWrap w:val="0"/>
            <w:vAlign w:val="center"/>
          </w:tcPr>
          <w:p w14:paraId="30B1B0C1">
            <w:pPr>
              <w:keepNext w:val="0"/>
              <w:keepLines w:val="0"/>
              <w:widowControl/>
              <w:suppressLineNumbers w:val="0"/>
              <w:jc w:val="center"/>
              <w:textAlignment w:val="center"/>
              <w:rPr>
                <w:rFonts w:hint="default"/>
                <w:color w:val="auto"/>
                <w:kern w:val="0"/>
                <w:sz w:val="21"/>
                <w:szCs w:val="21"/>
                <w:highlight w:val="none"/>
                <w:lang w:val="en-US" w:bidi="ar"/>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255" w:type="pct"/>
            <w:noWrap w:val="0"/>
            <w:vAlign w:val="center"/>
          </w:tcPr>
          <w:p w14:paraId="08D4F0CF">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89" w:type="pct"/>
            <w:noWrap w:val="0"/>
            <w:vAlign w:val="center"/>
          </w:tcPr>
          <w:p w14:paraId="66BFA5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46070A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0E552D5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3" w:type="pct"/>
            <w:vMerge w:val="restart"/>
            <w:noWrap w:val="0"/>
            <w:vAlign w:val="center"/>
          </w:tcPr>
          <w:p w14:paraId="7A65525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注塑车间注塑</w:t>
            </w:r>
          </w:p>
        </w:tc>
        <w:tc>
          <w:tcPr>
            <w:tcW w:w="344" w:type="pct"/>
            <w:noWrap w:val="0"/>
            <w:vAlign w:val="center"/>
          </w:tcPr>
          <w:p w14:paraId="207CCD6F">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5" w:type="pct"/>
            <w:noWrap w:val="0"/>
            <w:vAlign w:val="center"/>
          </w:tcPr>
          <w:p w14:paraId="7A05DF92">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9" w:type="pct"/>
            <w:noWrap w:val="0"/>
            <w:vAlign w:val="center"/>
          </w:tcPr>
          <w:p w14:paraId="0092828D">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57" w:type="pct"/>
            <w:noWrap w:val="0"/>
            <w:vAlign w:val="center"/>
          </w:tcPr>
          <w:p w14:paraId="40144F6C">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15" w:type="pct"/>
            <w:vMerge w:val="restart"/>
            <w:tcBorders>
              <w:top w:val="single" w:color="auto" w:sz="4" w:space="0"/>
            </w:tcBorders>
            <w:noWrap w:val="0"/>
            <w:vAlign w:val="center"/>
          </w:tcPr>
          <w:p w14:paraId="7B47019C">
            <w:pPr>
              <w:jc w:val="center"/>
              <w:rPr>
                <w:color w:val="auto"/>
                <w:kern w:val="0"/>
                <w:sz w:val="21"/>
                <w:szCs w:val="21"/>
                <w:highlight w:val="none"/>
                <w:lang w:bidi="ar"/>
              </w:rPr>
            </w:pPr>
            <w:r>
              <w:rPr>
                <w:rFonts w:hint="eastAsia" w:cs="Times New Roman"/>
                <w:i w:val="0"/>
                <w:iCs w:val="0"/>
                <w:color w:val="000000"/>
                <w:kern w:val="0"/>
                <w:sz w:val="21"/>
                <w:szCs w:val="21"/>
                <w:u w:val="none"/>
                <w:lang w:val="en-US" w:eastAsia="zh-CN" w:bidi="ar"/>
              </w:rPr>
              <w:t>4800</w:t>
            </w:r>
          </w:p>
        </w:tc>
        <w:tc>
          <w:tcPr>
            <w:tcW w:w="315" w:type="pct"/>
            <w:vMerge w:val="continue"/>
            <w:noWrap w:val="0"/>
            <w:vAlign w:val="center"/>
          </w:tcPr>
          <w:p w14:paraId="242B32C3">
            <w:pPr>
              <w:jc w:val="center"/>
              <w:rPr>
                <w:color w:val="auto"/>
                <w:kern w:val="0"/>
                <w:sz w:val="21"/>
                <w:szCs w:val="21"/>
                <w:highlight w:val="none"/>
                <w:lang w:bidi="ar"/>
              </w:rPr>
            </w:pPr>
          </w:p>
        </w:tc>
        <w:tc>
          <w:tcPr>
            <w:tcW w:w="869" w:type="pct"/>
            <w:gridSpan w:val="2"/>
            <w:vMerge w:val="continue"/>
            <w:noWrap w:val="0"/>
            <w:vAlign w:val="center"/>
          </w:tcPr>
          <w:p w14:paraId="66633709">
            <w:pPr>
              <w:jc w:val="center"/>
              <w:rPr>
                <w:color w:val="auto"/>
                <w:kern w:val="0"/>
                <w:sz w:val="21"/>
                <w:szCs w:val="21"/>
                <w:highlight w:val="none"/>
                <w:lang w:bidi="ar"/>
              </w:rPr>
            </w:pPr>
          </w:p>
        </w:tc>
        <w:tc>
          <w:tcPr>
            <w:tcW w:w="382" w:type="pct"/>
            <w:noWrap w:val="0"/>
            <w:vAlign w:val="center"/>
          </w:tcPr>
          <w:p w14:paraId="0A60B685">
            <w:pPr>
              <w:keepNext w:val="0"/>
              <w:keepLines w:val="0"/>
              <w:widowControl/>
              <w:suppressLineNumbers w:val="0"/>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407" w:type="pct"/>
            <w:noWrap w:val="0"/>
            <w:vAlign w:val="center"/>
          </w:tcPr>
          <w:p w14:paraId="6D2086AD">
            <w:pPr>
              <w:keepNext w:val="0"/>
              <w:keepLines w:val="0"/>
              <w:widowControl/>
              <w:suppressLineNumbers w:val="0"/>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348" w:type="pct"/>
            <w:noWrap w:val="0"/>
            <w:vAlign w:val="center"/>
          </w:tcPr>
          <w:p w14:paraId="07839447">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0.00675</w:t>
            </w:r>
          </w:p>
        </w:tc>
        <w:tc>
          <w:tcPr>
            <w:tcW w:w="298" w:type="pct"/>
            <w:noWrap w:val="0"/>
            <w:vAlign w:val="center"/>
          </w:tcPr>
          <w:p w14:paraId="40FCE147">
            <w:pPr>
              <w:keepNext w:val="0"/>
              <w:keepLines w:val="0"/>
              <w:widowControl/>
              <w:suppressLineNumbers w:val="0"/>
              <w:jc w:val="center"/>
              <w:textAlignment w:val="center"/>
              <w:rPr>
                <w:rFonts w:hint="default"/>
                <w:color w:val="auto"/>
                <w:kern w:val="0"/>
                <w:sz w:val="21"/>
                <w:szCs w:val="21"/>
                <w:highlight w:val="none"/>
                <w:lang w:val="en-US" w:bidi="ar"/>
              </w:rPr>
            </w:pPr>
            <w:r>
              <w:rPr>
                <w:rFonts w:hint="eastAsia" w:ascii="Times New Roman" w:hAnsi="Times New Roman" w:eastAsia="宋体" w:cs="Times New Roman"/>
                <w:i w:val="0"/>
                <w:iCs w:val="0"/>
                <w:color w:val="000000"/>
                <w:kern w:val="0"/>
                <w:sz w:val="21"/>
                <w:szCs w:val="21"/>
                <w:u w:val="none"/>
                <w:lang w:val="en-US" w:eastAsia="zh-CN" w:bidi="ar"/>
              </w:rPr>
              <w:t>4.0</w:t>
            </w:r>
          </w:p>
        </w:tc>
        <w:tc>
          <w:tcPr>
            <w:tcW w:w="255" w:type="pct"/>
            <w:noWrap w:val="0"/>
            <w:vAlign w:val="center"/>
          </w:tcPr>
          <w:p w14:paraId="1625CCC9">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89" w:type="pct"/>
            <w:noWrap w:val="0"/>
            <w:vAlign w:val="center"/>
          </w:tcPr>
          <w:p w14:paraId="2E8109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41AD5E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87" w:type="pct"/>
            <w:vMerge w:val="continue"/>
            <w:noWrap w:val="0"/>
            <w:vAlign w:val="center"/>
          </w:tcPr>
          <w:p w14:paraId="0DADE127">
            <w:pPr>
              <w:jc w:val="center"/>
              <w:rPr>
                <w:color w:val="auto"/>
                <w:kern w:val="0"/>
                <w:sz w:val="21"/>
                <w:szCs w:val="21"/>
                <w:highlight w:val="none"/>
                <w:lang w:bidi="ar"/>
              </w:rPr>
            </w:pPr>
          </w:p>
        </w:tc>
        <w:tc>
          <w:tcPr>
            <w:tcW w:w="343" w:type="pct"/>
            <w:vMerge w:val="continue"/>
            <w:noWrap w:val="0"/>
            <w:vAlign w:val="center"/>
          </w:tcPr>
          <w:p w14:paraId="1D35893F">
            <w:pPr>
              <w:jc w:val="center"/>
              <w:rPr>
                <w:color w:val="auto"/>
                <w:kern w:val="0"/>
                <w:sz w:val="21"/>
                <w:szCs w:val="21"/>
                <w:highlight w:val="none"/>
                <w:lang w:bidi="ar"/>
              </w:rPr>
            </w:pPr>
          </w:p>
        </w:tc>
        <w:tc>
          <w:tcPr>
            <w:tcW w:w="344" w:type="pct"/>
            <w:noWrap w:val="0"/>
            <w:vAlign w:val="center"/>
          </w:tcPr>
          <w:p w14:paraId="037C00FB">
            <w:pPr>
              <w:autoSpaceDE w:val="0"/>
              <w:autoSpaceDN w:val="0"/>
              <w:adjustRightInd w:val="0"/>
              <w:snapToGrid w:val="0"/>
              <w:jc w:val="center"/>
              <w:rPr>
                <w:color w:val="auto"/>
                <w:kern w:val="0"/>
                <w:sz w:val="21"/>
                <w:szCs w:val="21"/>
                <w:highlight w:val="none"/>
                <w:lang w:bidi="ar"/>
              </w:rPr>
            </w:pPr>
            <w:r>
              <w:rPr>
                <w:rFonts w:hint="eastAsia" w:ascii="宋体" w:hAnsi="宋体" w:eastAsia="宋体" w:cs="宋体"/>
                <w:color w:val="000000"/>
                <w:kern w:val="0"/>
                <w:sz w:val="21"/>
                <w:szCs w:val="21"/>
                <w:lang w:val="en-US" w:eastAsia="zh-CN" w:bidi="ar"/>
              </w:rPr>
              <w:t>丙烯腈</w:t>
            </w:r>
          </w:p>
        </w:tc>
        <w:tc>
          <w:tcPr>
            <w:tcW w:w="175" w:type="pct"/>
            <w:noWrap w:val="0"/>
            <w:vAlign w:val="center"/>
          </w:tcPr>
          <w:p w14:paraId="13414F5E">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9" w:type="pct"/>
            <w:noWrap w:val="0"/>
            <w:vAlign w:val="center"/>
          </w:tcPr>
          <w:p w14:paraId="1D3500E1">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57" w:type="pct"/>
            <w:noWrap w:val="0"/>
            <w:vAlign w:val="center"/>
          </w:tcPr>
          <w:p w14:paraId="7AC59B3F">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15" w:type="pct"/>
            <w:vMerge w:val="continue"/>
            <w:noWrap w:val="0"/>
            <w:vAlign w:val="center"/>
          </w:tcPr>
          <w:p w14:paraId="08FF5F9C">
            <w:pPr>
              <w:jc w:val="center"/>
              <w:rPr>
                <w:rFonts w:hint="eastAsia"/>
                <w:color w:val="auto"/>
                <w:kern w:val="0"/>
                <w:sz w:val="21"/>
                <w:szCs w:val="21"/>
                <w:highlight w:val="none"/>
                <w:lang w:val="en-US" w:eastAsia="zh-CN" w:bidi="ar"/>
              </w:rPr>
            </w:pPr>
          </w:p>
        </w:tc>
        <w:tc>
          <w:tcPr>
            <w:tcW w:w="315" w:type="pct"/>
            <w:vMerge w:val="continue"/>
            <w:noWrap w:val="0"/>
            <w:vAlign w:val="center"/>
          </w:tcPr>
          <w:p w14:paraId="2577C1E6">
            <w:pPr>
              <w:jc w:val="center"/>
              <w:rPr>
                <w:color w:val="auto"/>
                <w:kern w:val="0"/>
                <w:sz w:val="21"/>
                <w:szCs w:val="21"/>
                <w:highlight w:val="none"/>
                <w:lang w:bidi="ar"/>
              </w:rPr>
            </w:pPr>
          </w:p>
        </w:tc>
        <w:tc>
          <w:tcPr>
            <w:tcW w:w="869" w:type="pct"/>
            <w:gridSpan w:val="2"/>
            <w:vMerge w:val="continue"/>
            <w:noWrap w:val="0"/>
            <w:vAlign w:val="center"/>
          </w:tcPr>
          <w:p w14:paraId="6A2D191A">
            <w:pPr>
              <w:jc w:val="center"/>
              <w:rPr>
                <w:color w:val="auto"/>
                <w:kern w:val="0"/>
                <w:sz w:val="21"/>
                <w:szCs w:val="21"/>
                <w:highlight w:val="none"/>
                <w:lang w:bidi="ar"/>
              </w:rPr>
            </w:pPr>
          </w:p>
        </w:tc>
        <w:tc>
          <w:tcPr>
            <w:tcW w:w="382" w:type="pct"/>
            <w:noWrap w:val="0"/>
            <w:vAlign w:val="center"/>
          </w:tcPr>
          <w:p w14:paraId="1A0560C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07" w:type="pct"/>
            <w:noWrap w:val="0"/>
            <w:vAlign w:val="center"/>
          </w:tcPr>
          <w:p w14:paraId="20D2DA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348" w:type="pct"/>
            <w:noWrap w:val="0"/>
            <w:vAlign w:val="center"/>
          </w:tcPr>
          <w:p w14:paraId="178E54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5.1</w:t>
            </w:r>
            <w:r>
              <w:rPr>
                <w:rFonts w:hint="eastAsia"/>
                <w:szCs w:val="21"/>
              </w:rPr>
              <w:t>×10</w:t>
            </w:r>
            <w:r>
              <w:rPr>
                <w:rFonts w:hint="eastAsia"/>
                <w:szCs w:val="21"/>
                <w:vertAlign w:val="superscript"/>
              </w:rPr>
              <w:t>-5</w:t>
            </w:r>
          </w:p>
        </w:tc>
        <w:tc>
          <w:tcPr>
            <w:tcW w:w="298" w:type="pct"/>
            <w:noWrap w:val="0"/>
            <w:vAlign w:val="center"/>
          </w:tcPr>
          <w:p w14:paraId="7A0EB6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55" w:type="pct"/>
            <w:noWrap w:val="0"/>
            <w:vAlign w:val="center"/>
          </w:tcPr>
          <w:p w14:paraId="637D47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289" w:type="pct"/>
            <w:noWrap w:val="0"/>
            <w:vAlign w:val="center"/>
          </w:tcPr>
          <w:p w14:paraId="7F6D178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75B09E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2CC09743">
            <w:pPr>
              <w:jc w:val="center"/>
              <w:rPr>
                <w:color w:val="auto"/>
                <w:kern w:val="0"/>
                <w:sz w:val="21"/>
                <w:szCs w:val="21"/>
                <w:highlight w:val="none"/>
                <w:lang w:bidi="ar"/>
              </w:rPr>
            </w:pPr>
          </w:p>
        </w:tc>
        <w:tc>
          <w:tcPr>
            <w:tcW w:w="343" w:type="pct"/>
            <w:vMerge w:val="continue"/>
            <w:noWrap w:val="0"/>
            <w:vAlign w:val="center"/>
          </w:tcPr>
          <w:p w14:paraId="5E417189">
            <w:pPr>
              <w:jc w:val="center"/>
              <w:rPr>
                <w:color w:val="auto"/>
                <w:kern w:val="0"/>
                <w:sz w:val="21"/>
                <w:szCs w:val="21"/>
                <w:highlight w:val="none"/>
                <w:lang w:bidi="ar"/>
              </w:rPr>
            </w:pPr>
          </w:p>
        </w:tc>
        <w:tc>
          <w:tcPr>
            <w:tcW w:w="344" w:type="pct"/>
            <w:noWrap w:val="0"/>
            <w:vAlign w:val="center"/>
          </w:tcPr>
          <w:p w14:paraId="6A87F684">
            <w:pPr>
              <w:autoSpaceDE w:val="0"/>
              <w:autoSpaceDN w:val="0"/>
              <w:adjustRightInd w:val="0"/>
              <w:snapToGrid w:val="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rPr>
              <w:t>苯乙烯</w:t>
            </w:r>
          </w:p>
        </w:tc>
        <w:tc>
          <w:tcPr>
            <w:tcW w:w="175" w:type="pct"/>
            <w:noWrap w:val="0"/>
            <w:vAlign w:val="center"/>
          </w:tcPr>
          <w:p w14:paraId="47CEF7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9" w:type="pct"/>
            <w:noWrap w:val="0"/>
            <w:vAlign w:val="center"/>
          </w:tcPr>
          <w:p w14:paraId="45BEE9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57" w:type="pct"/>
            <w:noWrap w:val="0"/>
            <w:vAlign w:val="center"/>
          </w:tcPr>
          <w:p w14:paraId="24F9B1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15" w:type="pct"/>
            <w:vMerge w:val="continue"/>
            <w:noWrap w:val="0"/>
            <w:vAlign w:val="center"/>
          </w:tcPr>
          <w:p w14:paraId="5DDF0F61">
            <w:pPr>
              <w:jc w:val="center"/>
              <w:rPr>
                <w:rFonts w:hint="eastAsia"/>
                <w:color w:val="auto"/>
                <w:kern w:val="0"/>
                <w:sz w:val="21"/>
                <w:szCs w:val="21"/>
                <w:highlight w:val="none"/>
                <w:lang w:val="en-US" w:eastAsia="zh-CN" w:bidi="ar"/>
              </w:rPr>
            </w:pPr>
          </w:p>
        </w:tc>
        <w:tc>
          <w:tcPr>
            <w:tcW w:w="315" w:type="pct"/>
            <w:vMerge w:val="continue"/>
            <w:noWrap w:val="0"/>
            <w:vAlign w:val="center"/>
          </w:tcPr>
          <w:p w14:paraId="49610BD0">
            <w:pPr>
              <w:jc w:val="center"/>
              <w:rPr>
                <w:color w:val="auto"/>
                <w:kern w:val="0"/>
                <w:sz w:val="21"/>
                <w:szCs w:val="21"/>
                <w:highlight w:val="none"/>
                <w:lang w:bidi="ar"/>
              </w:rPr>
            </w:pPr>
          </w:p>
        </w:tc>
        <w:tc>
          <w:tcPr>
            <w:tcW w:w="869" w:type="pct"/>
            <w:gridSpan w:val="2"/>
            <w:vMerge w:val="continue"/>
            <w:noWrap w:val="0"/>
            <w:vAlign w:val="center"/>
          </w:tcPr>
          <w:p w14:paraId="58D5B968">
            <w:pPr>
              <w:jc w:val="center"/>
              <w:rPr>
                <w:color w:val="auto"/>
                <w:kern w:val="0"/>
                <w:sz w:val="21"/>
                <w:szCs w:val="21"/>
                <w:highlight w:val="none"/>
                <w:lang w:bidi="ar"/>
              </w:rPr>
            </w:pPr>
          </w:p>
        </w:tc>
        <w:tc>
          <w:tcPr>
            <w:tcW w:w="382" w:type="pct"/>
            <w:noWrap w:val="0"/>
            <w:vAlign w:val="center"/>
          </w:tcPr>
          <w:p w14:paraId="61230D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07" w:type="pct"/>
            <w:noWrap w:val="0"/>
            <w:vAlign w:val="center"/>
          </w:tcPr>
          <w:p w14:paraId="1319663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348" w:type="pct"/>
            <w:noWrap w:val="0"/>
            <w:vAlign w:val="center"/>
          </w:tcPr>
          <w:p w14:paraId="21940E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0.00114</w:t>
            </w:r>
          </w:p>
        </w:tc>
        <w:tc>
          <w:tcPr>
            <w:tcW w:w="298" w:type="pct"/>
            <w:noWrap w:val="0"/>
            <w:vAlign w:val="center"/>
          </w:tcPr>
          <w:p w14:paraId="570721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0.4</w:t>
            </w:r>
          </w:p>
        </w:tc>
        <w:tc>
          <w:tcPr>
            <w:tcW w:w="255" w:type="pct"/>
            <w:noWrap w:val="0"/>
            <w:vAlign w:val="center"/>
          </w:tcPr>
          <w:p w14:paraId="3C8F6B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89" w:type="pct"/>
            <w:noWrap w:val="0"/>
            <w:vAlign w:val="center"/>
          </w:tcPr>
          <w:p w14:paraId="3E2FEF72">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7A8B8A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2F9292B8">
            <w:pPr>
              <w:jc w:val="center"/>
              <w:rPr>
                <w:color w:val="auto"/>
                <w:kern w:val="0"/>
                <w:sz w:val="21"/>
                <w:szCs w:val="21"/>
                <w:highlight w:val="none"/>
                <w:lang w:bidi="ar"/>
              </w:rPr>
            </w:pPr>
          </w:p>
        </w:tc>
        <w:tc>
          <w:tcPr>
            <w:tcW w:w="343" w:type="pct"/>
            <w:vMerge w:val="restart"/>
            <w:noWrap w:val="0"/>
            <w:vAlign w:val="center"/>
          </w:tcPr>
          <w:p w14:paraId="36BF0D9C">
            <w:pPr>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喷涂车间</w:t>
            </w:r>
          </w:p>
        </w:tc>
        <w:tc>
          <w:tcPr>
            <w:tcW w:w="344" w:type="pct"/>
            <w:noWrap w:val="0"/>
            <w:vAlign w:val="center"/>
          </w:tcPr>
          <w:p w14:paraId="7B274BB9">
            <w:pPr>
              <w:keepNext w:val="0"/>
              <w:keepLines w:val="0"/>
              <w:widowControl/>
              <w:suppressLineNumbers w:val="0"/>
              <w:jc w:val="center"/>
              <w:textAlignment w:val="center"/>
              <w:rPr>
                <w:rFonts w:hint="eastAsia"/>
                <w:szCs w:val="21"/>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5" w:type="pct"/>
            <w:noWrap w:val="0"/>
            <w:vAlign w:val="center"/>
          </w:tcPr>
          <w:p w14:paraId="59FD5A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9" w:type="pct"/>
            <w:noWrap w:val="0"/>
            <w:vAlign w:val="center"/>
          </w:tcPr>
          <w:p w14:paraId="38613E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57" w:type="pct"/>
            <w:noWrap w:val="0"/>
            <w:vAlign w:val="center"/>
          </w:tcPr>
          <w:p w14:paraId="7C27BC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15" w:type="pct"/>
            <w:vMerge w:val="restart"/>
            <w:noWrap w:val="0"/>
            <w:vAlign w:val="center"/>
          </w:tcPr>
          <w:p w14:paraId="0151FBCC">
            <w:pPr>
              <w:jc w:val="center"/>
              <w:rPr>
                <w:rFonts w:hint="eastAsia"/>
                <w:color w:val="auto"/>
                <w:kern w:val="0"/>
                <w:sz w:val="21"/>
                <w:szCs w:val="21"/>
                <w:highlight w:val="none"/>
                <w:lang w:val="en-US" w:eastAsia="zh-CN" w:bidi="ar"/>
              </w:rPr>
            </w:pPr>
            <w:r>
              <w:rPr>
                <w:rFonts w:hint="eastAsia" w:cs="Times New Roman"/>
                <w:i w:val="0"/>
                <w:iCs w:val="0"/>
                <w:color w:val="000000"/>
                <w:kern w:val="0"/>
                <w:sz w:val="21"/>
                <w:szCs w:val="21"/>
                <w:u w:val="none"/>
                <w:lang w:val="en-US" w:eastAsia="zh-CN" w:bidi="ar"/>
              </w:rPr>
              <w:t>4800</w:t>
            </w:r>
          </w:p>
        </w:tc>
        <w:tc>
          <w:tcPr>
            <w:tcW w:w="315" w:type="pct"/>
            <w:vMerge w:val="continue"/>
            <w:noWrap w:val="0"/>
            <w:vAlign w:val="center"/>
          </w:tcPr>
          <w:p w14:paraId="3BE91885">
            <w:pPr>
              <w:jc w:val="center"/>
              <w:rPr>
                <w:color w:val="auto"/>
                <w:kern w:val="0"/>
                <w:sz w:val="21"/>
                <w:szCs w:val="21"/>
                <w:highlight w:val="none"/>
                <w:lang w:bidi="ar"/>
              </w:rPr>
            </w:pPr>
          </w:p>
        </w:tc>
        <w:tc>
          <w:tcPr>
            <w:tcW w:w="869" w:type="pct"/>
            <w:gridSpan w:val="2"/>
            <w:vMerge w:val="continue"/>
            <w:noWrap w:val="0"/>
            <w:vAlign w:val="center"/>
          </w:tcPr>
          <w:p w14:paraId="438123D5">
            <w:pPr>
              <w:jc w:val="center"/>
              <w:rPr>
                <w:color w:val="auto"/>
                <w:kern w:val="0"/>
                <w:sz w:val="21"/>
                <w:szCs w:val="21"/>
                <w:highlight w:val="none"/>
                <w:lang w:bidi="ar"/>
              </w:rPr>
            </w:pPr>
          </w:p>
        </w:tc>
        <w:tc>
          <w:tcPr>
            <w:tcW w:w="382" w:type="pct"/>
            <w:noWrap w:val="0"/>
            <w:vAlign w:val="center"/>
          </w:tcPr>
          <w:p w14:paraId="5C5E7FE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07" w:type="pct"/>
            <w:noWrap w:val="0"/>
            <w:vAlign w:val="center"/>
          </w:tcPr>
          <w:p w14:paraId="153BC0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348" w:type="pct"/>
            <w:noWrap w:val="0"/>
            <w:vAlign w:val="center"/>
          </w:tcPr>
          <w:p w14:paraId="7F6506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0.3838</w:t>
            </w:r>
          </w:p>
        </w:tc>
        <w:tc>
          <w:tcPr>
            <w:tcW w:w="298" w:type="pct"/>
            <w:noWrap w:val="0"/>
            <w:vAlign w:val="center"/>
          </w:tcPr>
          <w:p w14:paraId="3F5B7B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2.0</w:t>
            </w:r>
          </w:p>
        </w:tc>
        <w:tc>
          <w:tcPr>
            <w:tcW w:w="255" w:type="pct"/>
            <w:noWrap w:val="0"/>
            <w:vAlign w:val="center"/>
          </w:tcPr>
          <w:p w14:paraId="2BF6306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89" w:type="pct"/>
            <w:noWrap w:val="0"/>
            <w:vAlign w:val="center"/>
          </w:tcPr>
          <w:p w14:paraId="4D6F6CD2">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786A99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30D6DD7D">
            <w:pPr>
              <w:jc w:val="center"/>
              <w:rPr>
                <w:color w:val="auto"/>
                <w:kern w:val="0"/>
                <w:sz w:val="21"/>
                <w:szCs w:val="21"/>
                <w:highlight w:val="none"/>
                <w:lang w:bidi="ar"/>
              </w:rPr>
            </w:pPr>
          </w:p>
        </w:tc>
        <w:tc>
          <w:tcPr>
            <w:tcW w:w="343" w:type="pct"/>
            <w:vMerge w:val="continue"/>
            <w:noWrap w:val="0"/>
            <w:vAlign w:val="center"/>
          </w:tcPr>
          <w:p w14:paraId="0408D9F7">
            <w:pPr>
              <w:jc w:val="center"/>
              <w:rPr>
                <w:color w:val="auto"/>
                <w:kern w:val="0"/>
                <w:sz w:val="21"/>
                <w:szCs w:val="21"/>
                <w:highlight w:val="none"/>
                <w:lang w:bidi="ar"/>
              </w:rPr>
            </w:pPr>
          </w:p>
        </w:tc>
        <w:tc>
          <w:tcPr>
            <w:tcW w:w="344" w:type="pct"/>
            <w:noWrap w:val="0"/>
            <w:vAlign w:val="center"/>
          </w:tcPr>
          <w:p w14:paraId="0E7141B7">
            <w:pPr>
              <w:autoSpaceDE w:val="0"/>
              <w:autoSpaceDN w:val="0"/>
              <w:adjustRightInd w:val="0"/>
              <w:snapToGrid w:val="0"/>
              <w:jc w:val="center"/>
              <w:rPr>
                <w:rFonts w:hint="eastAsia"/>
                <w:szCs w:val="21"/>
              </w:rPr>
            </w:pPr>
            <w:r>
              <w:rPr>
                <w:rFonts w:hint="eastAsia"/>
                <w:szCs w:val="21"/>
              </w:rPr>
              <w:t>二甲苯</w:t>
            </w:r>
          </w:p>
        </w:tc>
        <w:tc>
          <w:tcPr>
            <w:tcW w:w="175" w:type="pct"/>
            <w:noWrap w:val="0"/>
            <w:vAlign w:val="center"/>
          </w:tcPr>
          <w:p w14:paraId="0CDF54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9" w:type="pct"/>
            <w:noWrap w:val="0"/>
            <w:vAlign w:val="center"/>
          </w:tcPr>
          <w:p w14:paraId="5BE96D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57" w:type="pct"/>
            <w:noWrap w:val="0"/>
            <w:vAlign w:val="center"/>
          </w:tcPr>
          <w:p w14:paraId="5449E9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15" w:type="pct"/>
            <w:vMerge w:val="continue"/>
            <w:noWrap w:val="0"/>
            <w:vAlign w:val="center"/>
          </w:tcPr>
          <w:p w14:paraId="7AB8FCFE">
            <w:pPr>
              <w:jc w:val="center"/>
              <w:rPr>
                <w:rFonts w:hint="eastAsia"/>
                <w:color w:val="auto"/>
                <w:kern w:val="0"/>
                <w:sz w:val="21"/>
                <w:szCs w:val="21"/>
                <w:highlight w:val="none"/>
                <w:lang w:val="en-US" w:eastAsia="zh-CN" w:bidi="ar"/>
              </w:rPr>
            </w:pPr>
          </w:p>
        </w:tc>
        <w:tc>
          <w:tcPr>
            <w:tcW w:w="315" w:type="pct"/>
            <w:vMerge w:val="continue"/>
            <w:noWrap w:val="0"/>
            <w:vAlign w:val="center"/>
          </w:tcPr>
          <w:p w14:paraId="4F497F64">
            <w:pPr>
              <w:jc w:val="center"/>
              <w:rPr>
                <w:color w:val="auto"/>
                <w:kern w:val="0"/>
                <w:sz w:val="21"/>
                <w:szCs w:val="21"/>
                <w:highlight w:val="none"/>
                <w:lang w:bidi="ar"/>
              </w:rPr>
            </w:pPr>
          </w:p>
        </w:tc>
        <w:tc>
          <w:tcPr>
            <w:tcW w:w="869" w:type="pct"/>
            <w:gridSpan w:val="2"/>
            <w:vMerge w:val="continue"/>
            <w:noWrap w:val="0"/>
            <w:vAlign w:val="center"/>
          </w:tcPr>
          <w:p w14:paraId="66D9E4C8">
            <w:pPr>
              <w:jc w:val="center"/>
              <w:rPr>
                <w:color w:val="auto"/>
                <w:kern w:val="0"/>
                <w:sz w:val="21"/>
                <w:szCs w:val="21"/>
                <w:highlight w:val="none"/>
                <w:lang w:bidi="ar"/>
              </w:rPr>
            </w:pPr>
          </w:p>
        </w:tc>
        <w:tc>
          <w:tcPr>
            <w:tcW w:w="382" w:type="pct"/>
            <w:noWrap w:val="0"/>
            <w:vAlign w:val="center"/>
          </w:tcPr>
          <w:p w14:paraId="115F56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07" w:type="pct"/>
            <w:noWrap w:val="0"/>
            <w:vAlign w:val="center"/>
          </w:tcPr>
          <w:p w14:paraId="3E8C036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348" w:type="pct"/>
            <w:noWrap w:val="0"/>
            <w:vAlign w:val="center"/>
          </w:tcPr>
          <w:p w14:paraId="6DE1E5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0.0063</w:t>
            </w:r>
          </w:p>
        </w:tc>
        <w:tc>
          <w:tcPr>
            <w:tcW w:w="298" w:type="pct"/>
            <w:noWrap w:val="0"/>
            <w:vAlign w:val="center"/>
          </w:tcPr>
          <w:p w14:paraId="49F40E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w:t>
            </w:r>
          </w:p>
        </w:tc>
        <w:tc>
          <w:tcPr>
            <w:tcW w:w="255" w:type="pct"/>
            <w:noWrap w:val="0"/>
            <w:vAlign w:val="center"/>
          </w:tcPr>
          <w:p w14:paraId="22B5DB8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89" w:type="pct"/>
            <w:noWrap w:val="0"/>
            <w:vAlign w:val="center"/>
          </w:tcPr>
          <w:p w14:paraId="38EAD234">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r w14:paraId="5F5FEC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87" w:type="pct"/>
            <w:vMerge w:val="continue"/>
            <w:noWrap w:val="0"/>
            <w:vAlign w:val="center"/>
          </w:tcPr>
          <w:p w14:paraId="7A0BFFD7">
            <w:pPr>
              <w:jc w:val="center"/>
              <w:rPr>
                <w:color w:val="auto"/>
                <w:kern w:val="0"/>
                <w:sz w:val="21"/>
                <w:szCs w:val="21"/>
                <w:highlight w:val="none"/>
                <w:lang w:bidi="ar"/>
              </w:rPr>
            </w:pPr>
          </w:p>
        </w:tc>
        <w:tc>
          <w:tcPr>
            <w:tcW w:w="343" w:type="pct"/>
            <w:vMerge w:val="continue"/>
            <w:noWrap w:val="0"/>
            <w:vAlign w:val="center"/>
          </w:tcPr>
          <w:p w14:paraId="29C0FAAA">
            <w:pPr>
              <w:jc w:val="center"/>
              <w:rPr>
                <w:color w:val="auto"/>
                <w:kern w:val="0"/>
                <w:sz w:val="21"/>
                <w:szCs w:val="21"/>
                <w:highlight w:val="none"/>
                <w:lang w:bidi="ar"/>
              </w:rPr>
            </w:pPr>
          </w:p>
        </w:tc>
        <w:tc>
          <w:tcPr>
            <w:tcW w:w="344" w:type="pct"/>
            <w:noWrap w:val="0"/>
            <w:vAlign w:val="center"/>
          </w:tcPr>
          <w:p w14:paraId="2F6E0649">
            <w:pPr>
              <w:autoSpaceDE w:val="0"/>
              <w:autoSpaceDN w:val="0"/>
              <w:adjustRightInd w:val="0"/>
              <w:snapToGrid w:val="0"/>
              <w:jc w:val="center"/>
              <w:rPr>
                <w:rFonts w:hint="eastAsia"/>
                <w:szCs w:val="21"/>
              </w:rPr>
            </w:pPr>
            <w:r>
              <w:rPr>
                <w:rFonts w:hint="eastAsia"/>
                <w:szCs w:val="21"/>
              </w:rPr>
              <w:t>乙苯</w:t>
            </w:r>
          </w:p>
        </w:tc>
        <w:tc>
          <w:tcPr>
            <w:tcW w:w="175" w:type="pct"/>
            <w:noWrap w:val="0"/>
            <w:vAlign w:val="center"/>
          </w:tcPr>
          <w:p w14:paraId="0E061C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09" w:type="pct"/>
            <w:noWrap w:val="0"/>
            <w:vAlign w:val="center"/>
          </w:tcPr>
          <w:p w14:paraId="2555B6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57" w:type="pct"/>
            <w:noWrap w:val="0"/>
            <w:vAlign w:val="center"/>
          </w:tcPr>
          <w:p w14:paraId="1DCB9C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15" w:type="pct"/>
            <w:vMerge w:val="continue"/>
            <w:noWrap w:val="0"/>
            <w:vAlign w:val="center"/>
          </w:tcPr>
          <w:p w14:paraId="6673FC81">
            <w:pPr>
              <w:jc w:val="center"/>
              <w:rPr>
                <w:rFonts w:hint="eastAsia"/>
                <w:color w:val="auto"/>
                <w:kern w:val="0"/>
                <w:sz w:val="21"/>
                <w:szCs w:val="21"/>
                <w:highlight w:val="none"/>
                <w:lang w:val="en-US" w:eastAsia="zh-CN" w:bidi="ar"/>
              </w:rPr>
            </w:pPr>
          </w:p>
        </w:tc>
        <w:tc>
          <w:tcPr>
            <w:tcW w:w="315" w:type="pct"/>
            <w:vMerge w:val="continue"/>
            <w:noWrap w:val="0"/>
            <w:vAlign w:val="center"/>
          </w:tcPr>
          <w:p w14:paraId="4F6B3860">
            <w:pPr>
              <w:jc w:val="center"/>
              <w:rPr>
                <w:color w:val="auto"/>
                <w:kern w:val="0"/>
                <w:sz w:val="21"/>
                <w:szCs w:val="21"/>
                <w:highlight w:val="none"/>
                <w:lang w:bidi="ar"/>
              </w:rPr>
            </w:pPr>
          </w:p>
        </w:tc>
        <w:tc>
          <w:tcPr>
            <w:tcW w:w="869" w:type="pct"/>
            <w:gridSpan w:val="2"/>
            <w:vMerge w:val="continue"/>
            <w:noWrap w:val="0"/>
            <w:vAlign w:val="center"/>
          </w:tcPr>
          <w:p w14:paraId="37934F76">
            <w:pPr>
              <w:jc w:val="center"/>
              <w:rPr>
                <w:color w:val="auto"/>
                <w:kern w:val="0"/>
                <w:sz w:val="21"/>
                <w:szCs w:val="21"/>
                <w:highlight w:val="none"/>
                <w:lang w:bidi="ar"/>
              </w:rPr>
            </w:pPr>
          </w:p>
        </w:tc>
        <w:tc>
          <w:tcPr>
            <w:tcW w:w="382" w:type="pct"/>
            <w:noWrap w:val="0"/>
            <w:vAlign w:val="center"/>
          </w:tcPr>
          <w:p w14:paraId="7408D8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07" w:type="pct"/>
            <w:noWrap w:val="0"/>
            <w:vAlign w:val="center"/>
          </w:tcPr>
          <w:p w14:paraId="635DF0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348" w:type="pct"/>
            <w:noWrap w:val="0"/>
            <w:vAlign w:val="center"/>
          </w:tcPr>
          <w:p w14:paraId="334AD5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0.0009</w:t>
            </w:r>
          </w:p>
        </w:tc>
        <w:tc>
          <w:tcPr>
            <w:tcW w:w="298" w:type="pct"/>
            <w:noWrap w:val="0"/>
            <w:vAlign w:val="center"/>
          </w:tcPr>
          <w:p w14:paraId="036D6E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0.8</w:t>
            </w:r>
          </w:p>
        </w:tc>
        <w:tc>
          <w:tcPr>
            <w:tcW w:w="255" w:type="pct"/>
            <w:noWrap w:val="0"/>
            <w:vAlign w:val="center"/>
          </w:tcPr>
          <w:p w14:paraId="05E6085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289" w:type="pct"/>
            <w:noWrap w:val="0"/>
            <w:vAlign w:val="center"/>
          </w:tcPr>
          <w:p w14:paraId="6B2DD421">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olor w:val="auto"/>
                <w:sz w:val="21"/>
                <w:szCs w:val="21"/>
                <w:highlight w:val="none"/>
                <w:lang w:val="en-US" w:eastAsia="zh-CN"/>
              </w:rPr>
              <w:t>达标</w:t>
            </w:r>
          </w:p>
        </w:tc>
      </w:tr>
    </w:tbl>
    <w:p w14:paraId="52C1700A">
      <w:pPr>
        <w:adjustRightInd w:val="0"/>
        <w:snapToGrid w:val="0"/>
        <w:spacing w:line="360" w:lineRule="auto"/>
        <w:ind w:firstLine="422" w:firstLineChars="200"/>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注：本项目漆雾收集效率为95%，处理效率为95%。</w:t>
      </w:r>
    </w:p>
    <w:p w14:paraId="69D7C4AF">
      <w:pPr>
        <w:adjustRightInd w:val="0"/>
        <w:snapToGrid w:val="0"/>
        <w:spacing w:line="360" w:lineRule="auto"/>
        <w:ind w:firstLine="420" w:firstLineChars="200"/>
        <w:rPr>
          <w:rFonts w:hint="default" w:ascii="Times New Roman" w:hAnsi="Times New Roman" w:eastAsia="宋体" w:cs="Times New Roman"/>
          <w:color w:val="auto"/>
          <w:kern w:val="2"/>
          <w:sz w:val="21"/>
          <w:szCs w:val="21"/>
          <w:highlight w:val="none"/>
          <w:lang w:val="en-US" w:eastAsia="zh-CN" w:bidi="ar-SA"/>
        </w:rPr>
        <w:sectPr>
          <w:pgSz w:w="16840" w:h="11907"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宋体" w:cs="Times New Roman"/>
          <w:color w:val="auto"/>
          <w:kern w:val="2"/>
          <w:sz w:val="21"/>
          <w:szCs w:val="21"/>
          <w:highlight w:val="none"/>
          <w:lang w:val="en-US" w:eastAsia="zh-CN" w:bidi="ar-SA"/>
        </w:rPr>
        <w:t>根据以上核算，本项目</w:t>
      </w:r>
      <w:r>
        <w:rPr>
          <w:rFonts w:hint="eastAsia" w:cs="Times New Roman"/>
          <w:color w:val="auto"/>
          <w:kern w:val="2"/>
          <w:sz w:val="21"/>
          <w:szCs w:val="21"/>
          <w:highlight w:val="none"/>
          <w:lang w:val="en-US" w:eastAsia="zh-CN" w:bidi="ar-SA"/>
        </w:rPr>
        <w:t>破碎粉尘</w:t>
      </w:r>
      <w:r>
        <w:rPr>
          <w:rFonts w:hint="eastAsia" w:ascii="Times New Roman" w:hAnsi="Times New Roman" w:eastAsia="宋体" w:cs="Times New Roman"/>
          <w:color w:val="auto"/>
          <w:kern w:val="2"/>
          <w:sz w:val="21"/>
          <w:szCs w:val="21"/>
          <w:highlight w:val="none"/>
          <w:lang w:val="en-US" w:eastAsia="zh-CN" w:bidi="ar-SA"/>
        </w:rPr>
        <w:t>排放满足《</w:t>
      </w:r>
      <w:r>
        <w:rPr>
          <w:rFonts w:hint="eastAsia" w:cs="Times New Roman"/>
          <w:sz w:val="21"/>
          <w:szCs w:val="21"/>
          <w:lang w:val="en-US" w:eastAsia="zh-CN"/>
        </w:rPr>
        <w:t>大气污染物综合排放标准》（GB16297-1996）二级排放标准，喷涂有机废气（VOCs、二甲苯、乙苯）、注塑废气（VOCs）满足</w:t>
      </w:r>
      <w:r>
        <w:t>四川省固定污染源大气挥发性有机物排放标准》（DB51/2377-2017）</w:t>
      </w:r>
      <w:r>
        <w:rPr>
          <w:rFonts w:hint="eastAsia"/>
        </w:rPr>
        <w:t>标准限值</w:t>
      </w:r>
      <w:r>
        <w:rPr>
          <w:rFonts w:hint="eastAsia"/>
          <w:lang w:eastAsia="zh-CN"/>
        </w:rPr>
        <w:t>；</w:t>
      </w:r>
      <w:r>
        <w:rPr>
          <w:rFonts w:hint="eastAsia"/>
          <w:lang w:val="en-US" w:eastAsia="zh-CN"/>
        </w:rPr>
        <w:t>注塑废气中</w:t>
      </w:r>
      <w:r>
        <w:rPr>
          <w:rFonts w:hint="eastAsia" w:ascii="宋体" w:hAnsi="宋体" w:eastAsia="宋体" w:cs="宋体"/>
          <w:color w:val="000000"/>
          <w:kern w:val="0"/>
          <w:sz w:val="21"/>
          <w:szCs w:val="21"/>
          <w:lang w:val="en-US" w:eastAsia="zh-CN" w:bidi="ar"/>
        </w:rPr>
        <w:t>丙烯腈</w:t>
      </w:r>
      <w:r>
        <w:rPr>
          <w:rFonts w:hint="eastAsia" w:ascii="宋体" w:hAnsi="宋体" w:cs="宋体"/>
          <w:color w:val="000000"/>
          <w:kern w:val="0"/>
          <w:sz w:val="21"/>
          <w:szCs w:val="21"/>
          <w:lang w:val="en-US" w:eastAsia="zh-CN" w:bidi="ar"/>
        </w:rPr>
        <w:t>满足</w:t>
      </w:r>
      <w:r>
        <w:rPr>
          <w:rFonts w:hint="eastAsia" w:cs="Times New Roman"/>
          <w:sz w:val="21"/>
          <w:szCs w:val="21"/>
          <w:lang w:val="en-US" w:eastAsia="zh-CN"/>
        </w:rPr>
        <w:t>《合成树脂工业污染物排放标准》GB31572-2015表5所列的行业特别排放限值标准</w:t>
      </w:r>
      <w:r>
        <w:rPr>
          <w:rFonts w:hint="default" w:ascii="Times New Roman" w:hAnsi="Times New Roman" w:cs="Times New Roman"/>
          <w:sz w:val="21"/>
          <w:szCs w:val="21"/>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14:paraId="6352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4CC3F44B">
            <w:pPr>
              <w:pStyle w:val="63"/>
              <w:spacing w:line="360" w:lineRule="auto"/>
              <w:ind w:firstLine="422"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②非正常情况废气排放信息</w:t>
            </w:r>
          </w:p>
          <w:p w14:paraId="17E3FA12">
            <w:pPr>
              <w:keepNext w:val="0"/>
              <w:keepLines w:val="0"/>
              <w:widowControl/>
              <w:suppressLineNumbers w:val="0"/>
              <w:spacing w:line="360" w:lineRule="auto"/>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本项目在完善的管理制度下，废气处理系统同时出现事故排放的概率极小。本项目考虑以</w:t>
            </w:r>
            <w:r>
              <w:rPr>
                <w:rFonts w:hint="default" w:ascii="Times New Roman" w:hAnsi="Times New Roman" w:cs="Times New Roman"/>
                <w:color w:val="auto"/>
                <w:sz w:val="21"/>
                <w:szCs w:val="21"/>
                <w:highlight w:val="none"/>
                <w:lang w:eastAsia="zh-CN"/>
              </w:rPr>
              <w:t>废气处理系统发生故障时，维护不到位或设备故障，导致处理效率降低或未</w:t>
            </w:r>
            <w:r>
              <w:rPr>
                <w:rFonts w:hint="default" w:ascii="Times New Roman" w:hAnsi="Times New Roman" w:eastAsia="宋体" w:cs="Times New Roman"/>
                <w:color w:val="000000"/>
                <w:kern w:val="0"/>
                <w:sz w:val="21"/>
                <w:szCs w:val="21"/>
                <w:lang w:val="en-US" w:eastAsia="zh-CN" w:bidi="ar"/>
              </w:rPr>
              <w:t>处理直接排放，非正常情况去除效果按0%计</w:t>
            </w:r>
            <w:r>
              <w:rPr>
                <w:rFonts w:hint="default" w:ascii="Times New Roman" w:hAnsi="Times New Roman" w:cs="Times New Roman"/>
                <w:color w:val="auto"/>
                <w:sz w:val="21"/>
                <w:szCs w:val="21"/>
                <w:highlight w:val="none"/>
              </w:rPr>
              <w:t>。根据计算，非正常</w:t>
            </w:r>
            <w:r>
              <w:rPr>
                <w:rFonts w:hint="default" w:ascii="Times New Roman" w:hAnsi="Times New Roman" w:cs="Times New Roman"/>
                <w:color w:val="auto"/>
                <w:sz w:val="21"/>
                <w:szCs w:val="21"/>
                <w:highlight w:val="none"/>
                <w:lang w:val="en-US" w:eastAsia="zh-CN"/>
              </w:rPr>
              <w:t>工</w:t>
            </w:r>
            <w:r>
              <w:rPr>
                <w:rFonts w:hint="default" w:ascii="Times New Roman" w:hAnsi="Times New Roman" w:cs="Times New Roman"/>
                <w:color w:val="auto"/>
                <w:sz w:val="21"/>
                <w:szCs w:val="21"/>
                <w:highlight w:val="none"/>
              </w:rPr>
              <w:t>况</w:t>
            </w:r>
            <w:r>
              <w:rPr>
                <w:rFonts w:hint="default" w:ascii="Times New Roman" w:hAnsi="Times New Roman" w:cs="Times New Roman"/>
                <w:color w:val="auto"/>
                <w:sz w:val="21"/>
                <w:szCs w:val="21"/>
                <w:highlight w:val="none"/>
                <w:lang w:val="en-US" w:eastAsia="zh-CN"/>
              </w:rPr>
              <w:t>期间</w:t>
            </w:r>
            <w:r>
              <w:rPr>
                <w:rFonts w:hint="default" w:ascii="Times New Roman" w:hAnsi="Times New Roman" w:cs="Times New Roman"/>
                <w:color w:val="auto"/>
                <w:sz w:val="21"/>
                <w:szCs w:val="21"/>
                <w:highlight w:val="none"/>
              </w:rPr>
              <w:t>排放如下：</w:t>
            </w:r>
          </w:p>
          <w:p w14:paraId="23AA0DEA">
            <w:pPr>
              <w:pStyle w:val="63"/>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表4-</w:t>
            </w: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 xml:space="preserve"> 废气污染源排放信息表（非正常</w:t>
            </w:r>
            <w:r>
              <w:rPr>
                <w:rFonts w:hint="default" w:ascii="Times New Roman" w:hAnsi="Times New Roman" w:cs="Times New Roman"/>
                <w:color w:val="auto"/>
                <w:sz w:val="21"/>
                <w:szCs w:val="21"/>
                <w:highlight w:val="none"/>
                <w:lang w:eastAsia="zh-CN"/>
              </w:rPr>
              <w:t>工</w:t>
            </w:r>
            <w:r>
              <w:rPr>
                <w:rFonts w:hint="default" w:ascii="Times New Roman" w:hAnsi="Times New Roman" w:cs="Times New Roman"/>
                <w:color w:val="auto"/>
                <w:sz w:val="21"/>
                <w:szCs w:val="21"/>
                <w:highlight w:val="none"/>
              </w:rPr>
              <w:t>况）</w:t>
            </w:r>
          </w:p>
          <w:tbl>
            <w:tblPr>
              <w:tblStyle w:val="27"/>
              <w:tblW w:w="4954"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1"/>
              <w:gridCol w:w="881"/>
              <w:gridCol w:w="643"/>
              <w:gridCol w:w="1016"/>
              <w:gridCol w:w="972"/>
              <w:gridCol w:w="671"/>
              <w:gridCol w:w="1126"/>
              <w:gridCol w:w="1056"/>
              <w:gridCol w:w="858"/>
              <w:gridCol w:w="690"/>
            </w:tblGrid>
            <w:tr w14:paraId="10C7A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80" w:type="pct"/>
                  <w:vMerge w:val="restart"/>
                  <w:vAlign w:val="center"/>
                </w:tcPr>
                <w:p w14:paraId="3EE8BEFF">
                  <w:pPr>
                    <w:jc w:val="center"/>
                    <w:rPr>
                      <w:rFonts w:hint="default" w:ascii="Times New Roman" w:hAnsi="Times New Roman" w:cs="Times New Roman"/>
                      <w:b/>
                      <w:bCs/>
                      <w:szCs w:val="21"/>
                    </w:rPr>
                  </w:pPr>
                </w:p>
                <w:p w14:paraId="0FEACC5D">
                  <w:pPr>
                    <w:jc w:val="center"/>
                    <w:rPr>
                      <w:rFonts w:hint="default" w:ascii="Times New Roman" w:hAnsi="Times New Roman" w:cs="Times New Roman"/>
                      <w:b/>
                      <w:bCs/>
                      <w:szCs w:val="21"/>
                    </w:rPr>
                  </w:pPr>
                  <w:r>
                    <w:rPr>
                      <w:rFonts w:hint="default" w:ascii="Times New Roman" w:hAnsi="Times New Roman" w:cs="Times New Roman"/>
                      <w:b/>
                      <w:bCs/>
                      <w:szCs w:val="21"/>
                    </w:rPr>
                    <w:t>污染源</w:t>
                  </w:r>
                </w:p>
              </w:tc>
              <w:tc>
                <w:tcPr>
                  <w:tcW w:w="503" w:type="pct"/>
                  <w:vMerge w:val="restart"/>
                  <w:vAlign w:val="center"/>
                </w:tcPr>
                <w:p w14:paraId="53FAA79D">
                  <w:pPr>
                    <w:jc w:val="center"/>
                    <w:rPr>
                      <w:rFonts w:hint="default" w:ascii="Times New Roman" w:hAnsi="Times New Roman" w:cs="Times New Roman"/>
                      <w:b/>
                      <w:bCs/>
                      <w:szCs w:val="21"/>
                    </w:rPr>
                  </w:pPr>
                  <w:r>
                    <w:rPr>
                      <w:rFonts w:hint="default" w:ascii="Times New Roman" w:hAnsi="Times New Roman" w:cs="Times New Roman"/>
                      <w:b/>
                      <w:bCs/>
                      <w:szCs w:val="21"/>
                    </w:rPr>
                    <w:t>污染物名称</w:t>
                  </w:r>
                </w:p>
              </w:tc>
              <w:tc>
                <w:tcPr>
                  <w:tcW w:w="367" w:type="pct"/>
                  <w:vMerge w:val="restart"/>
                  <w:vAlign w:val="center"/>
                </w:tcPr>
                <w:p w14:paraId="0CE3071A">
                  <w:pPr>
                    <w:jc w:val="center"/>
                    <w:rPr>
                      <w:rFonts w:hint="default" w:ascii="Times New Roman" w:hAnsi="Times New Roman" w:cs="Times New Roman"/>
                      <w:b/>
                      <w:bCs/>
                      <w:szCs w:val="21"/>
                    </w:rPr>
                  </w:pPr>
                  <w:r>
                    <w:rPr>
                      <w:rFonts w:hint="default" w:ascii="Times New Roman" w:hAnsi="Times New Roman" w:cs="Times New Roman"/>
                      <w:b/>
                      <w:bCs/>
                      <w:szCs w:val="21"/>
                    </w:rPr>
                    <w:t>非正常排放原因</w:t>
                  </w:r>
                </w:p>
              </w:tc>
              <w:tc>
                <w:tcPr>
                  <w:tcW w:w="2161" w:type="pct"/>
                  <w:gridSpan w:val="4"/>
                  <w:vAlign w:val="center"/>
                </w:tcPr>
                <w:p w14:paraId="5A30E277">
                  <w:pPr>
                    <w:jc w:val="center"/>
                    <w:rPr>
                      <w:rFonts w:hint="default" w:ascii="Times New Roman" w:hAnsi="Times New Roman" w:cs="Times New Roman"/>
                      <w:b/>
                      <w:bCs/>
                      <w:szCs w:val="21"/>
                    </w:rPr>
                  </w:pPr>
                  <w:r>
                    <w:rPr>
                      <w:rFonts w:hint="default" w:ascii="Times New Roman" w:hAnsi="Times New Roman" w:cs="Times New Roman"/>
                      <w:b/>
                      <w:bCs/>
                      <w:szCs w:val="21"/>
                    </w:rPr>
                    <w:t>非正常排放状况</w:t>
                  </w:r>
                </w:p>
              </w:tc>
              <w:tc>
                <w:tcPr>
                  <w:tcW w:w="1093" w:type="pct"/>
                  <w:gridSpan w:val="2"/>
                  <w:vAlign w:val="center"/>
                </w:tcPr>
                <w:p w14:paraId="63505ED5">
                  <w:pPr>
                    <w:jc w:val="center"/>
                    <w:rPr>
                      <w:rFonts w:hint="default" w:ascii="Times New Roman" w:hAnsi="Times New Roman" w:cs="Times New Roman"/>
                      <w:b/>
                      <w:bCs/>
                      <w:szCs w:val="21"/>
                    </w:rPr>
                  </w:pPr>
                  <w:r>
                    <w:rPr>
                      <w:rFonts w:hint="default" w:ascii="Times New Roman" w:hAnsi="Times New Roman" w:cs="Times New Roman"/>
                      <w:b/>
                      <w:bCs/>
                      <w:szCs w:val="21"/>
                    </w:rPr>
                    <w:t>执行标准</w:t>
                  </w:r>
                </w:p>
              </w:tc>
              <w:tc>
                <w:tcPr>
                  <w:tcW w:w="394" w:type="pct"/>
                  <w:vMerge w:val="restart"/>
                  <w:vAlign w:val="center"/>
                </w:tcPr>
                <w:p w14:paraId="5EF9A8A2">
                  <w:pPr>
                    <w:jc w:val="center"/>
                    <w:rPr>
                      <w:rFonts w:hint="default" w:ascii="Times New Roman" w:hAnsi="Times New Roman" w:cs="Times New Roman"/>
                      <w:b/>
                      <w:bCs/>
                      <w:szCs w:val="21"/>
                    </w:rPr>
                  </w:pPr>
                  <w:r>
                    <w:rPr>
                      <w:rFonts w:hint="default" w:ascii="Times New Roman" w:hAnsi="Times New Roman" w:cs="Times New Roman"/>
                      <w:b/>
                      <w:bCs/>
                      <w:szCs w:val="21"/>
                    </w:rPr>
                    <w:t>达标分析</w:t>
                  </w:r>
                </w:p>
              </w:tc>
            </w:tr>
            <w:tr w14:paraId="5D8F1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480" w:type="pct"/>
                  <w:vMerge w:val="continue"/>
                  <w:vAlign w:val="center"/>
                </w:tcPr>
                <w:p w14:paraId="4EA14A0C">
                  <w:pPr>
                    <w:jc w:val="center"/>
                    <w:rPr>
                      <w:rFonts w:hint="default" w:ascii="Times New Roman" w:hAnsi="Times New Roman" w:cs="Times New Roman"/>
                      <w:szCs w:val="21"/>
                    </w:rPr>
                  </w:pPr>
                </w:p>
              </w:tc>
              <w:tc>
                <w:tcPr>
                  <w:tcW w:w="503" w:type="pct"/>
                  <w:vMerge w:val="continue"/>
                  <w:vAlign w:val="center"/>
                </w:tcPr>
                <w:p w14:paraId="6CB2DBEE">
                  <w:pPr>
                    <w:jc w:val="center"/>
                    <w:rPr>
                      <w:rFonts w:hint="default" w:ascii="Times New Roman" w:hAnsi="Times New Roman" w:cs="Times New Roman"/>
                      <w:szCs w:val="21"/>
                    </w:rPr>
                  </w:pPr>
                </w:p>
              </w:tc>
              <w:tc>
                <w:tcPr>
                  <w:tcW w:w="367" w:type="pct"/>
                  <w:vMerge w:val="continue"/>
                  <w:vAlign w:val="center"/>
                </w:tcPr>
                <w:p w14:paraId="3377564C">
                  <w:pPr>
                    <w:jc w:val="center"/>
                    <w:rPr>
                      <w:rFonts w:hint="default" w:ascii="Times New Roman" w:hAnsi="Times New Roman" w:cs="Times New Roman"/>
                      <w:szCs w:val="21"/>
                    </w:rPr>
                  </w:pPr>
                </w:p>
              </w:tc>
              <w:tc>
                <w:tcPr>
                  <w:tcW w:w="580" w:type="pct"/>
                  <w:vAlign w:val="center"/>
                </w:tcPr>
                <w:p w14:paraId="3C7A351C">
                  <w:pPr>
                    <w:jc w:val="center"/>
                    <w:rPr>
                      <w:rFonts w:hint="default" w:ascii="Times New Roman" w:hAnsi="Times New Roman" w:cs="Times New Roman"/>
                      <w:b/>
                      <w:bCs/>
                      <w:szCs w:val="21"/>
                    </w:rPr>
                  </w:pPr>
                  <w:r>
                    <w:rPr>
                      <w:rFonts w:hint="default" w:ascii="Times New Roman" w:hAnsi="Times New Roman" w:cs="Times New Roman"/>
                      <w:b/>
                      <w:bCs/>
                      <w:szCs w:val="21"/>
                    </w:rPr>
                    <w:t>浓度</w:t>
                  </w:r>
                </w:p>
                <w:p w14:paraId="33FE1C46">
                  <w:pPr>
                    <w:jc w:val="center"/>
                    <w:rPr>
                      <w:rFonts w:hint="default" w:ascii="Times New Roman" w:hAnsi="Times New Roman" w:cs="Times New Roman"/>
                      <w:b/>
                      <w:bCs/>
                      <w:szCs w:val="21"/>
                    </w:rPr>
                  </w:pPr>
                  <w:r>
                    <w:rPr>
                      <w:rFonts w:hint="default" w:ascii="Times New Roman" w:hAnsi="Times New Roman" w:cs="Times New Roman"/>
                      <w:b/>
                      <w:bCs/>
                      <w:szCs w:val="21"/>
                    </w:rPr>
                    <w:t>（mg/m</w:t>
                  </w:r>
                  <w:r>
                    <w:rPr>
                      <w:rFonts w:hint="default" w:ascii="Times New Roman" w:hAnsi="Times New Roman" w:cs="Times New Roman"/>
                      <w:b/>
                      <w:bCs/>
                      <w:szCs w:val="21"/>
                      <w:vertAlign w:val="superscript"/>
                    </w:rPr>
                    <w:t>3</w:t>
                  </w:r>
                  <w:r>
                    <w:rPr>
                      <w:rFonts w:hint="default" w:ascii="Times New Roman" w:hAnsi="Times New Roman" w:cs="Times New Roman"/>
                      <w:b/>
                      <w:bCs/>
                      <w:szCs w:val="21"/>
                    </w:rPr>
                    <w:t>）</w:t>
                  </w:r>
                </w:p>
              </w:tc>
              <w:tc>
                <w:tcPr>
                  <w:tcW w:w="555" w:type="pct"/>
                  <w:vAlign w:val="center"/>
                </w:tcPr>
                <w:p w14:paraId="080DAD24">
                  <w:pPr>
                    <w:jc w:val="center"/>
                    <w:rPr>
                      <w:rFonts w:hint="default" w:ascii="Times New Roman" w:hAnsi="Times New Roman" w:cs="Times New Roman"/>
                      <w:b/>
                      <w:bCs/>
                      <w:szCs w:val="21"/>
                    </w:rPr>
                  </w:pPr>
                  <w:r>
                    <w:rPr>
                      <w:rFonts w:hint="default" w:ascii="Times New Roman" w:hAnsi="Times New Roman" w:cs="Times New Roman"/>
                      <w:b/>
                      <w:bCs/>
                      <w:szCs w:val="21"/>
                    </w:rPr>
                    <w:t>速率</w:t>
                  </w:r>
                </w:p>
                <w:p w14:paraId="4DB48274">
                  <w:pPr>
                    <w:jc w:val="center"/>
                    <w:rPr>
                      <w:rFonts w:hint="default" w:ascii="Times New Roman" w:hAnsi="Times New Roman" w:cs="Times New Roman"/>
                      <w:b/>
                      <w:bCs/>
                      <w:szCs w:val="21"/>
                    </w:rPr>
                  </w:pPr>
                  <w:r>
                    <w:rPr>
                      <w:rFonts w:hint="default" w:ascii="Times New Roman" w:hAnsi="Times New Roman" w:cs="Times New Roman"/>
                      <w:b/>
                      <w:bCs/>
                      <w:szCs w:val="21"/>
                    </w:rPr>
                    <w:t>（kg/h）</w:t>
                  </w:r>
                </w:p>
              </w:tc>
              <w:tc>
                <w:tcPr>
                  <w:tcW w:w="383" w:type="pct"/>
                  <w:vAlign w:val="center"/>
                </w:tcPr>
                <w:p w14:paraId="75FC5AE5">
                  <w:pPr>
                    <w:jc w:val="center"/>
                    <w:rPr>
                      <w:rFonts w:hint="default" w:ascii="Times New Roman" w:hAnsi="Times New Roman" w:cs="Times New Roman"/>
                      <w:b/>
                      <w:bCs/>
                      <w:szCs w:val="21"/>
                    </w:rPr>
                  </w:pPr>
                  <w:r>
                    <w:rPr>
                      <w:rFonts w:hint="default" w:ascii="Times New Roman" w:hAnsi="Times New Roman" w:cs="Times New Roman"/>
                      <w:b/>
                      <w:bCs/>
                      <w:szCs w:val="21"/>
                    </w:rPr>
                    <w:t>频次及持续时</w:t>
                  </w:r>
                </w:p>
                <w:p w14:paraId="0811F748">
                  <w:pPr>
                    <w:jc w:val="center"/>
                    <w:rPr>
                      <w:rFonts w:hint="default" w:ascii="Times New Roman" w:hAnsi="Times New Roman" w:cs="Times New Roman"/>
                      <w:b/>
                      <w:bCs/>
                      <w:szCs w:val="21"/>
                    </w:rPr>
                  </w:pPr>
                  <w:r>
                    <w:rPr>
                      <w:rFonts w:hint="default" w:ascii="Times New Roman" w:hAnsi="Times New Roman" w:cs="Times New Roman"/>
                      <w:b/>
                      <w:bCs/>
                      <w:szCs w:val="21"/>
                    </w:rPr>
                    <w:t>间</w:t>
                  </w:r>
                </w:p>
              </w:tc>
              <w:tc>
                <w:tcPr>
                  <w:tcW w:w="643" w:type="pct"/>
                  <w:vAlign w:val="center"/>
                </w:tcPr>
                <w:p w14:paraId="4A482A63">
                  <w:pPr>
                    <w:jc w:val="center"/>
                    <w:rPr>
                      <w:rFonts w:hint="default" w:ascii="Times New Roman" w:hAnsi="Times New Roman" w:cs="Times New Roman"/>
                      <w:b/>
                      <w:bCs/>
                      <w:szCs w:val="21"/>
                    </w:rPr>
                  </w:pPr>
                  <w:r>
                    <w:rPr>
                      <w:rFonts w:hint="default" w:ascii="Times New Roman" w:hAnsi="Times New Roman" w:cs="Times New Roman"/>
                      <w:b/>
                      <w:bCs/>
                      <w:szCs w:val="21"/>
                    </w:rPr>
                    <w:t>排放量</w:t>
                  </w:r>
                </w:p>
                <w:p w14:paraId="4E7F80A9">
                  <w:pPr>
                    <w:jc w:val="center"/>
                    <w:rPr>
                      <w:rFonts w:hint="default" w:ascii="Times New Roman" w:hAnsi="Times New Roman" w:cs="Times New Roman"/>
                      <w:b/>
                      <w:bCs/>
                      <w:szCs w:val="21"/>
                    </w:rPr>
                  </w:pPr>
                  <w:r>
                    <w:rPr>
                      <w:rFonts w:hint="default" w:ascii="Times New Roman" w:hAnsi="Times New Roman" w:cs="Times New Roman"/>
                      <w:b/>
                      <w:bCs/>
                      <w:szCs w:val="21"/>
                    </w:rPr>
                    <w:t>（kg）</w:t>
                  </w:r>
                </w:p>
              </w:tc>
              <w:tc>
                <w:tcPr>
                  <w:tcW w:w="603" w:type="pct"/>
                  <w:vAlign w:val="center"/>
                </w:tcPr>
                <w:p w14:paraId="79D0604D">
                  <w:pPr>
                    <w:jc w:val="center"/>
                    <w:rPr>
                      <w:rFonts w:hint="default" w:ascii="Times New Roman" w:hAnsi="Times New Roman" w:cs="Times New Roman"/>
                      <w:b/>
                      <w:bCs/>
                      <w:szCs w:val="21"/>
                    </w:rPr>
                  </w:pPr>
                  <w:r>
                    <w:rPr>
                      <w:rFonts w:hint="default" w:ascii="Times New Roman" w:hAnsi="Times New Roman" w:cs="Times New Roman"/>
                      <w:b/>
                      <w:bCs/>
                      <w:szCs w:val="21"/>
                    </w:rPr>
                    <w:t>浓度</w:t>
                  </w:r>
                </w:p>
                <w:p w14:paraId="4A4766EE">
                  <w:pPr>
                    <w:jc w:val="center"/>
                    <w:rPr>
                      <w:rFonts w:hint="default" w:ascii="Times New Roman" w:hAnsi="Times New Roman" w:cs="Times New Roman"/>
                      <w:b/>
                      <w:bCs/>
                      <w:szCs w:val="21"/>
                    </w:rPr>
                  </w:pPr>
                  <w:r>
                    <w:rPr>
                      <w:rFonts w:hint="default" w:ascii="Times New Roman" w:hAnsi="Times New Roman" w:cs="Times New Roman"/>
                      <w:b/>
                      <w:bCs/>
                      <w:szCs w:val="21"/>
                    </w:rPr>
                    <w:t>（mg/m</w:t>
                  </w:r>
                  <w:r>
                    <w:rPr>
                      <w:rFonts w:hint="default" w:ascii="Times New Roman" w:hAnsi="Times New Roman" w:cs="Times New Roman"/>
                      <w:b/>
                      <w:bCs/>
                      <w:szCs w:val="21"/>
                      <w:vertAlign w:val="superscript"/>
                    </w:rPr>
                    <w:t>3</w:t>
                  </w:r>
                  <w:r>
                    <w:rPr>
                      <w:rFonts w:hint="default" w:ascii="Times New Roman" w:hAnsi="Times New Roman" w:cs="Times New Roman"/>
                      <w:b/>
                      <w:bCs/>
                      <w:szCs w:val="21"/>
                    </w:rPr>
                    <w:t>）</w:t>
                  </w:r>
                </w:p>
              </w:tc>
              <w:tc>
                <w:tcPr>
                  <w:tcW w:w="490" w:type="pct"/>
                  <w:vAlign w:val="center"/>
                </w:tcPr>
                <w:p w14:paraId="6A379912">
                  <w:pPr>
                    <w:jc w:val="center"/>
                    <w:rPr>
                      <w:rFonts w:hint="default" w:ascii="Times New Roman" w:hAnsi="Times New Roman" w:cs="Times New Roman"/>
                      <w:b/>
                      <w:bCs/>
                      <w:szCs w:val="21"/>
                    </w:rPr>
                  </w:pPr>
                  <w:r>
                    <w:rPr>
                      <w:rFonts w:hint="default" w:ascii="Times New Roman" w:hAnsi="Times New Roman" w:cs="Times New Roman"/>
                      <w:b/>
                      <w:bCs/>
                      <w:szCs w:val="21"/>
                    </w:rPr>
                    <w:t>速率</w:t>
                  </w:r>
                </w:p>
                <w:p w14:paraId="1B348ED7">
                  <w:pPr>
                    <w:jc w:val="center"/>
                    <w:rPr>
                      <w:rFonts w:hint="default" w:ascii="Times New Roman" w:hAnsi="Times New Roman" w:cs="Times New Roman"/>
                      <w:b/>
                      <w:bCs/>
                      <w:szCs w:val="21"/>
                    </w:rPr>
                  </w:pPr>
                  <w:r>
                    <w:rPr>
                      <w:rFonts w:hint="default" w:ascii="Times New Roman" w:hAnsi="Times New Roman" w:cs="Times New Roman"/>
                      <w:b/>
                      <w:bCs/>
                      <w:szCs w:val="21"/>
                    </w:rPr>
                    <w:t>（kg/h）</w:t>
                  </w:r>
                </w:p>
              </w:tc>
              <w:tc>
                <w:tcPr>
                  <w:tcW w:w="394" w:type="pct"/>
                  <w:vMerge w:val="continue"/>
                  <w:vAlign w:val="center"/>
                </w:tcPr>
                <w:p w14:paraId="62A9B961">
                  <w:pPr>
                    <w:jc w:val="center"/>
                    <w:rPr>
                      <w:rFonts w:hint="default" w:ascii="Times New Roman" w:hAnsi="Times New Roman" w:cs="Times New Roman"/>
                      <w:szCs w:val="21"/>
                    </w:rPr>
                  </w:pPr>
                </w:p>
              </w:tc>
            </w:tr>
            <w:tr w14:paraId="3DCE4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restart"/>
                  <w:vAlign w:val="center"/>
                </w:tcPr>
                <w:p w14:paraId="7505DA91">
                  <w:pPr>
                    <w:jc w:val="center"/>
                    <w:rPr>
                      <w:rFonts w:hint="default" w:ascii="Times New Roman" w:hAnsi="Times New Roman" w:cs="Times New Roman"/>
                    </w:rPr>
                  </w:pPr>
                  <w:r>
                    <w:rPr>
                      <w:rFonts w:hint="default" w:ascii="Times New Roman" w:hAnsi="Times New Roman" w:cs="Times New Roman"/>
                      <w:szCs w:val="21"/>
                    </w:rPr>
                    <w:t>DA001</w:t>
                  </w:r>
                </w:p>
              </w:tc>
              <w:tc>
                <w:tcPr>
                  <w:tcW w:w="503" w:type="pct"/>
                  <w:vAlign w:val="center"/>
                </w:tcPr>
                <w:p w14:paraId="5ACAC78A">
                  <w:pPr>
                    <w:widowControl/>
                    <w:jc w:val="center"/>
                    <w:textAlignment w:val="center"/>
                    <w:rPr>
                      <w:rFonts w:hint="default" w:ascii="Times New Roman" w:hAnsi="Times New Roman" w:cs="Times New Roman"/>
                      <w:szCs w:val="21"/>
                    </w:rPr>
                  </w:pPr>
                  <w:r>
                    <w:rPr>
                      <w:rFonts w:hint="default" w:ascii="Times New Roman" w:hAnsi="Times New Roman" w:cs="Times New Roman"/>
                      <w:szCs w:val="21"/>
                    </w:rPr>
                    <w:t>VOCs</w:t>
                  </w:r>
                </w:p>
              </w:tc>
              <w:tc>
                <w:tcPr>
                  <w:tcW w:w="367" w:type="pct"/>
                  <w:vMerge w:val="restart"/>
                  <w:vAlign w:val="center"/>
                </w:tcPr>
                <w:p w14:paraId="3E3B9B0D">
                  <w:pPr>
                    <w:jc w:val="center"/>
                    <w:rPr>
                      <w:rFonts w:hint="default" w:ascii="Times New Roman" w:hAnsi="Times New Roman" w:cs="Times New Roman"/>
                      <w:szCs w:val="21"/>
                    </w:rPr>
                  </w:pPr>
                  <w:r>
                    <w:rPr>
                      <w:rFonts w:hint="default" w:ascii="Times New Roman" w:hAnsi="Times New Roman" w:cs="Times New Roman"/>
                      <w:szCs w:val="21"/>
                    </w:rPr>
                    <w:t>装置故障，处理效率为0</w:t>
                  </w:r>
                </w:p>
              </w:tc>
              <w:tc>
                <w:tcPr>
                  <w:tcW w:w="580" w:type="pct"/>
                  <w:vAlign w:val="center"/>
                </w:tcPr>
                <w:p w14:paraId="4649ACF7">
                  <w:pPr>
                    <w:jc w:val="center"/>
                    <w:rPr>
                      <w:rFonts w:hint="default" w:ascii="Times New Roman" w:hAnsi="Times New Roman" w:eastAsia="等线" w:cs="Times New Roman"/>
                      <w:kern w:val="0"/>
                      <w:szCs w:val="21"/>
                      <w:vertAlign w:val="superscript"/>
                      <w:lang w:val="en-US" w:eastAsia="zh-CN"/>
                    </w:rPr>
                  </w:pPr>
                  <w:r>
                    <w:rPr>
                      <w:rFonts w:hint="eastAsia" w:eastAsia="等线" w:cs="Times New Roman"/>
                      <w:kern w:val="0"/>
                      <w:szCs w:val="21"/>
                      <w:vertAlign w:val="baseline"/>
                      <w:lang w:val="en-US" w:eastAsia="zh-CN"/>
                    </w:rPr>
                    <w:t>2.26</w:t>
                  </w:r>
                </w:p>
              </w:tc>
              <w:tc>
                <w:tcPr>
                  <w:tcW w:w="555" w:type="pct"/>
                  <w:vAlign w:val="bottom"/>
                </w:tcPr>
                <w:p w14:paraId="57136783">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0.0127</w:t>
                  </w:r>
                </w:p>
              </w:tc>
              <w:tc>
                <w:tcPr>
                  <w:tcW w:w="383" w:type="pct"/>
                  <w:vMerge w:val="restart"/>
                  <w:vAlign w:val="center"/>
                </w:tcPr>
                <w:p w14:paraId="110E5FC3">
                  <w:pPr>
                    <w:jc w:val="center"/>
                    <w:rPr>
                      <w:rFonts w:hint="default" w:ascii="Times New Roman" w:hAnsi="Times New Roman" w:cs="Times New Roman"/>
                      <w:szCs w:val="21"/>
                    </w:rPr>
                  </w:pPr>
                  <w:r>
                    <w:rPr>
                      <w:rFonts w:hint="default" w:ascii="Times New Roman" w:hAnsi="Times New Roman" w:cs="Times New Roman"/>
                      <w:szCs w:val="21"/>
                    </w:rPr>
                    <w:t>5a一次，</w:t>
                  </w:r>
                </w:p>
                <w:p w14:paraId="693BD41E">
                  <w:pPr>
                    <w:jc w:val="center"/>
                    <w:rPr>
                      <w:rFonts w:hint="default" w:ascii="Times New Roman" w:hAnsi="Times New Roman" w:cs="Times New Roman"/>
                      <w:szCs w:val="21"/>
                    </w:rPr>
                  </w:pPr>
                  <w:r>
                    <w:rPr>
                      <w:rFonts w:hint="default" w:ascii="Times New Roman" w:hAnsi="Times New Roman" w:cs="Times New Roman"/>
                      <w:szCs w:val="21"/>
                    </w:rPr>
                    <w:t>1h/次</w:t>
                  </w:r>
                </w:p>
              </w:tc>
              <w:tc>
                <w:tcPr>
                  <w:tcW w:w="643" w:type="pct"/>
                  <w:vAlign w:val="bottom"/>
                </w:tcPr>
                <w:p w14:paraId="5BA95A5D">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60.75</w:t>
                  </w:r>
                </w:p>
              </w:tc>
              <w:tc>
                <w:tcPr>
                  <w:tcW w:w="603" w:type="pct"/>
                  <w:vAlign w:val="center"/>
                </w:tcPr>
                <w:p w14:paraId="7E72FE9C">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60</w:t>
                  </w:r>
                </w:p>
              </w:tc>
              <w:tc>
                <w:tcPr>
                  <w:tcW w:w="490" w:type="pct"/>
                  <w:vAlign w:val="center"/>
                </w:tcPr>
                <w:p w14:paraId="44C8FD15">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3.4</w:t>
                  </w:r>
                </w:p>
              </w:tc>
              <w:tc>
                <w:tcPr>
                  <w:tcW w:w="394" w:type="pct"/>
                  <w:vAlign w:val="center"/>
                </w:tcPr>
                <w:p w14:paraId="1C53DD9B">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2D342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tcPr>
                <w:p w14:paraId="6803EBB6">
                  <w:pPr>
                    <w:jc w:val="center"/>
                    <w:rPr>
                      <w:rFonts w:hint="default" w:ascii="Times New Roman" w:hAnsi="Times New Roman" w:cs="Times New Roman"/>
                    </w:rPr>
                  </w:pPr>
                </w:p>
              </w:tc>
              <w:tc>
                <w:tcPr>
                  <w:tcW w:w="503" w:type="pct"/>
                  <w:vAlign w:val="center"/>
                </w:tcPr>
                <w:p w14:paraId="21E849DF">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eastAsia="宋体" w:cs="Times New Roman"/>
                      <w:color w:val="000000"/>
                      <w:kern w:val="0"/>
                      <w:sz w:val="21"/>
                      <w:szCs w:val="21"/>
                      <w:lang w:val="en-US" w:eastAsia="zh-CN" w:bidi="ar"/>
                    </w:rPr>
                    <w:t>丙烯腈</w:t>
                  </w:r>
                </w:p>
              </w:tc>
              <w:tc>
                <w:tcPr>
                  <w:tcW w:w="367" w:type="pct"/>
                  <w:vMerge w:val="continue"/>
                  <w:vAlign w:val="center"/>
                </w:tcPr>
                <w:p w14:paraId="427EA20F">
                  <w:pPr>
                    <w:jc w:val="center"/>
                    <w:rPr>
                      <w:rFonts w:hint="default" w:ascii="Times New Roman" w:hAnsi="Times New Roman" w:cs="Times New Roman"/>
                      <w:szCs w:val="21"/>
                    </w:rPr>
                  </w:pPr>
                </w:p>
              </w:tc>
              <w:tc>
                <w:tcPr>
                  <w:tcW w:w="580" w:type="pct"/>
                  <w:vAlign w:val="center"/>
                </w:tcPr>
                <w:p w14:paraId="2A1F9B71">
                  <w:pPr>
                    <w:jc w:val="center"/>
                    <w:rPr>
                      <w:rFonts w:hint="default" w:ascii="Times New Roman" w:hAnsi="Times New Roman" w:eastAsia="宋体" w:cs="Times New Roman"/>
                      <w:szCs w:val="21"/>
                      <w:lang w:val="en-US" w:eastAsia="zh-CN"/>
                    </w:rPr>
                  </w:pPr>
                  <w:r>
                    <w:rPr>
                      <w:rFonts w:hint="eastAsia" w:cs="Times New Roman"/>
                      <w:szCs w:val="21"/>
                      <w:lang w:val="en-US" w:eastAsia="zh-CN"/>
                    </w:rPr>
                    <w:t>0.0172</w:t>
                  </w:r>
                </w:p>
              </w:tc>
              <w:tc>
                <w:tcPr>
                  <w:tcW w:w="555" w:type="pct"/>
                  <w:vAlign w:val="bottom"/>
                </w:tcPr>
                <w:p w14:paraId="66EB94CA">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9.6</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5</w:t>
                  </w:r>
                </w:p>
              </w:tc>
              <w:tc>
                <w:tcPr>
                  <w:tcW w:w="383" w:type="pct"/>
                  <w:vMerge w:val="continue"/>
                  <w:vAlign w:val="center"/>
                </w:tcPr>
                <w:p w14:paraId="2C63175D">
                  <w:pPr>
                    <w:jc w:val="center"/>
                    <w:rPr>
                      <w:rFonts w:hint="default" w:ascii="Times New Roman" w:hAnsi="Times New Roman" w:cs="Times New Roman"/>
                      <w:szCs w:val="21"/>
                    </w:rPr>
                  </w:pPr>
                </w:p>
              </w:tc>
              <w:tc>
                <w:tcPr>
                  <w:tcW w:w="643" w:type="pct"/>
                  <w:vAlign w:val="bottom"/>
                </w:tcPr>
                <w:p w14:paraId="4C2D15AA">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0.46</w:t>
                  </w:r>
                </w:p>
              </w:tc>
              <w:tc>
                <w:tcPr>
                  <w:tcW w:w="603" w:type="pct"/>
                  <w:vAlign w:val="center"/>
                </w:tcPr>
                <w:p w14:paraId="19AA97F0">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0.5</w:t>
                  </w:r>
                </w:p>
              </w:tc>
              <w:tc>
                <w:tcPr>
                  <w:tcW w:w="490" w:type="pct"/>
                  <w:vAlign w:val="center"/>
                </w:tcPr>
                <w:p w14:paraId="2F055484">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w:t>
                  </w:r>
                </w:p>
              </w:tc>
              <w:tc>
                <w:tcPr>
                  <w:tcW w:w="394" w:type="pct"/>
                  <w:vAlign w:val="center"/>
                </w:tcPr>
                <w:p w14:paraId="67C4A6FE">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147F5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tcPr>
                <w:p w14:paraId="1386603C">
                  <w:pPr>
                    <w:jc w:val="center"/>
                    <w:rPr>
                      <w:rFonts w:hint="default" w:ascii="Times New Roman" w:hAnsi="Times New Roman" w:cs="Times New Roman"/>
                    </w:rPr>
                  </w:pPr>
                </w:p>
              </w:tc>
              <w:tc>
                <w:tcPr>
                  <w:tcW w:w="503" w:type="pct"/>
                  <w:vAlign w:val="center"/>
                </w:tcPr>
                <w:p w14:paraId="4B4CED58">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苯乙烯</w:t>
                  </w:r>
                </w:p>
              </w:tc>
              <w:tc>
                <w:tcPr>
                  <w:tcW w:w="367" w:type="pct"/>
                  <w:vMerge w:val="continue"/>
                  <w:vAlign w:val="center"/>
                </w:tcPr>
                <w:p w14:paraId="46201822">
                  <w:pPr>
                    <w:jc w:val="center"/>
                    <w:rPr>
                      <w:rFonts w:hint="default" w:ascii="Times New Roman" w:hAnsi="Times New Roman" w:cs="Times New Roman"/>
                      <w:szCs w:val="21"/>
                    </w:rPr>
                  </w:pPr>
                </w:p>
              </w:tc>
              <w:tc>
                <w:tcPr>
                  <w:tcW w:w="580" w:type="pct"/>
                  <w:vAlign w:val="center"/>
                </w:tcPr>
                <w:p w14:paraId="53DDF201">
                  <w:pPr>
                    <w:jc w:val="center"/>
                    <w:rPr>
                      <w:rFonts w:hint="default" w:ascii="Times New Roman" w:hAnsi="Times New Roman" w:eastAsia="宋体" w:cs="Times New Roman"/>
                      <w:szCs w:val="21"/>
                      <w:lang w:val="en-US" w:eastAsia="zh-CN"/>
                    </w:rPr>
                  </w:pPr>
                  <w:r>
                    <w:rPr>
                      <w:rFonts w:hint="eastAsia" w:cs="Times New Roman"/>
                      <w:szCs w:val="21"/>
                      <w:lang w:val="en-US" w:eastAsia="zh-CN"/>
                    </w:rPr>
                    <w:t>0.3817</w:t>
                  </w:r>
                </w:p>
              </w:tc>
              <w:tc>
                <w:tcPr>
                  <w:tcW w:w="555" w:type="pct"/>
                  <w:vAlign w:val="bottom"/>
                </w:tcPr>
                <w:p w14:paraId="3EA7D9AB">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0.0021</w:t>
                  </w:r>
                </w:p>
              </w:tc>
              <w:tc>
                <w:tcPr>
                  <w:tcW w:w="383" w:type="pct"/>
                  <w:vMerge w:val="continue"/>
                  <w:vAlign w:val="center"/>
                </w:tcPr>
                <w:p w14:paraId="75633972">
                  <w:pPr>
                    <w:jc w:val="center"/>
                    <w:rPr>
                      <w:rFonts w:hint="default" w:ascii="Times New Roman" w:hAnsi="Times New Roman" w:cs="Times New Roman"/>
                      <w:szCs w:val="21"/>
                    </w:rPr>
                  </w:pPr>
                </w:p>
              </w:tc>
              <w:tc>
                <w:tcPr>
                  <w:tcW w:w="643" w:type="pct"/>
                  <w:vAlign w:val="bottom"/>
                </w:tcPr>
                <w:p w14:paraId="2B5693D0">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10.26</w:t>
                  </w:r>
                </w:p>
              </w:tc>
              <w:tc>
                <w:tcPr>
                  <w:tcW w:w="603" w:type="pct"/>
                  <w:vAlign w:val="center"/>
                </w:tcPr>
                <w:p w14:paraId="6D2BECA3">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20</w:t>
                  </w:r>
                </w:p>
              </w:tc>
              <w:tc>
                <w:tcPr>
                  <w:tcW w:w="490" w:type="pct"/>
                  <w:vAlign w:val="center"/>
                </w:tcPr>
                <w:p w14:paraId="7A2AB779">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0.7</w:t>
                  </w:r>
                </w:p>
              </w:tc>
              <w:tc>
                <w:tcPr>
                  <w:tcW w:w="394" w:type="pct"/>
                  <w:vAlign w:val="center"/>
                </w:tcPr>
                <w:p w14:paraId="76EADA63">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5D654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tcPr>
                <w:p w14:paraId="2BE7659B">
                  <w:pPr>
                    <w:jc w:val="center"/>
                    <w:rPr>
                      <w:rFonts w:hint="default" w:ascii="Times New Roman" w:hAnsi="Times New Roman" w:cs="Times New Roman"/>
                    </w:rPr>
                  </w:pPr>
                </w:p>
              </w:tc>
              <w:tc>
                <w:tcPr>
                  <w:tcW w:w="503" w:type="pct"/>
                  <w:vAlign w:val="center"/>
                </w:tcPr>
                <w:p w14:paraId="4A8512FC">
                  <w:pPr>
                    <w:autoSpaceDE w:val="0"/>
                    <w:autoSpaceDN w:val="0"/>
                    <w:adjustRightInd w:val="0"/>
                    <w:snapToGrid w:val="0"/>
                    <w:jc w:val="center"/>
                    <w:rPr>
                      <w:rFonts w:hint="eastAsia" w:ascii="Times New Roman" w:hAnsi="Times New Roman" w:eastAsia="宋体" w:cs="Times New Roman"/>
                      <w:szCs w:val="21"/>
                      <w:lang w:val="en-US" w:eastAsia="zh-CN"/>
                    </w:rPr>
                  </w:pPr>
                  <w:r>
                    <w:rPr>
                      <w:rFonts w:hint="eastAsia" w:cs="Times New Roman"/>
                      <w:szCs w:val="21"/>
                      <w:lang w:val="en-US" w:eastAsia="zh-CN"/>
                    </w:rPr>
                    <w:t>颗粒物</w:t>
                  </w:r>
                </w:p>
              </w:tc>
              <w:tc>
                <w:tcPr>
                  <w:tcW w:w="367" w:type="pct"/>
                  <w:vMerge w:val="continue"/>
                  <w:vAlign w:val="center"/>
                </w:tcPr>
                <w:p w14:paraId="5DBE3DA6">
                  <w:pPr>
                    <w:jc w:val="center"/>
                    <w:rPr>
                      <w:rFonts w:hint="default" w:ascii="Times New Roman" w:hAnsi="Times New Roman" w:cs="Times New Roman"/>
                      <w:szCs w:val="21"/>
                    </w:rPr>
                  </w:pPr>
                </w:p>
              </w:tc>
              <w:tc>
                <w:tcPr>
                  <w:tcW w:w="580" w:type="pct"/>
                  <w:vAlign w:val="center"/>
                </w:tcPr>
                <w:p w14:paraId="32BB2F43">
                  <w:pPr>
                    <w:jc w:val="center"/>
                    <w:rPr>
                      <w:rFonts w:hint="default" w:cs="Times New Roman"/>
                      <w:szCs w:val="21"/>
                      <w:lang w:val="en-US" w:eastAsia="zh-CN"/>
                    </w:rPr>
                  </w:pPr>
                  <w:r>
                    <w:rPr>
                      <w:rFonts w:hint="eastAsia" w:cs="Times New Roman"/>
                      <w:szCs w:val="21"/>
                      <w:lang w:val="en-US" w:eastAsia="zh-CN"/>
                    </w:rPr>
                    <w:t>6.13</w:t>
                  </w:r>
                </w:p>
              </w:tc>
              <w:tc>
                <w:tcPr>
                  <w:tcW w:w="555" w:type="pct"/>
                  <w:vAlign w:val="bottom"/>
                </w:tcPr>
                <w:p w14:paraId="68B3B23E">
                  <w:pPr>
                    <w:widowControl/>
                    <w:jc w:val="center"/>
                    <w:rPr>
                      <w:rFonts w:hint="default" w:eastAsia="等线" w:cs="Times New Roman"/>
                      <w:kern w:val="0"/>
                      <w:szCs w:val="21"/>
                      <w:lang w:val="en-US" w:eastAsia="zh-CN"/>
                    </w:rPr>
                  </w:pPr>
                  <w:r>
                    <w:rPr>
                      <w:rFonts w:hint="eastAsia" w:eastAsia="等线" w:cs="Times New Roman"/>
                      <w:kern w:val="0"/>
                      <w:szCs w:val="21"/>
                      <w:lang w:val="en-US" w:eastAsia="zh-CN"/>
                    </w:rPr>
                    <w:t>0.0080</w:t>
                  </w:r>
                </w:p>
              </w:tc>
              <w:tc>
                <w:tcPr>
                  <w:tcW w:w="383" w:type="pct"/>
                  <w:vMerge w:val="continue"/>
                  <w:vAlign w:val="center"/>
                </w:tcPr>
                <w:p w14:paraId="0EC736D3">
                  <w:pPr>
                    <w:jc w:val="center"/>
                    <w:rPr>
                      <w:rFonts w:hint="default" w:ascii="Times New Roman" w:hAnsi="Times New Roman" w:cs="Times New Roman"/>
                      <w:szCs w:val="21"/>
                    </w:rPr>
                  </w:pPr>
                </w:p>
              </w:tc>
              <w:tc>
                <w:tcPr>
                  <w:tcW w:w="643" w:type="pct"/>
                  <w:vAlign w:val="bottom"/>
                </w:tcPr>
                <w:p w14:paraId="34E434ED">
                  <w:pPr>
                    <w:widowControl/>
                    <w:jc w:val="center"/>
                    <w:rPr>
                      <w:rFonts w:hint="default" w:eastAsia="等线" w:cs="Times New Roman"/>
                      <w:kern w:val="0"/>
                      <w:szCs w:val="21"/>
                      <w:lang w:val="en-US" w:eastAsia="zh-CN"/>
                    </w:rPr>
                  </w:pPr>
                  <w:r>
                    <w:rPr>
                      <w:rFonts w:hint="eastAsia" w:eastAsia="等线" w:cs="Times New Roman"/>
                      <w:kern w:val="0"/>
                      <w:szCs w:val="21"/>
                      <w:lang w:val="en-US" w:eastAsia="zh-CN"/>
                    </w:rPr>
                    <w:t>0.0956</w:t>
                  </w:r>
                </w:p>
              </w:tc>
              <w:tc>
                <w:tcPr>
                  <w:tcW w:w="603" w:type="pct"/>
                  <w:vAlign w:val="center"/>
                </w:tcPr>
                <w:p w14:paraId="76DD59B7">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490" w:type="pct"/>
                  <w:vAlign w:val="center"/>
                </w:tcPr>
                <w:p w14:paraId="3942B387">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394" w:type="pct"/>
                  <w:vAlign w:val="center"/>
                </w:tcPr>
                <w:p w14:paraId="128178C4">
                  <w:pPr>
                    <w:jc w:val="center"/>
                    <w:rPr>
                      <w:rFonts w:hint="eastAsia" w:ascii="Times New Roman" w:hAnsi="Times New Roman" w:eastAsia="宋体" w:cs="Times New Roman"/>
                      <w:szCs w:val="21"/>
                      <w:lang w:val="en-US" w:eastAsia="zh-CN"/>
                    </w:rPr>
                  </w:pPr>
                  <w:r>
                    <w:rPr>
                      <w:rFonts w:hint="eastAsia" w:cs="Times New Roman"/>
                      <w:szCs w:val="21"/>
                      <w:lang w:val="en-US" w:eastAsia="zh-CN"/>
                    </w:rPr>
                    <w:t>达标</w:t>
                  </w:r>
                </w:p>
              </w:tc>
            </w:tr>
            <w:tr w14:paraId="7947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restart"/>
                  <w:tcBorders>
                    <w:top w:val="single" w:color="auto" w:sz="4" w:space="0"/>
                  </w:tcBorders>
                  <w:vAlign w:val="center"/>
                </w:tcPr>
                <w:p w14:paraId="618B6436">
                  <w:pPr>
                    <w:jc w:val="center"/>
                    <w:rPr>
                      <w:rFonts w:hint="default" w:ascii="Times New Roman" w:hAnsi="Times New Roman" w:cs="Times New Roman"/>
                    </w:rPr>
                  </w:pPr>
                  <w:r>
                    <w:rPr>
                      <w:rFonts w:hint="default" w:ascii="Times New Roman" w:hAnsi="Times New Roman" w:cs="Times New Roman"/>
                      <w:szCs w:val="21"/>
                    </w:rPr>
                    <w:t>DA002</w:t>
                  </w:r>
                </w:p>
              </w:tc>
              <w:tc>
                <w:tcPr>
                  <w:tcW w:w="503" w:type="pct"/>
                  <w:vAlign w:val="center"/>
                </w:tcPr>
                <w:p w14:paraId="2C6DA1D3">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367" w:type="pct"/>
                  <w:vMerge w:val="continue"/>
                  <w:vAlign w:val="center"/>
                </w:tcPr>
                <w:p w14:paraId="3E02C5A7">
                  <w:pPr>
                    <w:jc w:val="center"/>
                    <w:rPr>
                      <w:rFonts w:hint="default" w:ascii="Times New Roman" w:hAnsi="Times New Roman" w:cs="Times New Roman"/>
                      <w:szCs w:val="21"/>
                    </w:rPr>
                  </w:pPr>
                </w:p>
              </w:tc>
              <w:tc>
                <w:tcPr>
                  <w:tcW w:w="580" w:type="pct"/>
                  <w:vAlign w:val="center"/>
                </w:tcPr>
                <w:p w14:paraId="3E36A193">
                  <w:pPr>
                    <w:jc w:val="center"/>
                    <w:rPr>
                      <w:rFonts w:hint="default" w:ascii="Times New Roman" w:hAnsi="Times New Roman" w:eastAsia="宋体" w:cs="Times New Roman"/>
                      <w:szCs w:val="21"/>
                      <w:lang w:val="en-US" w:eastAsia="zh-CN"/>
                    </w:rPr>
                  </w:pPr>
                  <w:r>
                    <w:rPr>
                      <w:rFonts w:hint="eastAsia" w:cs="Times New Roman"/>
                      <w:szCs w:val="21"/>
                      <w:lang w:val="en-US" w:eastAsia="zh-CN"/>
                    </w:rPr>
                    <w:t>5.6961</w:t>
                  </w:r>
                </w:p>
              </w:tc>
              <w:tc>
                <w:tcPr>
                  <w:tcW w:w="555" w:type="pct"/>
                  <w:vAlign w:val="bottom"/>
                </w:tcPr>
                <w:p w14:paraId="6EB7809C">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0.2427</w:t>
                  </w:r>
                </w:p>
              </w:tc>
              <w:tc>
                <w:tcPr>
                  <w:tcW w:w="383" w:type="pct"/>
                  <w:vMerge w:val="continue"/>
                  <w:vAlign w:val="center"/>
                </w:tcPr>
                <w:p w14:paraId="54DC73B4">
                  <w:pPr>
                    <w:jc w:val="center"/>
                    <w:rPr>
                      <w:rFonts w:hint="default" w:ascii="Times New Roman" w:hAnsi="Times New Roman" w:cs="Times New Roman"/>
                      <w:szCs w:val="21"/>
                    </w:rPr>
                  </w:pPr>
                </w:p>
              </w:tc>
              <w:tc>
                <w:tcPr>
                  <w:tcW w:w="643" w:type="pct"/>
                  <w:vAlign w:val="bottom"/>
                </w:tcPr>
                <w:p w14:paraId="052CDDC6">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1164.73</w:t>
                  </w:r>
                </w:p>
              </w:tc>
              <w:tc>
                <w:tcPr>
                  <w:tcW w:w="603" w:type="pct"/>
                  <w:vAlign w:val="center"/>
                </w:tcPr>
                <w:p w14:paraId="5F06184F">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60</w:t>
                  </w:r>
                </w:p>
              </w:tc>
              <w:tc>
                <w:tcPr>
                  <w:tcW w:w="490" w:type="pct"/>
                  <w:vAlign w:val="center"/>
                </w:tcPr>
                <w:p w14:paraId="620E22C4">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3.4</w:t>
                  </w:r>
                </w:p>
              </w:tc>
              <w:tc>
                <w:tcPr>
                  <w:tcW w:w="394" w:type="pct"/>
                </w:tcPr>
                <w:p w14:paraId="3183DA64">
                  <w:pPr>
                    <w:jc w:val="center"/>
                    <w:rPr>
                      <w:rFonts w:hint="default" w:ascii="Times New Roman" w:hAnsi="Times New Roman" w:cs="Times New Roman"/>
                    </w:rPr>
                  </w:pPr>
                  <w:r>
                    <w:rPr>
                      <w:rFonts w:hint="default" w:ascii="Times New Roman" w:hAnsi="Times New Roman" w:cs="Times New Roman"/>
                      <w:szCs w:val="21"/>
                    </w:rPr>
                    <w:t>达标</w:t>
                  </w:r>
                </w:p>
              </w:tc>
            </w:tr>
            <w:tr w14:paraId="243BA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vAlign w:val="center"/>
                </w:tcPr>
                <w:p w14:paraId="33BE6CFC">
                  <w:pPr>
                    <w:jc w:val="center"/>
                    <w:rPr>
                      <w:rFonts w:hint="default" w:ascii="Times New Roman" w:hAnsi="Times New Roman" w:cs="Times New Roman"/>
                    </w:rPr>
                  </w:pPr>
                </w:p>
              </w:tc>
              <w:tc>
                <w:tcPr>
                  <w:tcW w:w="503" w:type="pct"/>
                  <w:vAlign w:val="center"/>
                </w:tcPr>
                <w:p w14:paraId="06E79897">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二甲苯</w:t>
                  </w:r>
                </w:p>
              </w:tc>
              <w:tc>
                <w:tcPr>
                  <w:tcW w:w="367" w:type="pct"/>
                  <w:vMerge w:val="continue"/>
                  <w:vAlign w:val="center"/>
                </w:tcPr>
                <w:p w14:paraId="4F6CC944">
                  <w:pPr>
                    <w:jc w:val="center"/>
                    <w:rPr>
                      <w:rFonts w:hint="default" w:ascii="Times New Roman" w:hAnsi="Times New Roman" w:cs="Times New Roman"/>
                      <w:szCs w:val="21"/>
                    </w:rPr>
                  </w:pPr>
                </w:p>
              </w:tc>
              <w:tc>
                <w:tcPr>
                  <w:tcW w:w="580" w:type="pct"/>
                  <w:vAlign w:val="center"/>
                </w:tcPr>
                <w:p w14:paraId="60A95F0D">
                  <w:pPr>
                    <w:jc w:val="center"/>
                    <w:rPr>
                      <w:rFonts w:hint="default" w:ascii="Times New Roman" w:hAnsi="Times New Roman" w:eastAsia="宋体" w:cs="Times New Roman"/>
                      <w:szCs w:val="21"/>
                      <w:lang w:val="en-US" w:eastAsia="zh-CN"/>
                    </w:rPr>
                  </w:pPr>
                  <w:r>
                    <w:rPr>
                      <w:rFonts w:hint="eastAsia" w:cs="Times New Roman"/>
                      <w:szCs w:val="21"/>
                      <w:lang w:val="en-US" w:eastAsia="zh-CN"/>
                    </w:rPr>
                    <w:t>0.1394</w:t>
                  </w:r>
                </w:p>
              </w:tc>
              <w:tc>
                <w:tcPr>
                  <w:tcW w:w="555" w:type="pct"/>
                  <w:vAlign w:val="bottom"/>
                </w:tcPr>
                <w:p w14:paraId="2A561BB2">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0.0059</w:t>
                  </w:r>
                </w:p>
              </w:tc>
              <w:tc>
                <w:tcPr>
                  <w:tcW w:w="383" w:type="pct"/>
                  <w:vMerge w:val="continue"/>
                  <w:vAlign w:val="center"/>
                </w:tcPr>
                <w:p w14:paraId="02C51B09">
                  <w:pPr>
                    <w:jc w:val="center"/>
                    <w:rPr>
                      <w:rFonts w:hint="default" w:ascii="Times New Roman" w:hAnsi="Times New Roman" w:cs="Times New Roman"/>
                      <w:szCs w:val="21"/>
                    </w:rPr>
                  </w:pPr>
                </w:p>
              </w:tc>
              <w:tc>
                <w:tcPr>
                  <w:tcW w:w="643" w:type="pct"/>
                  <w:vAlign w:val="bottom"/>
                </w:tcPr>
                <w:p w14:paraId="127A8D7A">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28.5</w:t>
                  </w:r>
                </w:p>
              </w:tc>
              <w:tc>
                <w:tcPr>
                  <w:tcW w:w="603" w:type="pct"/>
                  <w:vAlign w:val="center"/>
                </w:tcPr>
                <w:p w14:paraId="21708292">
                  <w:pPr>
                    <w:adjustRightInd w:val="0"/>
                    <w:snapToGrid w:val="0"/>
                    <w:jc w:val="center"/>
                    <w:rPr>
                      <w:rFonts w:hint="default" w:ascii="Times New Roman" w:hAnsi="Times New Roman" w:eastAsia="等线" w:cs="Times New Roman"/>
                      <w:kern w:val="0"/>
                      <w:szCs w:val="21"/>
                    </w:rPr>
                  </w:pPr>
                  <w:r>
                    <w:rPr>
                      <w:rFonts w:hint="default" w:ascii="Times New Roman" w:hAnsi="Times New Roman" w:cs="Times New Roman"/>
                      <w:bCs/>
                      <w:szCs w:val="21"/>
                      <w:lang w:val="en-US" w:eastAsia="zh-CN"/>
                    </w:rPr>
                    <w:t>15</w:t>
                  </w:r>
                </w:p>
              </w:tc>
              <w:tc>
                <w:tcPr>
                  <w:tcW w:w="490" w:type="pct"/>
                  <w:vAlign w:val="center"/>
                </w:tcPr>
                <w:p w14:paraId="17476C63">
                  <w:pPr>
                    <w:pStyle w:val="84"/>
                    <w:adjustRightInd w:val="0"/>
                    <w:snapToGrid w:val="0"/>
                    <w:jc w:val="center"/>
                    <w:rPr>
                      <w:rFonts w:hint="default" w:ascii="Times New Roman" w:hAnsi="Times New Roman" w:eastAsia="等线" w:cs="Times New Roman"/>
                      <w:kern w:val="0"/>
                      <w:szCs w:val="21"/>
                    </w:rPr>
                  </w:pPr>
                  <w:r>
                    <w:rPr>
                      <w:rFonts w:hint="default" w:ascii="Times New Roman" w:hAnsi="Times New Roman" w:cs="Times New Roman"/>
                      <w:bCs/>
                      <w:szCs w:val="21"/>
                      <w:lang w:val="en-US" w:eastAsia="zh-CN"/>
                    </w:rPr>
                    <w:t>0.9</w:t>
                  </w:r>
                </w:p>
              </w:tc>
              <w:tc>
                <w:tcPr>
                  <w:tcW w:w="394" w:type="pct"/>
                </w:tcPr>
                <w:p w14:paraId="46F20C50">
                  <w:pPr>
                    <w:jc w:val="center"/>
                    <w:rPr>
                      <w:rFonts w:hint="default" w:ascii="Times New Roman" w:hAnsi="Times New Roman" w:cs="Times New Roman"/>
                    </w:rPr>
                  </w:pPr>
                  <w:r>
                    <w:rPr>
                      <w:rFonts w:hint="default" w:ascii="Times New Roman" w:hAnsi="Times New Roman" w:cs="Times New Roman"/>
                      <w:szCs w:val="21"/>
                    </w:rPr>
                    <w:t>达标</w:t>
                  </w:r>
                </w:p>
              </w:tc>
            </w:tr>
            <w:tr w14:paraId="4CADA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vAlign w:val="center"/>
                </w:tcPr>
                <w:p w14:paraId="6EEF76DD">
                  <w:pPr>
                    <w:jc w:val="center"/>
                    <w:rPr>
                      <w:rFonts w:hint="default" w:ascii="Times New Roman" w:hAnsi="Times New Roman" w:cs="Times New Roman"/>
                    </w:rPr>
                  </w:pPr>
                </w:p>
              </w:tc>
              <w:tc>
                <w:tcPr>
                  <w:tcW w:w="503" w:type="pct"/>
                  <w:vAlign w:val="center"/>
                </w:tcPr>
                <w:p w14:paraId="2B8C1326">
                  <w:pPr>
                    <w:autoSpaceDE w:val="0"/>
                    <w:autoSpaceDN w:val="0"/>
                    <w:adjustRightInd w:val="0"/>
                    <w:snapToGrid w:val="0"/>
                    <w:jc w:val="center"/>
                    <w:rPr>
                      <w:rFonts w:hint="default" w:ascii="Times New Roman" w:hAnsi="Times New Roman" w:cs="Times New Roman"/>
                      <w:kern w:val="0"/>
                      <w:szCs w:val="21"/>
                      <w:lang w:bidi="ar"/>
                    </w:rPr>
                  </w:pPr>
                  <w:r>
                    <w:rPr>
                      <w:rFonts w:hint="default" w:ascii="Times New Roman" w:hAnsi="Times New Roman" w:cs="Times New Roman"/>
                      <w:szCs w:val="21"/>
                    </w:rPr>
                    <w:t>乙苯</w:t>
                  </w:r>
                </w:p>
              </w:tc>
              <w:tc>
                <w:tcPr>
                  <w:tcW w:w="367" w:type="pct"/>
                  <w:vMerge w:val="continue"/>
                  <w:vAlign w:val="center"/>
                </w:tcPr>
                <w:p w14:paraId="4C2DF75B">
                  <w:pPr>
                    <w:jc w:val="center"/>
                    <w:rPr>
                      <w:rFonts w:hint="default" w:ascii="Times New Roman" w:hAnsi="Times New Roman" w:cs="Times New Roman"/>
                      <w:szCs w:val="21"/>
                    </w:rPr>
                  </w:pPr>
                </w:p>
              </w:tc>
              <w:tc>
                <w:tcPr>
                  <w:tcW w:w="580" w:type="pct"/>
                  <w:vAlign w:val="center"/>
                </w:tcPr>
                <w:p w14:paraId="0C311957">
                  <w:pPr>
                    <w:jc w:val="center"/>
                    <w:rPr>
                      <w:rFonts w:hint="default" w:ascii="Times New Roman" w:hAnsi="Times New Roman" w:eastAsia="宋体" w:cs="Times New Roman"/>
                      <w:szCs w:val="21"/>
                      <w:lang w:val="en-US" w:eastAsia="zh-CN"/>
                    </w:rPr>
                  </w:pPr>
                  <w:r>
                    <w:rPr>
                      <w:rFonts w:hint="eastAsia" w:cs="Times New Roman"/>
                      <w:szCs w:val="21"/>
                      <w:lang w:val="en-US" w:eastAsia="zh-CN"/>
                    </w:rPr>
                    <w:t>0.0021</w:t>
                  </w:r>
                </w:p>
              </w:tc>
              <w:tc>
                <w:tcPr>
                  <w:tcW w:w="555" w:type="pct"/>
                  <w:vAlign w:val="bottom"/>
                </w:tcPr>
                <w:p w14:paraId="221A9F6C">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0.0009</w:t>
                  </w:r>
                </w:p>
              </w:tc>
              <w:tc>
                <w:tcPr>
                  <w:tcW w:w="383" w:type="pct"/>
                  <w:vMerge w:val="continue"/>
                  <w:vAlign w:val="center"/>
                </w:tcPr>
                <w:p w14:paraId="00F892BF">
                  <w:pPr>
                    <w:jc w:val="center"/>
                    <w:rPr>
                      <w:rFonts w:hint="default" w:ascii="Times New Roman" w:hAnsi="Times New Roman" w:cs="Times New Roman"/>
                      <w:szCs w:val="21"/>
                    </w:rPr>
                  </w:pPr>
                </w:p>
              </w:tc>
              <w:tc>
                <w:tcPr>
                  <w:tcW w:w="643" w:type="pct"/>
                  <w:vAlign w:val="bottom"/>
                </w:tcPr>
                <w:p w14:paraId="0B5B36CA">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4.275</w:t>
                  </w:r>
                </w:p>
              </w:tc>
              <w:tc>
                <w:tcPr>
                  <w:tcW w:w="603" w:type="pct"/>
                  <w:vAlign w:val="center"/>
                </w:tcPr>
                <w:p w14:paraId="194F5EF7">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i w:val="0"/>
                      <w:iCs w:val="0"/>
                      <w:color w:val="auto"/>
                      <w:kern w:val="0"/>
                      <w:sz w:val="21"/>
                      <w:szCs w:val="21"/>
                      <w:u w:val="none"/>
                      <w:lang w:val="en-US" w:eastAsia="zh-CN" w:bidi="ar"/>
                    </w:rPr>
                    <w:t>40</w:t>
                  </w:r>
                </w:p>
              </w:tc>
              <w:tc>
                <w:tcPr>
                  <w:tcW w:w="490" w:type="pct"/>
                  <w:vAlign w:val="center"/>
                </w:tcPr>
                <w:p w14:paraId="3A887D5A">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i w:val="0"/>
                      <w:iCs w:val="0"/>
                      <w:color w:val="000000"/>
                      <w:kern w:val="0"/>
                      <w:sz w:val="21"/>
                      <w:szCs w:val="21"/>
                      <w:u w:val="none"/>
                      <w:lang w:val="en-US" w:eastAsia="zh-CN" w:bidi="ar"/>
                    </w:rPr>
                    <w:t>1.4</w:t>
                  </w:r>
                </w:p>
              </w:tc>
              <w:tc>
                <w:tcPr>
                  <w:tcW w:w="394" w:type="pct"/>
                </w:tcPr>
                <w:p w14:paraId="79508F52">
                  <w:pPr>
                    <w:jc w:val="center"/>
                    <w:rPr>
                      <w:rFonts w:hint="default" w:ascii="Times New Roman" w:hAnsi="Times New Roman" w:cs="Times New Roman"/>
                    </w:rPr>
                  </w:pPr>
                  <w:r>
                    <w:rPr>
                      <w:rFonts w:hint="default" w:ascii="Times New Roman" w:hAnsi="Times New Roman" w:cs="Times New Roman"/>
                      <w:szCs w:val="21"/>
                    </w:rPr>
                    <w:t>达标</w:t>
                  </w:r>
                </w:p>
              </w:tc>
            </w:tr>
            <w:tr w14:paraId="58E98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tcBorders>
                    <w:bottom w:val="single" w:color="auto" w:sz="4" w:space="0"/>
                  </w:tcBorders>
                  <w:vAlign w:val="center"/>
                </w:tcPr>
                <w:p w14:paraId="3B8697F2">
                  <w:pPr>
                    <w:jc w:val="center"/>
                    <w:rPr>
                      <w:rFonts w:hint="default" w:ascii="Times New Roman" w:hAnsi="Times New Roman" w:cs="Times New Roman"/>
                    </w:rPr>
                  </w:pPr>
                </w:p>
              </w:tc>
              <w:tc>
                <w:tcPr>
                  <w:tcW w:w="503" w:type="pct"/>
                  <w:vAlign w:val="center"/>
                </w:tcPr>
                <w:p w14:paraId="59CB5F4E">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漆雾</w:t>
                  </w:r>
                </w:p>
              </w:tc>
              <w:tc>
                <w:tcPr>
                  <w:tcW w:w="367" w:type="pct"/>
                  <w:vMerge w:val="continue"/>
                  <w:vAlign w:val="center"/>
                </w:tcPr>
                <w:p w14:paraId="20860E07">
                  <w:pPr>
                    <w:jc w:val="center"/>
                    <w:rPr>
                      <w:rFonts w:hint="default" w:ascii="Times New Roman" w:hAnsi="Times New Roman" w:cs="Times New Roman"/>
                      <w:szCs w:val="21"/>
                    </w:rPr>
                  </w:pPr>
                </w:p>
              </w:tc>
              <w:tc>
                <w:tcPr>
                  <w:tcW w:w="580" w:type="pct"/>
                  <w:vAlign w:val="center"/>
                </w:tcPr>
                <w:p w14:paraId="58D6836E">
                  <w:pPr>
                    <w:jc w:val="center"/>
                    <w:rPr>
                      <w:rFonts w:hint="default" w:ascii="Times New Roman" w:hAnsi="Times New Roman" w:eastAsia="宋体" w:cs="Times New Roman"/>
                      <w:szCs w:val="21"/>
                      <w:lang w:val="en-US" w:eastAsia="zh-CN"/>
                    </w:rPr>
                  </w:pPr>
                  <w:r>
                    <w:rPr>
                      <w:rFonts w:hint="eastAsia" w:cs="Times New Roman"/>
                      <w:szCs w:val="21"/>
                      <w:lang w:val="en-US" w:eastAsia="zh-CN"/>
                    </w:rPr>
                    <w:t>1.2544</w:t>
                  </w:r>
                </w:p>
              </w:tc>
              <w:tc>
                <w:tcPr>
                  <w:tcW w:w="555" w:type="pct"/>
                  <w:vAlign w:val="bottom"/>
                </w:tcPr>
                <w:p w14:paraId="1CC861D9">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0.0534</w:t>
                  </w:r>
                </w:p>
              </w:tc>
              <w:tc>
                <w:tcPr>
                  <w:tcW w:w="383" w:type="pct"/>
                  <w:vMerge w:val="continue"/>
                  <w:vAlign w:val="center"/>
                </w:tcPr>
                <w:p w14:paraId="753131A5">
                  <w:pPr>
                    <w:jc w:val="center"/>
                    <w:rPr>
                      <w:rFonts w:hint="default" w:ascii="Times New Roman" w:hAnsi="Times New Roman" w:cs="Times New Roman"/>
                      <w:szCs w:val="21"/>
                    </w:rPr>
                  </w:pPr>
                </w:p>
              </w:tc>
              <w:tc>
                <w:tcPr>
                  <w:tcW w:w="643" w:type="pct"/>
                  <w:vAlign w:val="bottom"/>
                </w:tcPr>
                <w:p w14:paraId="31EE6376">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12.8</w:t>
                  </w:r>
                </w:p>
              </w:tc>
              <w:tc>
                <w:tcPr>
                  <w:tcW w:w="603" w:type="pct"/>
                  <w:vAlign w:val="center"/>
                </w:tcPr>
                <w:p w14:paraId="38591903">
                  <w:pPr>
                    <w:keepNext w:val="0"/>
                    <w:keepLines w:val="0"/>
                    <w:widowControl/>
                    <w:suppressLineNumbers w:val="0"/>
                    <w:tabs>
                      <w:tab w:val="left" w:pos="395"/>
                    </w:tabs>
                    <w:jc w:val="center"/>
                    <w:textAlignment w:val="center"/>
                    <w:rPr>
                      <w:rFonts w:hint="default" w:ascii="Times New Roman" w:hAnsi="Times New Roman" w:eastAsia="等线" w:cs="Times New Roman"/>
                      <w:kern w:val="0"/>
                      <w:szCs w:val="21"/>
                    </w:rPr>
                  </w:pPr>
                  <w:r>
                    <w:rPr>
                      <w:rFonts w:hint="default" w:ascii="Times New Roman" w:hAnsi="Times New Roman" w:cs="Times New Roman"/>
                      <w:i w:val="0"/>
                      <w:iCs w:val="0"/>
                      <w:color w:val="auto"/>
                      <w:kern w:val="0"/>
                      <w:sz w:val="21"/>
                      <w:szCs w:val="21"/>
                      <w:u w:val="none"/>
                      <w:lang w:val="en-US" w:eastAsia="zh-CN" w:bidi="ar"/>
                    </w:rPr>
                    <w:t>120</w:t>
                  </w:r>
                </w:p>
              </w:tc>
              <w:tc>
                <w:tcPr>
                  <w:tcW w:w="490" w:type="pct"/>
                  <w:vAlign w:val="center"/>
                </w:tcPr>
                <w:p w14:paraId="4B34F13D">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i w:val="0"/>
                      <w:iCs w:val="0"/>
                      <w:color w:val="000000"/>
                      <w:kern w:val="0"/>
                      <w:sz w:val="21"/>
                      <w:szCs w:val="21"/>
                      <w:u w:val="none"/>
                      <w:lang w:val="en-US" w:eastAsia="zh-CN" w:bidi="ar"/>
                    </w:rPr>
                    <w:t>3.5</w:t>
                  </w:r>
                </w:p>
              </w:tc>
              <w:tc>
                <w:tcPr>
                  <w:tcW w:w="394" w:type="pct"/>
                  <w:vAlign w:val="center"/>
                </w:tcPr>
                <w:p w14:paraId="400E3BD0">
                  <w:pPr>
                    <w:jc w:val="center"/>
                    <w:rPr>
                      <w:rFonts w:hint="default" w:ascii="Times New Roman" w:hAnsi="Times New Roman" w:cs="Times New Roman"/>
                    </w:rPr>
                  </w:pPr>
                  <w:r>
                    <w:rPr>
                      <w:rFonts w:hint="default" w:ascii="Times New Roman" w:hAnsi="Times New Roman" w:cs="Times New Roman"/>
                      <w:szCs w:val="21"/>
                    </w:rPr>
                    <w:t>达标</w:t>
                  </w:r>
                </w:p>
              </w:tc>
            </w:tr>
            <w:tr w14:paraId="0077D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restart"/>
                  <w:tcBorders>
                    <w:top w:val="single" w:color="auto" w:sz="4" w:space="0"/>
                  </w:tcBorders>
                  <w:vAlign w:val="center"/>
                </w:tcPr>
                <w:p w14:paraId="596D0DCF">
                  <w:pPr>
                    <w:jc w:val="center"/>
                    <w:rPr>
                      <w:rFonts w:hint="default" w:ascii="Times New Roman" w:hAnsi="Times New Roman" w:cs="Times New Roman"/>
                    </w:rPr>
                  </w:pPr>
                  <w:r>
                    <w:rPr>
                      <w:rFonts w:hint="default" w:ascii="Times New Roman" w:hAnsi="Times New Roman" w:cs="Times New Roman"/>
                      <w:szCs w:val="21"/>
                    </w:rPr>
                    <w:t>DA003</w:t>
                  </w:r>
                </w:p>
              </w:tc>
              <w:tc>
                <w:tcPr>
                  <w:tcW w:w="503" w:type="pct"/>
                  <w:vAlign w:val="center"/>
                </w:tcPr>
                <w:p w14:paraId="1B52B53C">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367" w:type="pct"/>
                  <w:vMerge w:val="continue"/>
                  <w:vAlign w:val="center"/>
                </w:tcPr>
                <w:p w14:paraId="77134555">
                  <w:pPr>
                    <w:jc w:val="center"/>
                    <w:rPr>
                      <w:rFonts w:hint="default" w:ascii="Times New Roman" w:hAnsi="Times New Roman" w:cs="Times New Roman"/>
                      <w:szCs w:val="21"/>
                    </w:rPr>
                  </w:pPr>
                </w:p>
              </w:tc>
              <w:tc>
                <w:tcPr>
                  <w:tcW w:w="580" w:type="pct"/>
                  <w:vAlign w:val="center"/>
                </w:tcPr>
                <w:p w14:paraId="55A7153C">
                  <w:pPr>
                    <w:jc w:val="center"/>
                    <w:rPr>
                      <w:rFonts w:hint="default" w:ascii="Times New Roman" w:hAnsi="Times New Roman" w:eastAsia="宋体" w:cs="Times New Roman"/>
                      <w:szCs w:val="21"/>
                      <w:lang w:val="en-US" w:eastAsia="zh-CN"/>
                    </w:rPr>
                  </w:pPr>
                  <w:r>
                    <w:rPr>
                      <w:rFonts w:hint="eastAsia" w:cs="Times New Roman"/>
                      <w:szCs w:val="21"/>
                      <w:lang w:val="en-US" w:eastAsia="zh-CN"/>
                    </w:rPr>
                    <w:t>1.6043</w:t>
                  </w:r>
                </w:p>
              </w:tc>
              <w:tc>
                <w:tcPr>
                  <w:tcW w:w="555" w:type="pct"/>
                  <w:vAlign w:val="bottom"/>
                </w:tcPr>
                <w:p w14:paraId="033C880A">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0.0786</w:t>
                  </w:r>
                </w:p>
              </w:tc>
              <w:tc>
                <w:tcPr>
                  <w:tcW w:w="383" w:type="pct"/>
                  <w:vMerge w:val="continue"/>
                  <w:vAlign w:val="center"/>
                </w:tcPr>
                <w:p w14:paraId="63E2414C">
                  <w:pPr>
                    <w:jc w:val="center"/>
                    <w:rPr>
                      <w:rFonts w:hint="default" w:ascii="Times New Roman" w:hAnsi="Times New Roman" w:cs="Times New Roman"/>
                      <w:szCs w:val="21"/>
                    </w:rPr>
                  </w:pPr>
                </w:p>
              </w:tc>
              <w:tc>
                <w:tcPr>
                  <w:tcW w:w="643" w:type="pct"/>
                  <w:vAlign w:val="bottom"/>
                </w:tcPr>
                <w:p w14:paraId="46F8FBDF">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377.34</w:t>
                  </w:r>
                </w:p>
              </w:tc>
              <w:tc>
                <w:tcPr>
                  <w:tcW w:w="603" w:type="pct"/>
                  <w:vAlign w:val="center"/>
                </w:tcPr>
                <w:p w14:paraId="1AA068BA">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60</w:t>
                  </w:r>
                </w:p>
              </w:tc>
              <w:tc>
                <w:tcPr>
                  <w:tcW w:w="490" w:type="pct"/>
                  <w:vAlign w:val="center"/>
                </w:tcPr>
                <w:p w14:paraId="20B8C98F">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3.4</w:t>
                  </w:r>
                </w:p>
              </w:tc>
              <w:tc>
                <w:tcPr>
                  <w:tcW w:w="394" w:type="pct"/>
                </w:tcPr>
                <w:p w14:paraId="0DBF6F0B">
                  <w:pPr>
                    <w:jc w:val="center"/>
                    <w:rPr>
                      <w:rFonts w:hint="default" w:ascii="Times New Roman" w:hAnsi="Times New Roman" w:cs="Times New Roman"/>
                    </w:rPr>
                  </w:pPr>
                  <w:r>
                    <w:rPr>
                      <w:rFonts w:hint="default" w:ascii="Times New Roman" w:hAnsi="Times New Roman" w:cs="Times New Roman"/>
                      <w:szCs w:val="21"/>
                    </w:rPr>
                    <w:t>达标</w:t>
                  </w:r>
                </w:p>
              </w:tc>
            </w:tr>
            <w:tr w14:paraId="0001A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tcBorders>
                    <w:bottom w:val="single" w:color="auto" w:sz="4" w:space="0"/>
                  </w:tcBorders>
                  <w:vAlign w:val="center"/>
                </w:tcPr>
                <w:p w14:paraId="1C66EB3C">
                  <w:pPr>
                    <w:jc w:val="center"/>
                    <w:rPr>
                      <w:rFonts w:hint="default" w:ascii="Times New Roman" w:hAnsi="Times New Roman" w:cs="Times New Roman"/>
                    </w:rPr>
                  </w:pPr>
                </w:p>
              </w:tc>
              <w:tc>
                <w:tcPr>
                  <w:tcW w:w="503" w:type="pct"/>
                  <w:vAlign w:val="center"/>
                </w:tcPr>
                <w:p w14:paraId="124C37B6">
                  <w:pPr>
                    <w:autoSpaceDE w:val="0"/>
                    <w:autoSpaceDN w:val="0"/>
                    <w:adjustRightInd w:val="0"/>
                    <w:snapToGrid w:val="0"/>
                    <w:jc w:val="center"/>
                    <w:rPr>
                      <w:rFonts w:hint="default" w:ascii="Times New Roman" w:hAnsi="Times New Roman" w:cs="Times New Roman"/>
                      <w:kern w:val="0"/>
                      <w:szCs w:val="21"/>
                      <w:lang w:bidi="ar"/>
                    </w:rPr>
                  </w:pPr>
                  <w:r>
                    <w:rPr>
                      <w:rFonts w:hint="default" w:ascii="Times New Roman" w:hAnsi="Times New Roman" w:cs="Times New Roman"/>
                      <w:szCs w:val="21"/>
                      <w:lang w:val="en-US" w:eastAsia="zh-CN"/>
                    </w:rPr>
                    <w:t>漆雾</w:t>
                  </w:r>
                </w:p>
              </w:tc>
              <w:tc>
                <w:tcPr>
                  <w:tcW w:w="367" w:type="pct"/>
                  <w:vMerge w:val="continue"/>
                  <w:vAlign w:val="center"/>
                </w:tcPr>
                <w:p w14:paraId="54756487">
                  <w:pPr>
                    <w:jc w:val="center"/>
                    <w:rPr>
                      <w:rFonts w:hint="default" w:ascii="Times New Roman" w:hAnsi="Times New Roman" w:cs="Times New Roman"/>
                      <w:szCs w:val="21"/>
                    </w:rPr>
                  </w:pPr>
                </w:p>
              </w:tc>
              <w:tc>
                <w:tcPr>
                  <w:tcW w:w="580" w:type="pct"/>
                  <w:vAlign w:val="center"/>
                </w:tcPr>
                <w:p w14:paraId="1470DC32">
                  <w:pPr>
                    <w:jc w:val="center"/>
                    <w:rPr>
                      <w:rFonts w:hint="default" w:ascii="Times New Roman" w:hAnsi="Times New Roman" w:eastAsia="宋体" w:cs="Times New Roman"/>
                      <w:szCs w:val="21"/>
                      <w:lang w:val="en-US" w:eastAsia="zh-CN"/>
                    </w:rPr>
                  </w:pPr>
                  <w:r>
                    <w:rPr>
                      <w:rFonts w:hint="eastAsia" w:cs="Times New Roman"/>
                      <w:szCs w:val="21"/>
                      <w:lang w:val="en-US" w:eastAsia="zh-CN"/>
                    </w:rPr>
                    <w:t>0.6737</w:t>
                  </w:r>
                </w:p>
              </w:tc>
              <w:tc>
                <w:tcPr>
                  <w:tcW w:w="555" w:type="pct"/>
                  <w:vAlign w:val="bottom"/>
                </w:tcPr>
                <w:p w14:paraId="00E02646">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0.033</w:t>
                  </w:r>
                </w:p>
              </w:tc>
              <w:tc>
                <w:tcPr>
                  <w:tcW w:w="383" w:type="pct"/>
                  <w:vMerge w:val="continue"/>
                  <w:vAlign w:val="center"/>
                </w:tcPr>
                <w:p w14:paraId="2774A129">
                  <w:pPr>
                    <w:jc w:val="center"/>
                    <w:rPr>
                      <w:rFonts w:hint="default" w:ascii="Times New Roman" w:hAnsi="Times New Roman" w:cs="Times New Roman"/>
                      <w:szCs w:val="21"/>
                    </w:rPr>
                  </w:pPr>
                </w:p>
              </w:tc>
              <w:tc>
                <w:tcPr>
                  <w:tcW w:w="643" w:type="pct"/>
                  <w:vAlign w:val="bottom"/>
                </w:tcPr>
                <w:p w14:paraId="05CA5C76">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158.46</w:t>
                  </w:r>
                </w:p>
              </w:tc>
              <w:tc>
                <w:tcPr>
                  <w:tcW w:w="603" w:type="pct"/>
                  <w:vAlign w:val="center"/>
                </w:tcPr>
                <w:p w14:paraId="207AD2AD">
                  <w:pPr>
                    <w:keepNext w:val="0"/>
                    <w:keepLines w:val="0"/>
                    <w:widowControl/>
                    <w:suppressLineNumbers w:val="0"/>
                    <w:tabs>
                      <w:tab w:val="left" w:pos="395"/>
                    </w:tabs>
                    <w:jc w:val="center"/>
                    <w:textAlignment w:val="center"/>
                    <w:rPr>
                      <w:rFonts w:hint="default" w:ascii="Times New Roman" w:hAnsi="Times New Roman" w:eastAsia="等线" w:cs="Times New Roman"/>
                      <w:szCs w:val="21"/>
                    </w:rPr>
                  </w:pPr>
                  <w:r>
                    <w:rPr>
                      <w:rFonts w:hint="default" w:ascii="Times New Roman" w:hAnsi="Times New Roman" w:cs="Times New Roman"/>
                      <w:i w:val="0"/>
                      <w:iCs w:val="0"/>
                      <w:color w:val="auto"/>
                      <w:kern w:val="0"/>
                      <w:sz w:val="21"/>
                      <w:szCs w:val="21"/>
                      <w:u w:val="none"/>
                      <w:lang w:val="en-US" w:eastAsia="zh-CN" w:bidi="ar"/>
                    </w:rPr>
                    <w:t>120</w:t>
                  </w:r>
                </w:p>
              </w:tc>
              <w:tc>
                <w:tcPr>
                  <w:tcW w:w="490" w:type="pct"/>
                  <w:vAlign w:val="center"/>
                </w:tcPr>
                <w:p w14:paraId="7E596EB8">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i w:val="0"/>
                      <w:iCs w:val="0"/>
                      <w:color w:val="000000"/>
                      <w:kern w:val="0"/>
                      <w:sz w:val="21"/>
                      <w:szCs w:val="21"/>
                      <w:u w:val="none"/>
                      <w:lang w:val="en-US" w:eastAsia="zh-CN" w:bidi="ar"/>
                    </w:rPr>
                    <w:t>3.5</w:t>
                  </w:r>
                </w:p>
              </w:tc>
              <w:tc>
                <w:tcPr>
                  <w:tcW w:w="394" w:type="pct"/>
                  <w:vAlign w:val="center"/>
                </w:tcPr>
                <w:p w14:paraId="5E2A7211">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43EC1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restart"/>
                  <w:tcBorders>
                    <w:top w:val="single" w:color="auto" w:sz="4" w:space="0"/>
                  </w:tcBorders>
                  <w:vAlign w:val="center"/>
                </w:tcPr>
                <w:p w14:paraId="15BF8578">
                  <w:pPr>
                    <w:jc w:val="center"/>
                    <w:rPr>
                      <w:rFonts w:hint="default" w:ascii="Times New Roman" w:hAnsi="Times New Roman" w:cs="Times New Roman"/>
                    </w:rPr>
                  </w:pPr>
                  <w:r>
                    <w:rPr>
                      <w:rFonts w:hint="default" w:ascii="Times New Roman" w:hAnsi="Times New Roman" w:cs="Times New Roman"/>
                    </w:rPr>
                    <w:t>DA004</w:t>
                  </w:r>
                </w:p>
              </w:tc>
              <w:tc>
                <w:tcPr>
                  <w:tcW w:w="503" w:type="pct"/>
                  <w:vAlign w:val="center"/>
                </w:tcPr>
                <w:p w14:paraId="09B83DFB">
                  <w:pPr>
                    <w:keepNext w:val="0"/>
                    <w:keepLines w:val="0"/>
                    <w:widowControl/>
                    <w:suppressLineNumbers w:val="0"/>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367" w:type="pct"/>
                  <w:vMerge w:val="continue"/>
                  <w:vAlign w:val="center"/>
                </w:tcPr>
                <w:p w14:paraId="766D0360">
                  <w:pPr>
                    <w:jc w:val="center"/>
                    <w:rPr>
                      <w:rFonts w:hint="default" w:ascii="Times New Roman" w:hAnsi="Times New Roman" w:cs="Times New Roman"/>
                      <w:szCs w:val="21"/>
                    </w:rPr>
                  </w:pPr>
                </w:p>
              </w:tc>
              <w:tc>
                <w:tcPr>
                  <w:tcW w:w="580" w:type="pct"/>
                  <w:vAlign w:val="center"/>
                </w:tcPr>
                <w:p w14:paraId="4D678237">
                  <w:pPr>
                    <w:jc w:val="center"/>
                    <w:rPr>
                      <w:rFonts w:hint="default" w:ascii="Times New Roman" w:hAnsi="Times New Roman" w:eastAsia="宋体" w:cs="Times New Roman"/>
                      <w:szCs w:val="21"/>
                      <w:lang w:val="en-US" w:eastAsia="zh-CN"/>
                    </w:rPr>
                  </w:pPr>
                  <w:r>
                    <w:rPr>
                      <w:rFonts w:hint="eastAsia" w:cs="Times New Roman"/>
                      <w:szCs w:val="21"/>
                      <w:lang w:val="en-US" w:eastAsia="zh-CN"/>
                    </w:rPr>
                    <w:t>1.0939</w:t>
                  </w:r>
                </w:p>
              </w:tc>
              <w:tc>
                <w:tcPr>
                  <w:tcW w:w="555" w:type="pct"/>
                  <w:vAlign w:val="bottom"/>
                </w:tcPr>
                <w:p w14:paraId="0DD66F71">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0.0586</w:t>
                  </w:r>
                </w:p>
              </w:tc>
              <w:tc>
                <w:tcPr>
                  <w:tcW w:w="383" w:type="pct"/>
                  <w:vMerge w:val="continue"/>
                  <w:vAlign w:val="center"/>
                </w:tcPr>
                <w:p w14:paraId="1597B64D">
                  <w:pPr>
                    <w:jc w:val="center"/>
                    <w:rPr>
                      <w:rFonts w:hint="default" w:ascii="Times New Roman" w:hAnsi="Times New Roman" w:cs="Times New Roman"/>
                      <w:szCs w:val="21"/>
                    </w:rPr>
                  </w:pPr>
                </w:p>
              </w:tc>
              <w:tc>
                <w:tcPr>
                  <w:tcW w:w="643" w:type="pct"/>
                  <w:vAlign w:val="bottom"/>
                </w:tcPr>
                <w:p w14:paraId="5FA18671">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281.447</w:t>
                  </w:r>
                </w:p>
              </w:tc>
              <w:tc>
                <w:tcPr>
                  <w:tcW w:w="603" w:type="pct"/>
                  <w:vAlign w:val="center"/>
                </w:tcPr>
                <w:p w14:paraId="1C298F52">
                  <w:pPr>
                    <w:widowControl/>
                    <w:adjustRightInd w:val="0"/>
                    <w:snapToGrid w:val="0"/>
                    <w:ind w:left="-73" w:leftChars="-35" w:right="-73" w:rightChars="-35"/>
                    <w:jc w:val="center"/>
                    <w:rPr>
                      <w:rFonts w:hint="default" w:ascii="Times New Roman" w:hAnsi="Times New Roman" w:eastAsia="等线" w:cs="Times New Roman"/>
                      <w:szCs w:val="21"/>
                    </w:rPr>
                  </w:pPr>
                  <w:r>
                    <w:rPr>
                      <w:rFonts w:hint="default" w:ascii="Times New Roman" w:hAnsi="Times New Roman" w:cs="Times New Roman"/>
                    </w:rPr>
                    <w:t>60</w:t>
                  </w:r>
                </w:p>
              </w:tc>
              <w:tc>
                <w:tcPr>
                  <w:tcW w:w="490" w:type="pct"/>
                  <w:vAlign w:val="center"/>
                </w:tcPr>
                <w:p w14:paraId="7AD1F260">
                  <w:pPr>
                    <w:widowControl/>
                    <w:adjustRightInd w:val="0"/>
                    <w:snapToGrid w:val="0"/>
                    <w:ind w:left="-73" w:leftChars="-35" w:right="-73" w:rightChars="-35"/>
                    <w:jc w:val="center"/>
                    <w:rPr>
                      <w:rFonts w:hint="default" w:ascii="Times New Roman" w:hAnsi="Times New Roman" w:eastAsia="等线" w:cs="Times New Roman"/>
                      <w:kern w:val="0"/>
                      <w:szCs w:val="21"/>
                    </w:rPr>
                  </w:pPr>
                  <w:r>
                    <w:rPr>
                      <w:rFonts w:hint="default" w:ascii="Times New Roman" w:hAnsi="Times New Roman" w:eastAsia="等线" w:cs="Times New Roman"/>
                      <w:kern w:val="0"/>
                      <w:szCs w:val="21"/>
                    </w:rPr>
                    <w:t>6.8</w:t>
                  </w:r>
                </w:p>
              </w:tc>
              <w:tc>
                <w:tcPr>
                  <w:tcW w:w="394" w:type="pct"/>
                  <w:vAlign w:val="center"/>
                </w:tcPr>
                <w:p w14:paraId="3091EAE3">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6B457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vAlign w:val="center"/>
                </w:tcPr>
                <w:p w14:paraId="061E84E0">
                  <w:pPr>
                    <w:jc w:val="center"/>
                    <w:rPr>
                      <w:rFonts w:hint="default" w:ascii="Times New Roman" w:hAnsi="Times New Roman" w:cs="Times New Roman"/>
                    </w:rPr>
                  </w:pPr>
                </w:p>
              </w:tc>
              <w:tc>
                <w:tcPr>
                  <w:tcW w:w="503" w:type="pct"/>
                  <w:vAlign w:val="center"/>
                </w:tcPr>
                <w:p w14:paraId="3ADF26D4">
                  <w:pPr>
                    <w:autoSpaceDE w:val="0"/>
                    <w:autoSpaceDN w:val="0"/>
                    <w:adjustRightInd w:val="0"/>
                    <w:snapToGrid w:val="0"/>
                    <w:jc w:val="center"/>
                    <w:rPr>
                      <w:rFonts w:hint="default" w:ascii="Times New Roman" w:hAnsi="Times New Roman" w:cs="Times New Roman"/>
                      <w:kern w:val="0"/>
                      <w:szCs w:val="21"/>
                      <w:lang w:bidi="ar"/>
                    </w:rPr>
                  </w:pPr>
                  <w:r>
                    <w:rPr>
                      <w:rFonts w:hint="default" w:ascii="Times New Roman" w:hAnsi="Times New Roman" w:cs="Times New Roman"/>
                      <w:szCs w:val="21"/>
                    </w:rPr>
                    <w:t>二甲苯</w:t>
                  </w:r>
                </w:p>
              </w:tc>
              <w:tc>
                <w:tcPr>
                  <w:tcW w:w="367" w:type="pct"/>
                  <w:vMerge w:val="continue"/>
                  <w:vAlign w:val="center"/>
                </w:tcPr>
                <w:p w14:paraId="58FE3771">
                  <w:pPr>
                    <w:jc w:val="center"/>
                    <w:rPr>
                      <w:rFonts w:hint="default" w:ascii="Times New Roman" w:hAnsi="Times New Roman" w:cs="Times New Roman"/>
                      <w:szCs w:val="21"/>
                    </w:rPr>
                  </w:pPr>
                </w:p>
              </w:tc>
              <w:tc>
                <w:tcPr>
                  <w:tcW w:w="580" w:type="pct"/>
                  <w:vAlign w:val="center"/>
                </w:tcPr>
                <w:p w14:paraId="5B7707E7">
                  <w:pPr>
                    <w:jc w:val="center"/>
                    <w:rPr>
                      <w:rFonts w:hint="default" w:ascii="Times New Roman" w:hAnsi="Times New Roman" w:eastAsia="宋体" w:cs="Times New Roman"/>
                      <w:szCs w:val="21"/>
                      <w:lang w:val="en-US" w:eastAsia="zh-CN"/>
                    </w:rPr>
                  </w:pPr>
                  <w:r>
                    <w:rPr>
                      <w:rFonts w:hint="eastAsia" w:cs="Times New Roman"/>
                      <w:szCs w:val="21"/>
                      <w:lang w:val="en-US" w:eastAsia="zh-CN"/>
                    </w:rPr>
                    <w:t>0.0046</w:t>
                  </w:r>
                </w:p>
              </w:tc>
              <w:tc>
                <w:tcPr>
                  <w:tcW w:w="555" w:type="pct"/>
                  <w:vAlign w:val="bottom"/>
                </w:tcPr>
                <w:p w14:paraId="3D2FB815">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0.0002</w:t>
                  </w:r>
                </w:p>
              </w:tc>
              <w:tc>
                <w:tcPr>
                  <w:tcW w:w="383" w:type="pct"/>
                  <w:vMerge w:val="continue"/>
                  <w:vAlign w:val="center"/>
                </w:tcPr>
                <w:p w14:paraId="1A992899">
                  <w:pPr>
                    <w:jc w:val="center"/>
                    <w:rPr>
                      <w:rFonts w:hint="default" w:ascii="Times New Roman" w:hAnsi="Times New Roman" w:cs="Times New Roman"/>
                      <w:szCs w:val="21"/>
                    </w:rPr>
                  </w:pPr>
                </w:p>
              </w:tc>
              <w:tc>
                <w:tcPr>
                  <w:tcW w:w="643" w:type="pct"/>
                  <w:vAlign w:val="bottom"/>
                </w:tcPr>
                <w:p w14:paraId="10AF4575">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1.1875</w:t>
                  </w:r>
                </w:p>
              </w:tc>
              <w:tc>
                <w:tcPr>
                  <w:tcW w:w="603" w:type="pct"/>
                  <w:vAlign w:val="center"/>
                </w:tcPr>
                <w:p w14:paraId="188ADBAE">
                  <w:pPr>
                    <w:widowControl/>
                    <w:adjustRightInd w:val="0"/>
                    <w:snapToGrid w:val="0"/>
                    <w:ind w:left="-73" w:leftChars="-35" w:right="-73" w:rightChars="-35"/>
                    <w:jc w:val="center"/>
                    <w:rPr>
                      <w:rFonts w:hint="default" w:ascii="Times New Roman" w:hAnsi="Times New Roman" w:eastAsia="等线" w:cs="Times New Roman"/>
                      <w:szCs w:val="21"/>
                    </w:rPr>
                  </w:pPr>
                  <w:r>
                    <w:rPr>
                      <w:rFonts w:hint="default" w:ascii="Times New Roman" w:hAnsi="Times New Roman" w:cs="Times New Roman"/>
                    </w:rPr>
                    <w:t>15</w:t>
                  </w:r>
                </w:p>
              </w:tc>
              <w:tc>
                <w:tcPr>
                  <w:tcW w:w="490" w:type="pct"/>
                  <w:vAlign w:val="center"/>
                </w:tcPr>
                <w:p w14:paraId="00D0DE77">
                  <w:pPr>
                    <w:widowControl/>
                    <w:adjustRightInd w:val="0"/>
                    <w:snapToGrid w:val="0"/>
                    <w:ind w:left="-73" w:leftChars="-35" w:right="-73" w:rightChars="-35"/>
                    <w:jc w:val="center"/>
                    <w:rPr>
                      <w:rFonts w:hint="default" w:ascii="Times New Roman" w:hAnsi="Times New Roman" w:eastAsia="等线" w:cs="Times New Roman"/>
                      <w:kern w:val="0"/>
                      <w:szCs w:val="21"/>
                    </w:rPr>
                  </w:pPr>
                  <w:r>
                    <w:rPr>
                      <w:rFonts w:hint="default" w:ascii="Times New Roman" w:hAnsi="Times New Roman" w:eastAsia="等线" w:cs="Times New Roman"/>
                      <w:kern w:val="0"/>
                      <w:szCs w:val="21"/>
                    </w:rPr>
                    <w:t>1.4</w:t>
                  </w:r>
                </w:p>
              </w:tc>
              <w:tc>
                <w:tcPr>
                  <w:tcW w:w="394" w:type="pct"/>
                  <w:vAlign w:val="center"/>
                </w:tcPr>
                <w:p w14:paraId="4BEE9C4B">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42A98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vAlign w:val="center"/>
                </w:tcPr>
                <w:p w14:paraId="7F743C72">
                  <w:pPr>
                    <w:jc w:val="center"/>
                    <w:rPr>
                      <w:rFonts w:hint="default" w:ascii="Times New Roman" w:hAnsi="Times New Roman" w:cs="Times New Roman"/>
                    </w:rPr>
                  </w:pPr>
                </w:p>
              </w:tc>
              <w:tc>
                <w:tcPr>
                  <w:tcW w:w="503" w:type="pct"/>
                  <w:vAlign w:val="center"/>
                </w:tcPr>
                <w:p w14:paraId="3D7B4090">
                  <w:pPr>
                    <w:autoSpaceDE w:val="0"/>
                    <w:autoSpaceDN w:val="0"/>
                    <w:adjustRightInd w:val="0"/>
                    <w:snapToGrid w:val="0"/>
                    <w:jc w:val="center"/>
                    <w:rPr>
                      <w:rFonts w:hint="default" w:ascii="Times New Roman" w:hAnsi="Times New Roman" w:cs="Times New Roman"/>
                      <w:kern w:val="0"/>
                      <w:szCs w:val="21"/>
                      <w:lang w:bidi="ar"/>
                    </w:rPr>
                  </w:pPr>
                  <w:r>
                    <w:rPr>
                      <w:rFonts w:hint="default" w:ascii="Times New Roman" w:hAnsi="Times New Roman" w:cs="Times New Roman"/>
                      <w:szCs w:val="21"/>
                    </w:rPr>
                    <w:t>乙苯</w:t>
                  </w:r>
                </w:p>
              </w:tc>
              <w:tc>
                <w:tcPr>
                  <w:tcW w:w="367" w:type="pct"/>
                  <w:vMerge w:val="continue"/>
                  <w:vAlign w:val="center"/>
                </w:tcPr>
                <w:p w14:paraId="4D06F497">
                  <w:pPr>
                    <w:jc w:val="center"/>
                    <w:rPr>
                      <w:rFonts w:hint="default" w:ascii="Times New Roman" w:hAnsi="Times New Roman" w:cs="Times New Roman"/>
                      <w:szCs w:val="21"/>
                    </w:rPr>
                  </w:pPr>
                </w:p>
              </w:tc>
              <w:tc>
                <w:tcPr>
                  <w:tcW w:w="580" w:type="pct"/>
                  <w:vAlign w:val="center"/>
                </w:tcPr>
                <w:p w14:paraId="609B071E">
                  <w:pPr>
                    <w:jc w:val="center"/>
                    <w:rPr>
                      <w:rFonts w:hint="default" w:ascii="Times New Roman" w:hAnsi="Times New Roman" w:eastAsia="宋体" w:cs="Times New Roman"/>
                      <w:szCs w:val="21"/>
                      <w:lang w:val="en-US" w:eastAsia="zh-CN"/>
                    </w:rPr>
                  </w:pPr>
                  <w:r>
                    <w:rPr>
                      <w:rFonts w:hint="eastAsia" w:cs="Times New Roman"/>
                      <w:szCs w:val="21"/>
                      <w:lang w:val="en-US" w:eastAsia="zh-CN"/>
                    </w:rPr>
                    <w:t>0.0005</w:t>
                  </w:r>
                </w:p>
              </w:tc>
              <w:tc>
                <w:tcPr>
                  <w:tcW w:w="555" w:type="pct"/>
                  <w:vAlign w:val="bottom"/>
                </w:tcPr>
                <w:p w14:paraId="646F90FB">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0.00002</w:t>
                  </w:r>
                </w:p>
              </w:tc>
              <w:tc>
                <w:tcPr>
                  <w:tcW w:w="383" w:type="pct"/>
                  <w:vMerge w:val="continue"/>
                  <w:vAlign w:val="center"/>
                </w:tcPr>
                <w:p w14:paraId="220E44C0">
                  <w:pPr>
                    <w:jc w:val="center"/>
                    <w:rPr>
                      <w:rFonts w:hint="default" w:ascii="Times New Roman" w:hAnsi="Times New Roman" w:cs="Times New Roman"/>
                      <w:szCs w:val="21"/>
                    </w:rPr>
                  </w:pPr>
                </w:p>
              </w:tc>
              <w:tc>
                <w:tcPr>
                  <w:tcW w:w="643" w:type="pct"/>
                  <w:vAlign w:val="bottom"/>
                </w:tcPr>
                <w:p w14:paraId="3CA07468">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0.1188</w:t>
                  </w:r>
                </w:p>
              </w:tc>
              <w:tc>
                <w:tcPr>
                  <w:tcW w:w="603" w:type="pct"/>
                  <w:vAlign w:val="center"/>
                </w:tcPr>
                <w:p w14:paraId="0B175791">
                  <w:pPr>
                    <w:widowControl/>
                    <w:adjustRightInd w:val="0"/>
                    <w:snapToGrid w:val="0"/>
                    <w:ind w:left="-73" w:leftChars="-35" w:right="-73" w:rightChars="-35"/>
                    <w:jc w:val="center"/>
                    <w:rPr>
                      <w:rFonts w:hint="default" w:ascii="Times New Roman" w:hAnsi="Times New Roman" w:eastAsia="等线" w:cs="Times New Roman"/>
                      <w:szCs w:val="21"/>
                    </w:rPr>
                  </w:pPr>
                  <w:r>
                    <w:rPr>
                      <w:rFonts w:hint="default" w:ascii="Times New Roman" w:hAnsi="Times New Roman" w:cs="Times New Roman"/>
                    </w:rPr>
                    <w:t>40</w:t>
                  </w:r>
                </w:p>
              </w:tc>
              <w:tc>
                <w:tcPr>
                  <w:tcW w:w="490" w:type="pct"/>
                  <w:vAlign w:val="center"/>
                </w:tcPr>
                <w:p w14:paraId="0086E1EE">
                  <w:pPr>
                    <w:widowControl/>
                    <w:adjustRightInd w:val="0"/>
                    <w:snapToGrid w:val="0"/>
                    <w:ind w:left="-73" w:leftChars="-35" w:right="-73" w:rightChars="-35"/>
                    <w:jc w:val="center"/>
                    <w:rPr>
                      <w:rFonts w:hint="default" w:ascii="Times New Roman" w:hAnsi="Times New Roman" w:eastAsia="等线" w:cs="Times New Roman"/>
                      <w:kern w:val="0"/>
                      <w:szCs w:val="21"/>
                    </w:rPr>
                  </w:pPr>
                  <w:r>
                    <w:rPr>
                      <w:rFonts w:hint="default" w:ascii="Times New Roman" w:hAnsi="Times New Roman" w:eastAsia="等线" w:cs="Times New Roman"/>
                      <w:kern w:val="0"/>
                      <w:szCs w:val="21"/>
                    </w:rPr>
                    <w:t>2.7</w:t>
                  </w:r>
                </w:p>
              </w:tc>
              <w:tc>
                <w:tcPr>
                  <w:tcW w:w="394" w:type="pct"/>
                  <w:vAlign w:val="center"/>
                </w:tcPr>
                <w:p w14:paraId="625BD78D">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4CF07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tcBorders>
                    <w:bottom w:val="single" w:color="auto" w:sz="4" w:space="0"/>
                  </w:tcBorders>
                  <w:vAlign w:val="center"/>
                </w:tcPr>
                <w:p w14:paraId="48EEAE7D">
                  <w:pPr>
                    <w:jc w:val="center"/>
                    <w:rPr>
                      <w:rFonts w:hint="default" w:ascii="Times New Roman" w:hAnsi="Times New Roman" w:cs="Times New Roman"/>
                    </w:rPr>
                  </w:pPr>
                </w:p>
              </w:tc>
              <w:tc>
                <w:tcPr>
                  <w:tcW w:w="503" w:type="pct"/>
                  <w:vAlign w:val="center"/>
                </w:tcPr>
                <w:p w14:paraId="5C2014A2">
                  <w:pPr>
                    <w:autoSpaceDE w:val="0"/>
                    <w:autoSpaceDN w:val="0"/>
                    <w:adjustRightInd w:val="0"/>
                    <w:snapToGrid w:val="0"/>
                    <w:jc w:val="center"/>
                    <w:rPr>
                      <w:rFonts w:hint="default" w:ascii="Times New Roman" w:hAnsi="Times New Roman" w:cs="Times New Roman"/>
                      <w:kern w:val="0"/>
                      <w:szCs w:val="21"/>
                      <w:lang w:bidi="ar"/>
                    </w:rPr>
                  </w:pPr>
                  <w:r>
                    <w:rPr>
                      <w:rFonts w:hint="default" w:ascii="Times New Roman" w:hAnsi="Times New Roman" w:cs="Times New Roman"/>
                      <w:szCs w:val="21"/>
                      <w:lang w:val="en-US" w:eastAsia="zh-CN"/>
                    </w:rPr>
                    <w:t>漆雾</w:t>
                  </w:r>
                </w:p>
              </w:tc>
              <w:tc>
                <w:tcPr>
                  <w:tcW w:w="367" w:type="pct"/>
                  <w:vMerge w:val="continue"/>
                  <w:vAlign w:val="center"/>
                </w:tcPr>
                <w:p w14:paraId="47693F5D">
                  <w:pPr>
                    <w:jc w:val="center"/>
                    <w:rPr>
                      <w:rFonts w:hint="default" w:ascii="Times New Roman" w:hAnsi="Times New Roman" w:cs="Times New Roman"/>
                      <w:szCs w:val="21"/>
                    </w:rPr>
                  </w:pPr>
                </w:p>
              </w:tc>
              <w:tc>
                <w:tcPr>
                  <w:tcW w:w="580" w:type="pct"/>
                  <w:vAlign w:val="center"/>
                </w:tcPr>
                <w:p w14:paraId="4F692730">
                  <w:pPr>
                    <w:jc w:val="center"/>
                    <w:rPr>
                      <w:rFonts w:hint="default" w:ascii="Times New Roman" w:hAnsi="Times New Roman" w:eastAsia="宋体" w:cs="Times New Roman"/>
                      <w:szCs w:val="21"/>
                      <w:lang w:val="en-US" w:eastAsia="zh-CN"/>
                    </w:rPr>
                  </w:pPr>
                  <w:r>
                    <w:rPr>
                      <w:rFonts w:hint="eastAsia" w:cs="Times New Roman"/>
                      <w:szCs w:val="21"/>
                      <w:lang w:val="en-US" w:eastAsia="zh-CN"/>
                    </w:rPr>
                    <w:t>0.1270</w:t>
                  </w:r>
                </w:p>
              </w:tc>
              <w:tc>
                <w:tcPr>
                  <w:tcW w:w="555" w:type="pct"/>
                  <w:vAlign w:val="bottom"/>
                </w:tcPr>
                <w:p w14:paraId="65C98E0F">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0.0068</w:t>
                  </w:r>
                </w:p>
              </w:tc>
              <w:tc>
                <w:tcPr>
                  <w:tcW w:w="383" w:type="pct"/>
                  <w:vMerge w:val="continue"/>
                  <w:vAlign w:val="center"/>
                </w:tcPr>
                <w:p w14:paraId="7D6D1807">
                  <w:pPr>
                    <w:jc w:val="center"/>
                    <w:rPr>
                      <w:rFonts w:hint="default" w:ascii="Times New Roman" w:hAnsi="Times New Roman" w:cs="Times New Roman"/>
                      <w:szCs w:val="21"/>
                    </w:rPr>
                  </w:pPr>
                </w:p>
              </w:tc>
              <w:tc>
                <w:tcPr>
                  <w:tcW w:w="643" w:type="pct"/>
                  <w:vAlign w:val="bottom"/>
                </w:tcPr>
                <w:p w14:paraId="55BF3490">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32.675</w:t>
                  </w:r>
                </w:p>
              </w:tc>
              <w:tc>
                <w:tcPr>
                  <w:tcW w:w="603" w:type="pct"/>
                  <w:vAlign w:val="center"/>
                </w:tcPr>
                <w:p w14:paraId="77D4CA6A">
                  <w:pPr>
                    <w:widowControl/>
                    <w:adjustRightInd w:val="0"/>
                    <w:snapToGrid w:val="0"/>
                    <w:ind w:left="-73" w:leftChars="-35" w:right="-73" w:rightChars="-35"/>
                    <w:jc w:val="center"/>
                    <w:rPr>
                      <w:rFonts w:hint="default" w:ascii="Times New Roman" w:hAnsi="Times New Roman" w:eastAsia="等线" w:cs="Times New Roman"/>
                      <w:szCs w:val="21"/>
                    </w:rPr>
                  </w:pPr>
                  <w:r>
                    <w:rPr>
                      <w:rFonts w:hint="default" w:ascii="Times New Roman" w:hAnsi="Times New Roman" w:eastAsia="等线" w:cs="Times New Roman"/>
                      <w:kern w:val="0"/>
                      <w:szCs w:val="21"/>
                    </w:rPr>
                    <w:t>20</w:t>
                  </w:r>
                </w:p>
              </w:tc>
              <w:tc>
                <w:tcPr>
                  <w:tcW w:w="490" w:type="pct"/>
                  <w:vAlign w:val="center"/>
                </w:tcPr>
                <w:p w14:paraId="42D571B3">
                  <w:pPr>
                    <w:widowControl/>
                    <w:adjustRightInd w:val="0"/>
                    <w:snapToGrid w:val="0"/>
                    <w:ind w:left="-73" w:leftChars="-35" w:right="-73" w:rightChars="-35"/>
                    <w:jc w:val="center"/>
                    <w:rPr>
                      <w:rFonts w:hint="default" w:ascii="Times New Roman" w:hAnsi="Times New Roman" w:eastAsia="等线" w:cs="Times New Roman"/>
                      <w:kern w:val="0"/>
                      <w:szCs w:val="21"/>
                    </w:rPr>
                  </w:pPr>
                  <w:r>
                    <w:rPr>
                      <w:rFonts w:hint="default" w:ascii="Times New Roman" w:hAnsi="Times New Roman" w:eastAsia="等线" w:cs="Times New Roman"/>
                      <w:kern w:val="0"/>
                      <w:szCs w:val="21"/>
                    </w:rPr>
                    <w:t>1.4</w:t>
                  </w:r>
                </w:p>
              </w:tc>
              <w:tc>
                <w:tcPr>
                  <w:tcW w:w="394" w:type="pct"/>
                  <w:vAlign w:val="center"/>
                </w:tcPr>
                <w:p w14:paraId="302458B9">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5879C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restart"/>
                  <w:tcBorders>
                    <w:top w:val="single" w:color="auto" w:sz="4" w:space="0"/>
                  </w:tcBorders>
                  <w:vAlign w:val="center"/>
                </w:tcPr>
                <w:p w14:paraId="3D0C283F">
                  <w:pPr>
                    <w:jc w:val="center"/>
                    <w:rPr>
                      <w:rFonts w:hint="default" w:ascii="Times New Roman" w:hAnsi="Times New Roman" w:cs="Times New Roman"/>
                    </w:rPr>
                  </w:pPr>
                  <w:r>
                    <w:rPr>
                      <w:rFonts w:hint="default" w:ascii="Times New Roman" w:hAnsi="Times New Roman" w:cs="Times New Roman"/>
                    </w:rPr>
                    <w:t>DA005</w:t>
                  </w:r>
                </w:p>
              </w:tc>
              <w:tc>
                <w:tcPr>
                  <w:tcW w:w="503" w:type="pct"/>
                  <w:vAlign w:val="center"/>
                </w:tcPr>
                <w:p w14:paraId="359E40CB">
                  <w:pPr>
                    <w:keepNext w:val="0"/>
                    <w:keepLines w:val="0"/>
                    <w:widowControl/>
                    <w:suppressLineNumbers w:val="0"/>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367" w:type="pct"/>
                  <w:vMerge w:val="continue"/>
                  <w:vAlign w:val="center"/>
                </w:tcPr>
                <w:p w14:paraId="7B350086">
                  <w:pPr>
                    <w:jc w:val="center"/>
                    <w:rPr>
                      <w:rFonts w:hint="default" w:ascii="Times New Roman" w:hAnsi="Times New Roman" w:cs="Times New Roman"/>
                      <w:szCs w:val="21"/>
                    </w:rPr>
                  </w:pPr>
                </w:p>
              </w:tc>
              <w:tc>
                <w:tcPr>
                  <w:tcW w:w="580" w:type="pct"/>
                  <w:vAlign w:val="center"/>
                </w:tcPr>
                <w:p w14:paraId="47A16BC3">
                  <w:pPr>
                    <w:jc w:val="center"/>
                    <w:rPr>
                      <w:rFonts w:hint="default" w:ascii="Times New Roman" w:hAnsi="Times New Roman" w:cs="Times New Roman"/>
                      <w:szCs w:val="21"/>
                    </w:rPr>
                  </w:pPr>
                  <w:r>
                    <w:rPr>
                      <w:rFonts w:hint="eastAsia" w:cs="Times New Roman"/>
                      <w:szCs w:val="21"/>
                      <w:lang w:val="en-US" w:eastAsia="zh-CN"/>
                    </w:rPr>
                    <w:t>26.302</w:t>
                  </w:r>
                </w:p>
              </w:tc>
              <w:tc>
                <w:tcPr>
                  <w:tcW w:w="555" w:type="pct"/>
                  <w:vAlign w:val="bottom"/>
                </w:tcPr>
                <w:p w14:paraId="7CF52DCC">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0.3798</w:t>
                  </w:r>
                </w:p>
              </w:tc>
              <w:tc>
                <w:tcPr>
                  <w:tcW w:w="383" w:type="pct"/>
                  <w:vMerge w:val="continue"/>
                  <w:vAlign w:val="center"/>
                </w:tcPr>
                <w:p w14:paraId="61C4E34E">
                  <w:pPr>
                    <w:jc w:val="center"/>
                    <w:rPr>
                      <w:rFonts w:hint="default" w:ascii="Times New Roman" w:hAnsi="Times New Roman" w:cs="Times New Roman"/>
                      <w:szCs w:val="21"/>
                    </w:rPr>
                  </w:pPr>
                </w:p>
              </w:tc>
              <w:tc>
                <w:tcPr>
                  <w:tcW w:w="643" w:type="pct"/>
                  <w:vAlign w:val="bottom"/>
                </w:tcPr>
                <w:p w14:paraId="0000A4A4">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1823.069</w:t>
                  </w:r>
                </w:p>
              </w:tc>
              <w:tc>
                <w:tcPr>
                  <w:tcW w:w="603" w:type="pct"/>
                  <w:vAlign w:val="center"/>
                </w:tcPr>
                <w:p w14:paraId="1E11D8BD">
                  <w:pPr>
                    <w:keepNext w:val="0"/>
                    <w:keepLines w:val="0"/>
                    <w:widowControl/>
                    <w:suppressLineNumbers w:val="0"/>
                    <w:jc w:val="center"/>
                    <w:textAlignment w:val="center"/>
                    <w:rPr>
                      <w:rFonts w:hint="default" w:ascii="Times New Roman" w:hAnsi="Times New Roman" w:eastAsia="等线" w:cs="Times New Roman"/>
                      <w:szCs w:val="21"/>
                    </w:rPr>
                  </w:pPr>
                  <w:r>
                    <w:rPr>
                      <w:rFonts w:hint="default" w:ascii="Times New Roman" w:hAnsi="Times New Roman" w:cs="Times New Roman"/>
                      <w:color w:val="auto"/>
                      <w:sz w:val="21"/>
                      <w:szCs w:val="21"/>
                      <w:highlight w:val="none"/>
                      <w:lang w:val="en-US" w:eastAsia="zh-CN"/>
                    </w:rPr>
                    <w:t>60</w:t>
                  </w:r>
                </w:p>
              </w:tc>
              <w:tc>
                <w:tcPr>
                  <w:tcW w:w="490" w:type="pct"/>
                  <w:vAlign w:val="center"/>
                </w:tcPr>
                <w:p w14:paraId="13F7580D">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3.4</w:t>
                  </w:r>
                </w:p>
              </w:tc>
              <w:tc>
                <w:tcPr>
                  <w:tcW w:w="394" w:type="pct"/>
                </w:tcPr>
                <w:p w14:paraId="16C737C3">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5B4AE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vAlign w:val="center"/>
                </w:tcPr>
                <w:p w14:paraId="541058EE">
                  <w:pPr>
                    <w:jc w:val="center"/>
                    <w:rPr>
                      <w:rFonts w:hint="default" w:ascii="Times New Roman" w:hAnsi="Times New Roman" w:cs="Times New Roman"/>
                    </w:rPr>
                  </w:pPr>
                </w:p>
              </w:tc>
              <w:tc>
                <w:tcPr>
                  <w:tcW w:w="503" w:type="pct"/>
                  <w:vAlign w:val="center"/>
                </w:tcPr>
                <w:p w14:paraId="23C25A46">
                  <w:pPr>
                    <w:autoSpaceDE w:val="0"/>
                    <w:autoSpaceDN w:val="0"/>
                    <w:adjustRightInd w:val="0"/>
                    <w:snapToGrid w:val="0"/>
                    <w:jc w:val="center"/>
                    <w:rPr>
                      <w:rFonts w:hint="default" w:ascii="Times New Roman" w:hAnsi="Times New Roman" w:cs="Times New Roman"/>
                      <w:kern w:val="0"/>
                      <w:szCs w:val="21"/>
                      <w:lang w:bidi="ar"/>
                    </w:rPr>
                  </w:pPr>
                  <w:r>
                    <w:rPr>
                      <w:rFonts w:hint="default" w:ascii="Times New Roman" w:hAnsi="Times New Roman" w:cs="Times New Roman"/>
                      <w:szCs w:val="21"/>
                    </w:rPr>
                    <w:t>二甲苯</w:t>
                  </w:r>
                </w:p>
              </w:tc>
              <w:tc>
                <w:tcPr>
                  <w:tcW w:w="367" w:type="pct"/>
                  <w:vMerge w:val="continue"/>
                  <w:vAlign w:val="center"/>
                </w:tcPr>
                <w:p w14:paraId="09D39A43">
                  <w:pPr>
                    <w:jc w:val="center"/>
                    <w:rPr>
                      <w:rFonts w:hint="default" w:ascii="Times New Roman" w:hAnsi="Times New Roman" w:cs="Times New Roman"/>
                      <w:szCs w:val="21"/>
                    </w:rPr>
                  </w:pPr>
                </w:p>
              </w:tc>
              <w:tc>
                <w:tcPr>
                  <w:tcW w:w="580" w:type="pct"/>
                  <w:vAlign w:val="center"/>
                </w:tcPr>
                <w:p w14:paraId="4A2CAAB8">
                  <w:pPr>
                    <w:jc w:val="center"/>
                    <w:rPr>
                      <w:rFonts w:hint="default" w:ascii="Times New Roman" w:hAnsi="Times New Roman" w:eastAsia="宋体" w:cs="Times New Roman"/>
                      <w:szCs w:val="21"/>
                      <w:lang w:val="en-US" w:eastAsia="zh-CN"/>
                    </w:rPr>
                  </w:pPr>
                  <w:r>
                    <w:rPr>
                      <w:rFonts w:hint="eastAsia" w:cs="Times New Roman"/>
                      <w:szCs w:val="21"/>
                      <w:lang w:val="en-US" w:eastAsia="zh-CN"/>
                    </w:rPr>
                    <w:t>0.0428</w:t>
                  </w:r>
                </w:p>
              </w:tc>
              <w:tc>
                <w:tcPr>
                  <w:tcW w:w="555" w:type="pct"/>
                  <w:vAlign w:val="bottom"/>
                </w:tcPr>
                <w:p w14:paraId="14D887DD">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0.0062</w:t>
                  </w:r>
                </w:p>
              </w:tc>
              <w:tc>
                <w:tcPr>
                  <w:tcW w:w="383" w:type="pct"/>
                  <w:vMerge w:val="continue"/>
                  <w:vAlign w:val="center"/>
                </w:tcPr>
                <w:p w14:paraId="336E8C98">
                  <w:pPr>
                    <w:jc w:val="center"/>
                    <w:rPr>
                      <w:rFonts w:hint="default" w:ascii="Times New Roman" w:hAnsi="Times New Roman" w:cs="Times New Roman"/>
                      <w:szCs w:val="21"/>
                    </w:rPr>
                  </w:pPr>
                </w:p>
              </w:tc>
              <w:tc>
                <w:tcPr>
                  <w:tcW w:w="643" w:type="pct"/>
                  <w:vAlign w:val="bottom"/>
                </w:tcPr>
                <w:p w14:paraId="05204510">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29.688</w:t>
                  </w:r>
                </w:p>
              </w:tc>
              <w:tc>
                <w:tcPr>
                  <w:tcW w:w="603" w:type="pct"/>
                  <w:vAlign w:val="center"/>
                </w:tcPr>
                <w:p w14:paraId="16A8C32F">
                  <w:pPr>
                    <w:adjustRightInd w:val="0"/>
                    <w:snapToGrid w:val="0"/>
                    <w:jc w:val="center"/>
                    <w:rPr>
                      <w:rFonts w:hint="default" w:ascii="Times New Roman" w:hAnsi="Times New Roman" w:eastAsia="等线" w:cs="Times New Roman"/>
                      <w:szCs w:val="21"/>
                    </w:rPr>
                  </w:pPr>
                  <w:r>
                    <w:rPr>
                      <w:rFonts w:hint="default" w:ascii="Times New Roman" w:hAnsi="Times New Roman" w:cs="Times New Roman"/>
                      <w:bCs/>
                      <w:szCs w:val="21"/>
                      <w:lang w:val="en-US" w:eastAsia="zh-CN"/>
                    </w:rPr>
                    <w:t>15</w:t>
                  </w:r>
                </w:p>
              </w:tc>
              <w:tc>
                <w:tcPr>
                  <w:tcW w:w="490" w:type="pct"/>
                  <w:vAlign w:val="center"/>
                </w:tcPr>
                <w:p w14:paraId="2CD7287D">
                  <w:pPr>
                    <w:pStyle w:val="84"/>
                    <w:adjustRightInd w:val="0"/>
                    <w:snapToGrid w:val="0"/>
                    <w:jc w:val="center"/>
                    <w:rPr>
                      <w:rFonts w:hint="default" w:ascii="Times New Roman" w:hAnsi="Times New Roman" w:eastAsia="等线" w:cs="Times New Roman"/>
                      <w:kern w:val="0"/>
                      <w:szCs w:val="21"/>
                    </w:rPr>
                  </w:pPr>
                  <w:r>
                    <w:rPr>
                      <w:rFonts w:hint="default" w:ascii="Times New Roman" w:hAnsi="Times New Roman" w:cs="Times New Roman"/>
                      <w:bCs/>
                      <w:szCs w:val="21"/>
                      <w:lang w:val="en-US" w:eastAsia="zh-CN"/>
                    </w:rPr>
                    <w:t>0.9</w:t>
                  </w:r>
                </w:p>
              </w:tc>
              <w:tc>
                <w:tcPr>
                  <w:tcW w:w="394" w:type="pct"/>
                </w:tcPr>
                <w:p w14:paraId="66D6BDA6">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411FC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vAlign w:val="center"/>
                </w:tcPr>
                <w:p w14:paraId="56C8D6C0">
                  <w:pPr>
                    <w:jc w:val="center"/>
                    <w:rPr>
                      <w:rFonts w:hint="default" w:ascii="Times New Roman" w:hAnsi="Times New Roman" w:cs="Times New Roman"/>
                    </w:rPr>
                  </w:pPr>
                </w:p>
              </w:tc>
              <w:tc>
                <w:tcPr>
                  <w:tcW w:w="503" w:type="pct"/>
                  <w:vAlign w:val="center"/>
                </w:tcPr>
                <w:p w14:paraId="78CF3821">
                  <w:pPr>
                    <w:autoSpaceDE w:val="0"/>
                    <w:autoSpaceDN w:val="0"/>
                    <w:adjustRightInd w:val="0"/>
                    <w:snapToGrid w:val="0"/>
                    <w:jc w:val="center"/>
                    <w:rPr>
                      <w:rFonts w:hint="default" w:ascii="Times New Roman" w:hAnsi="Times New Roman" w:cs="Times New Roman"/>
                      <w:kern w:val="0"/>
                      <w:szCs w:val="21"/>
                      <w:lang w:bidi="ar"/>
                    </w:rPr>
                  </w:pPr>
                  <w:r>
                    <w:rPr>
                      <w:rFonts w:hint="default" w:ascii="Times New Roman" w:hAnsi="Times New Roman" w:cs="Times New Roman"/>
                      <w:szCs w:val="21"/>
                    </w:rPr>
                    <w:t>乙苯</w:t>
                  </w:r>
                </w:p>
              </w:tc>
              <w:tc>
                <w:tcPr>
                  <w:tcW w:w="367" w:type="pct"/>
                  <w:vMerge w:val="continue"/>
                  <w:vAlign w:val="center"/>
                </w:tcPr>
                <w:p w14:paraId="7164D5E1">
                  <w:pPr>
                    <w:jc w:val="center"/>
                    <w:rPr>
                      <w:rFonts w:hint="default" w:ascii="Times New Roman" w:hAnsi="Times New Roman" w:cs="Times New Roman"/>
                      <w:szCs w:val="21"/>
                    </w:rPr>
                  </w:pPr>
                </w:p>
              </w:tc>
              <w:tc>
                <w:tcPr>
                  <w:tcW w:w="580" w:type="pct"/>
                  <w:vAlign w:val="center"/>
                </w:tcPr>
                <w:p w14:paraId="5DDE515C">
                  <w:pPr>
                    <w:jc w:val="center"/>
                    <w:rPr>
                      <w:rFonts w:hint="default" w:ascii="Times New Roman" w:hAnsi="Times New Roman" w:eastAsia="宋体" w:cs="Times New Roman"/>
                      <w:szCs w:val="21"/>
                      <w:lang w:val="en-US" w:eastAsia="zh-CN"/>
                    </w:rPr>
                  </w:pPr>
                  <w:r>
                    <w:rPr>
                      <w:rFonts w:hint="eastAsia" w:cs="Times New Roman"/>
                      <w:szCs w:val="21"/>
                      <w:lang w:val="en-US" w:eastAsia="zh-CN"/>
                    </w:rPr>
                    <w:t>0.0063</w:t>
                  </w:r>
                </w:p>
              </w:tc>
              <w:tc>
                <w:tcPr>
                  <w:tcW w:w="555" w:type="pct"/>
                  <w:vAlign w:val="bottom"/>
                </w:tcPr>
                <w:p w14:paraId="771DE515">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0.0009</w:t>
                  </w:r>
                </w:p>
              </w:tc>
              <w:tc>
                <w:tcPr>
                  <w:tcW w:w="383" w:type="pct"/>
                  <w:vMerge w:val="continue"/>
                  <w:vAlign w:val="center"/>
                </w:tcPr>
                <w:p w14:paraId="1E12A792">
                  <w:pPr>
                    <w:jc w:val="center"/>
                    <w:rPr>
                      <w:rFonts w:hint="default" w:ascii="Times New Roman" w:hAnsi="Times New Roman" w:cs="Times New Roman"/>
                      <w:szCs w:val="21"/>
                    </w:rPr>
                  </w:pPr>
                </w:p>
              </w:tc>
              <w:tc>
                <w:tcPr>
                  <w:tcW w:w="643" w:type="pct"/>
                  <w:vAlign w:val="bottom"/>
                </w:tcPr>
                <w:p w14:paraId="0E85A116">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4.394</w:t>
                  </w:r>
                </w:p>
              </w:tc>
              <w:tc>
                <w:tcPr>
                  <w:tcW w:w="603" w:type="pct"/>
                  <w:vAlign w:val="center"/>
                </w:tcPr>
                <w:p w14:paraId="6F46C6CB">
                  <w:pPr>
                    <w:keepNext w:val="0"/>
                    <w:keepLines w:val="0"/>
                    <w:widowControl/>
                    <w:suppressLineNumbers w:val="0"/>
                    <w:jc w:val="center"/>
                    <w:textAlignment w:val="center"/>
                    <w:rPr>
                      <w:rFonts w:hint="default" w:ascii="Times New Roman" w:hAnsi="Times New Roman" w:eastAsia="等线" w:cs="Times New Roman"/>
                      <w:szCs w:val="21"/>
                    </w:rPr>
                  </w:pPr>
                  <w:r>
                    <w:rPr>
                      <w:rFonts w:hint="default" w:ascii="Times New Roman" w:hAnsi="Times New Roman" w:cs="Times New Roman"/>
                      <w:i w:val="0"/>
                      <w:iCs w:val="0"/>
                      <w:color w:val="auto"/>
                      <w:kern w:val="0"/>
                      <w:sz w:val="21"/>
                      <w:szCs w:val="21"/>
                      <w:u w:val="none"/>
                      <w:lang w:val="en-US" w:eastAsia="zh-CN" w:bidi="ar"/>
                    </w:rPr>
                    <w:t>40</w:t>
                  </w:r>
                </w:p>
              </w:tc>
              <w:tc>
                <w:tcPr>
                  <w:tcW w:w="490" w:type="pct"/>
                  <w:vAlign w:val="center"/>
                </w:tcPr>
                <w:p w14:paraId="7F80D2DD">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i w:val="0"/>
                      <w:iCs w:val="0"/>
                      <w:color w:val="000000"/>
                      <w:kern w:val="0"/>
                      <w:sz w:val="21"/>
                      <w:szCs w:val="21"/>
                      <w:u w:val="none"/>
                      <w:lang w:val="en-US" w:eastAsia="zh-CN" w:bidi="ar"/>
                    </w:rPr>
                    <w:t>1.4</w:t>
                  </w:r>
                </w:p>
              </w:tc>
              <w:tc>
                <w:tcPr>
                  <w:tcW w:w="394" w:type="pct"/>
                </w:tcPr>
                <w:p w14:paraId="24CF83B6">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498CC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tcBorders>
                    <w:bottom w:val="single" w:color="auto" w:sz="4" w:space="0"/>
                  </w:tcBorders>
                  <w:vAlign w:val="center"/>
                </w:tcPr>
                <w:p w14:paraId="45CE7278">
                  <w:pPr>
                    <w:jc w:val="center"/>
                    <w:rPr>
                      <w:rFonts w:hint="default" w:ascii="Times New Roman" w:hAnsi="Times New Roman" w:cs="Times New Roman"/>
                    </w:rPr>
                  </w:pPr>
                </w:p>
              </w:tc>
              <w:tc>
                <w:tcPr>
                  <w:tcW w:w="503" w:type="pct"/>
                  <w:vAlign w:val="center"/>
                </w:tcPr>
                <w:p w14:paraId="3754BD37">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漆雾</w:t>
                  </w:r>
                </w:p>
              </w:tc>
              <w:tc>
                <w:tcPr>
                  <w:tcW w:w="367" w:type="pct"/>
                  <w:vMerge w:val="continue"/>
                  <w:vAlign w:val="center"/>
                </w:tcPr>
                <w:p w14:paraId="16EF46E0">
                  <w:pPr>
                    <w:jc w:val="center"/>
                    <w:rPr>
                      <w:rFonts w:hint="default" w:ascii="Times New Roman" w:hAnsi="Times New Roman" w:cs="Times New Roman"/>
                      <w:szCs w:val="21"/>
                    </w:rPr>
                  </w:pPr>
                </w:p>
              </w:tc>
              <w:tc>
                <w:tcPr>
                  <w:tcW w:w="580" w:type="pct"/>
                  <w:vAlign w:val="center"/>
                </w:tcPr>
                <w:p w14:paraId="1B57881B">
                  <w:pPr>
                    <w:jc w:val="center"/>
                    <w:rPr>
                      <w:rFonts w:hint="default" w:ascii="Times New Roman" w:hAnsi="Times New Roman" w:eastAsia="宋体" w:cs="Times New Roman"/>
                      <w:szCs w:val="21"/>
                      <w:lang w:val="en-US" w:eastAsia="zh-CN"/>
                    </w:rPr>
                  </w:pPr>
                  <w:r>
                    <w:rPr>
                      <w:rFonts w:hint="eastAsia" w:cs="Times New Roman"/>
                      <w:szCs w:val="21"/>
                      <w:lang w:val="en-US" w:eastAsia="zh-CN"/>
                    </w:rPr>
                    <w:t>0.6917</w:t>
                  </w:r>
                </w:p>
              </w:tc>
              <w:tc>
                <w:tcPr>
                  <w:tcW w:w="555" w:type="pct"/>
                  <w:vAlign w:val="bottom"/>
                </w:tcPr>
                <w:p w14:paraId="2D8EDCB2">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0.0999</w:t>
                  </w:r>
                </w:p>
              </w:tc>
              <w:tc>
                <w:tcPr>
                  <w:tcW w:w="383" w:type="pct"/>
                  <w:vMerge w:val="continue"/>
                  <w:vAlign w:val="center"/>
                </w:tcPr>
                <w:p w14:paraId="2C539446">
                  <w:pPr>
                    <w:jc w:val="center"/>
                    <w:rPr>
                      <w:rFonts w:hint="default" w:ascii="Times New Roman" w:hAnsi="Times New Roman" w:cs="Times New Roman"/>
                      <w:szCs w:val="21"/>
                    </w:rPr>
                  </w:pPr>
                </w:p>
              </w:tc>
              <w:tc>
                <w:tcPr>
                  <w:tcW w:w="643" w:type="pct"/>
                  <w:vAlign w:val="bottom"/>
                </w:tcPr>
                <w:p w14:paraId="40DEDBDC">
                  <w:pPr>
                    <w:widowControl/>
                    <w:jc w:val="center"/>
                    <w:rPr>
                      <w:rFonts w:hint="default" w:ascii="Times New Roman" w:hAnsi="Times New Roman" w:eastAsia="等线" w:cs="Times New Roman"/>
                      <w:kern w:val="0"/>
                      <w:szCs w:val="21"/>
                      <w:lang w:val="en-US"/>
                    </w:rPr>
                  </w:pPr>
                  <w:r>
                    <w:rPr>
                      <w:rFonts w:hint="eastAsia" w:eastAsia="等线" w:cs="Times New Roman"/>
                      <w:kern w:val="0"/>
                      <w:szCs w:val="21"/>
                      <w:lang w:val="en-US" w:eastAsia="zh-CN"/>
                    </w:rPr>
                    <w:t>479.44</w:t>
                  </w:r>
                </w:p>
              </w:tc>
              <w:tc>
                <w:tcPr>
                  <w:tcW w:w="603" w:type="pct"/>
                  <w:vAlign w:val="center"/>
                </w:tcPr>
                <w:p w14:paraId="7C67313C">
                  <w:pPr>
                    <w:keepNext w:val="0"/>
                    <w:keepLines w:val="0"/>
                    <w:widowControl/>
                    <w:suppressLineNumbers w:val="0"/>
                    <w:tabs>
                      <w:tab w:val="left" w:pos="395"/>
                    </w:tabs>
                    <w:jc w:val="center"/>
                    <w:textAlignment w:val="center"/>
                    <w:rPr>
                      <w:rFonts w:hint="default" w:ascii="Times New Roman" w:hAnsi="Times New Roman" w:eastAsia="等线" w:cs="Times New Roman"/>
                      <w:szCs w:val="21"/>
                    </w:rPr>
                  </w:pPr>
                  <w:r>
                    <w:rPr>
                      <w:rFonts w:hint="default" w:ascii="Times New Roman" w:hAnsi="Times New Roman" w:cs="Times New Roman"/>
                      <w:i w:val="0"/>
                      <w:iCs w:val="0"/>
                      <w:color w:val="auto"/>
                      <w:kern w:val="0"/>
                      <w:sz w:val="21"/>
                      <w:szCs w:val="21"/>
                      <w:u w:val="none"/>
                      <w:lang w:val="en-US" w:eastAsia="zh-CN" w:bidi="ar"/>
                    </w:rPr>
                    <w:t>120</w:t>
                  </w:r>
                </w:p>
              </w:tc>
              <w:tc>
                <w:tcPr>
                  <w:tcW w:w="490" w:type="pct"/>
                  <w:vAlign w:val="center"/>
                </w:tcPr>
                <w:p w14:paraId="30749D3D">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i w:val="0"/>
                      <w:iCs w:val="0"/>
                      <w:color w:val="000000"/>
                      <w:kern w:val="0"/>
                      <w:sz w:val="21"/>
                      <w:szCs w:val="21"/>
                      <w:u w:val="none"/>
                      <w:lang w:val="en-US" w:eastAsia="zh-CN" w:bidi="ar"/>
                    </w:rPr>
                    <w:t>3.5</w:t>
                  </w:r>
                </w:p>
              </w:tc>
              <w:tc>
                <w:tcPr>
                  <w:tcW w:w="394" w:type="pct"/>
                  <w:vAlign w:val="center"/>
                </w:tcPr>
                <w:p w14:paraId="0B852BD5">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2EAF7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restart"/>
                  <w:tcBorders>
                    <w:top w:val="single" w:color="auto" w:sz="4" w:space="0"/>
                  </w:tcBorders>
                  <w:vAlign w:val="center"/>
                </w:tcPr>
                <w:p w14:paraId="10930FBC">
                  <w:pPr>
                    <w:jc w:val="center"/>
                    <w:rPr>
                      <w:rFonts w:hint="default" w:ascii="Times New Roman" w:hAnsi="Times New Roman" w:cs="Times New Roman"/>
                    </w:rPr>
                  </w:pPr>
                  <w:r>
                    <w:rPr>
                      <w:rFonts w:hint="default" w:ascii="Times New Roman" w:hAnsi="Times New Roman" w:cs="Times New Roman"/>
                      <w:szCs w:val="21"/>
                    </w:rPr>
                    <w:t>DA006</w:t>
                  </w:r>
                </w:p>
              </w:tc>
              <w:tc>
                <w:tcPr>
                  <w:tcW w:w="503" w:type="pct"/>
                  <w:vAlign w:val="center"/>
                </w:tcPr>
                <w:p w14:paraId="70757E84">
                  <w:pPr>
                    <w:keepNext w:val="0"/>
                    <w:keepLines w:val="0"/>
                    <w:widowControl/>
                    <w:suppressLineNumbers w:val="0"/>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367" w:type="pct"/>
                  <w:vMerge w:val="continue"/>
                  <w:vAlign w:val="center"/>
                </w:tcPr>
                <w:p w14:paraId="743F020F">
                  <w:pPr>
                    <w:jc w:val="center"/>
                    <w:rPr>
                      <w:rFonts w:hint="default" w:ascii="Times New Roman" w:hAnsi="Times New Roman" w:cs="Times New Roman"/>
                      <w:szCs w:val="21"/>
                    </w:rPr>
                  </w:pPr>
                </w:p>
              </w:tc>
              <w:tc>
                <w:tcPr>
                  <w:tcW w:w="580" w:type="pct"/>
                  <w:vAlign w:val="center"/>
                </w:tcPr>
                <w:p w14:paraId="2EC024C2">
                  <w:pPr>
                    <w:tabs>
                      <w:tab w:val="left" w:pos="441"/>
                    </w:tabs>
                    <w:jc w:val="center"/>
                    <w:rPr>
                      <w:rFonts w:hint="default" w:ascii="Times New Roman" w:hAnsi="Times New Roman" w:eastAsia="宋体" w:cs="Times New Roman"/>
                      <w:szCs w:val="21"/>
                      <w:lang w:val="en-US" w:eastAsia="zh-CN"/>
                    </w:rPr>
                  </w:pPr>
                  <w:r>
                    <w:rPr>
                      <w:rFonts w:hint="eastAsia" w:cs="Times New Roman"/>
                      <w:szCs w:val="21"/>
                      <w:lang w:val="en-US" w:eastAsia="zh-CN"/>
                    </w:rPr>
                    <w:t>5.0106</w:t>
                  </w:r>
                </w:p>
              </w:tc>
              <w:tc>
                <w:tcPr>
                  <w:tcW w:w="555" w:type="pct"/>
                  <w:vAlign w:val="center"/>
                </w:tcPr>
                <w:p w14:paraId="525FC367">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0.3798</w:t>
                  </w:r>
                </w:p>
              </w:tc>
              <w:tc>
                <w:tcPr>
                  <w:tcW w:w="383" w:type="pct"/>
                  <w:vMerge w:val="continue"/>
                  <w:vAlign w:val="center"/>
                </w:tcPr>
                <w:p w14:paraId="50D0B199">
                  <w:pPr>
                    <w:jc w:val="center"/>
                    <w:rPr>
                      <w:rFonts w:hint="default" w:ascii="Times New Roman" w:hAnsi="Times New Roman" w:cs="Times New Roman"/>
                      <w:szCs w:val="21"/>
                    </w:rPr>
                  </w:pPr>
                </w:p>
              </w:tc>
              <w:tc>
                <w:tcPr>
                  <w:tcW w:w="643" w:type="pct"/>
                  <w:vAlign w:val="center"/>
                </w:tcPr>
                <w:p w14:paraId="74E4C1CB">
                  <w:pPr>
                    <w:widowControl/>
                    <w:jc w:val="center"/>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1823.069</w:t>
                  </w:r>
                </w:p>
              </w:tc>
              <w:tc>
                <w:tcPr>
                  <w:tcW w:w="603" w:type="pct"/>
                  <w:vAlign w:val="center"/>
                </w:tcPr>
                <w:p w14:paraId="02B614CA">
                  <w:pPr>
                    <w:widowControl/>
                    <w:adjustRightInd w:val="0"/>
                    <w:snapToGrid w:val="0"/>
                    <w:ind w:left="-73" w:leftChars="-35" w:right="-73" w:rightChars="-35"/>
                    <w:jc w:val="center"/>
                    <w:rPr>
                      <w:rFonts w:hint="default" w:ascii="Times New Roman" w:hAnsi="Times New Roman" w:eastAsia="等线" w:cs="Times New Roman"/>
                      <w:szCs w:val="21"/>
                    </w:rPr>
                  </w:pPr>
                  <w:r>
                    <w:rPr>
                      <w:rFonts w:hint="default" w:ascii="Times New Roman" w:hAnsi="Times New Roman" w:cs="Times New Roman"/>
                    </w:rPr>
                    <w:t>60</w:t>
                  </w:r>
                </w:p>
              </w:tc>
              <w:tc>
                <w:tcPr>
                  <w:tcW w:w="490" w:type="pct"/>
                  <w:vAlign w:val="center"/>
                </w:tcPr>
                <w:p w14:paraId="2C08DA44">
                  <w:pPr>
                    <w:widowControl/>
                    <w:adjustRightInd w:val="0"/>
                    <w:snapToGrid w:val="0"/>
                    <w:ind w:left="-73" w:leftChars="-35" w:right="-73" w:rightChars="-35"/>
                    <w:jc w:val="center"/>
                    <w:rPr>
                      <w:rFonts w:hint="default" w:ascii="Times New Roman" w:hAnsi="Times New Roman" w:eastAsia="等线" w:cs="Times New Roman"/>
                      <w:kern w:val="0"/>
                      <w:szCs w:val="21"/>
                    </w:rPr>
                  </w:pPr>
                  <w:r>
                    <w:rPr>
                      <w:rFonts w:hint="default" w:ascii="Times New Roman" w:hAnsi="Times New Roman" w:eastAsia="等线" w:cs="Times New Roman"/>
                      <w:kern w:val="0"/>
                      <w:szCs w:val="21"/>
                    </w:rPr>
                    <w:t>6.8</w:t>
                  </w:r>
                </w:p>
              </w:tc>
              <w:tc>
                <w:tcPr>
                  <w:tcW w:w="394" w:type="pct"/>
                  <w:vAlign w:val="center"/>
                </w:tcPr>
                <w:p w14:paraId="6155004A">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4BD93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vAlign w:val="center"/>
                </w:tcPr>
                <w:p w14:paraId="754F4147">
                  <w:pPr>
                    <w:jc w:val="center"/>
                    <w:rPr>
                      <w:rFonts w:hint="default" w:ascii="Times New Roman" w:hAnsi="Times New Roman" w:cs="Times New Roman"/>
                      <w:szCs w:val="21"/>
                    </w:rPr>
                  </w:pPr>
                </w:p>
              </w:tc>
              <w:tc>
                <w:tcPr>
                  <w:tcW w:w="503" w:type="pct"/>
                  <w:vAlign w:val="center"/>
                </w:tcPr>
                <w:p w14:paraId="3AE8AFA6">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二甲苯</w:t>
                  </w:r>
                </w:p>
              </w:tc>
              <w:tc>
                <w:tcPr>
                  <w:tcW w:w="367" w:type="pct"/>
                  <w:vMerge w:val="continue"/>
                  <w:vAlign w:val="center"/>
                </w:tcPr>
                <w:p w14:paraId="198D099E">
                  <w:pPr>
                    <w:jc w:val="center"/>
                    <w:rPr>
                      <w:rFonts w:hint="default" w:ascii="Times New Roman" w:hAnsi="Times New Roman" w:cs="Times New Roman"/>
                      <w:szCs w:val="21"/>
                    </w:rPr>
                  </w:pPr>
                </w:p>
              </w:tc>
              <w:tc>
                <w:tcPr>
                  <w:tcW w:w="580" w:type="pct"/>
                  <w:vAlign w:val="center"/>
                </w:tcPr>
                <w:p w14:paraId="654A92D8">
                  <w:pPr>
                    <w:jc w:val="center"/>
                    <w:rPr>
                      <w:rFonts w:hint="default" w:ascii="Times New Roman" w:hAnsi="Times New Roman" w:eastAsia="宋体" w:cs="Times New Roman"/>
                      <w:szCs w:val="21"/>
                      <w:lang w:val="en-US" w:eastAsia="zh-CN"/>
                    </w:rPr>
                  </w:pPr>
                  <w:r>
                    <w:rPr>
                      <w:rFonts w:hint="eastAsia" w:cs="Times New Roman"/>
                      <w:szCs w:val="21"/>
                      <w:lang w:val="en-US" w:eastAsia="zh-CN"/>
                    </w:rPr>
                    <w:t>0.0816</w:t>
                  </w:r>
                </w:p>
              </w:tc>
              <w:tc>
                <w:tcPr>
                  <w:tcW w:w="555" w:type="pct"/>
                  <w:vAlign w:val="center"/>
                </w:tcPr>
                <w:p w14:paraId="56BF74EA">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0.0062</w:t>
                  </w:r>
                </w:p>
              </w:tc>
              <w:tc>
                <w:tcPr>
                  <w:tcW w:w="383" w:type="pct"/>
                  <w:vMerge w:val="continue"/>
                  <w:vAlign w:val="center"/>
                </w:tcPr>
                <w:p w14:paraId="2120F288">
                  <w:pPr>
                    <w:jc w:val="center"/>
                    <w:rPr>
                      <w:rFonts w:hint="default" w:ascii="Times New Roman" w:hAnsi="Times New Roman" w:cs="Times New Roman"/>
                      <w:szCs w:val="21"/>
                    </w:rPr>
                  </w:pPr>
                </w:p>
              </w:tc>
              <w:tc>
                <w:tcPr>
                  <w:tcW w:w="643" w:type="pct"/>
                  <w:vAlign w:val="center"/>
                </w:tcPr>
                <w:p w14:paraId="0ACB4786">
                  <w:pPr>
                    <w:widowControl/>
                    <w:tabs>
                      <w:tab w:val="left" w:pos="554"/>
                    </w:tabs>
                    <w:jc w:val="center"/>
                    <w:rPr>
                      <w:rFonts w:hint="eastAsia" w:ascii="Times New Roman" w:hAnsi="Times New Roman" w:eastAsia="等线" w:cs="Times New Roman"/>
                      <w:kern w:val="0"/>
                      <w:szCs w:val="21"/>
                      <w:lang w:eastAsia="zh-CN"/>
                    </w:rPr>
                  </w:pPr>
                  <w:r>
                    <w:rPr>
                      <w:rFonts w:hint="eastAsia" w:eastAsia="等线" w:cs="Times New Roman"/>
                      <w:kern w:val="0"/>
                      <w:szCs w:val="21"/>
                      <w:lang w:val="en-US" w:eastAsia="zh-CN"/>
                    </w:rPr>
                    <w:t>29.688</w:t>
                  </w:r>
                </w:p>
              </w:tc>
              <w:tc>
                <w:tcPr>
                  <w:tcW w:w="603" w:type="pct"/>
                  <w:vAlign w:val="center"/>
                </w:tcPr>
                <w:p w14:paraId="26395C2F">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color w:val="auto"/>
                      <w:sz w:val="21"/>
                      <w:szCs w:val="21"/>
                      <w:highlight w:val="none"/>
                      <w:lang w:val="en-US" w:eastAsia="zh-CN"/>
                    </w:rPr>
                    <w:t>60</w:t>
                  </w:r>
                </w:p>
              </w:tc>
              <w:tc>
                <w:tcPr>
                  <w:tcW w:w="490" w:type="pct"/>
                  <w:vAlign w:val="center"/>
                </w:tcPr>
                <w:p w14:paraId="57B75B84">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3.4</w:t>
                  </w:r>
                </w:p>
              </w:tc>
              <w:tc>
                <w:tcPr>
                  <w:tcW w:w="394" w:type="pct"/>
                  <w:vAlign w:val="center"/>
                </w:tcPr>
                <w:p w14:paraId="1CA92FBD">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7841F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vAlign w:val="center"/>
                </w:tcPr>
                <w:p w14:paraId="05E003DE">
                  <w:pPr>
                    <w:jc w:val="center"/>
                    <w:rPr>
                      <w:rFonts w:hint="default" w:ascii="Times New Roman" w:hAnsi="Times New Roman" w:cs="Times New Roman"/>
                      <w:szCs w:val="21"/>
                    </w:rPr>
                  </w:pPr>
                </w:p>
              </w:tc>
              <w:tc>
                <w:tcPr>
                  <w:tcW w:w="503" w:type="pct"/>
                  <w:vAlign w:val="center"/>
                </w:tcPr>
                <w:p w14:paraId="08A30D4A">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乙苯</w:t>
                  </w:r>
                </w:p>
              </w:tc>
              <w:tc>
                <w:tcPr>
                  <w:tcW w:w="367" w:type="pct"/>
                  <w:vMerge w:val="continue"/>
                  <w:vAlign w:val="center"/>
                </w:tcPr>
                <w:p w14:paraId="01A4FBBD">
                  <w:pPr>
                    <w:jc w:val="center"/>
                    <w:rPr>
                      <w:rFonts w:hint="default" w:ascii="Times New Roman" w:hAnsi="Times New Roman" w:cs="Times New Roman"/>
                      <w:szCs w:val="21"/>
                    </w:rPr>
                  </w:pPr>
                </w:p>
              </w:tc>
              <w:tc>
                <w:tcPr>
                  <w:tcW w:w="580" w:type="pct"/>
                  <w:vAlign w:val="center"/>
                </w:tcPr>
                <w:p w14:paraId="6512C30A">
                  <w:pPr>
                    <w:jc w:val="center"/>
                    <w:rPr>
                      <w:rFonts w:hint="default" w:ascii="Times New Roman" w:hAnsi="Times New Roman" w:eastAsia="宋体" w:cs="Times New Roman"/>
                      <w:szCs w:val="21"/>
                      <w:lang w:val="en-US" w:eastAsia="zh-CN"/>
                    </w:rPr>
                  </w:pPr>
                  <w:r>
                    <w:rPr>
                      <w:rFonts w:hint="eastAsia" w:cs="Times New Roman"/>
                      <w:szCs w:val="21"/>
                      <w:lang w:val="en-US" w:eastAsia="zh-CN"/>
                    </w:rPr>
                    <w:t>0.0121</w:t>
                  </w:r>
                </w:p>
              </w:tc>
              <w:tc>
                <w:tcPr>
                  <w:tcW w:w="555" w:type="pct"/>
                  <w:vAlign w:val="center"/>
                </w:tcPr>
                <w:p w14:paraId="2D21C026">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0.0009</w:t>
                  </w:r>
                </w:p>
              </w:tc>
              <w:tc>
                <w:tcPr>
                  <w:tcW w:w="383" w:type="pct"/>
                  <w:vMerge w:val="continue"/>
                  <w:vAlign w:val="center"/>
                </w:tcPr>
                <w:p w14:paraId="5B8BD81C">
                  <w:pPr>
                    <w:jc w:val="center"/>
                    <w:rPr>
                      <w:rFonts w:hint="default" w:ascii="Times New Roman" w:hAnsi="Times New Roman" w:cs="Times New Roman"/>
                      <w:szCs w:val="21"/>
                    </w:rPr>
                  </w:pPr>
                </w:p>
              </w:tc>
              <w:tc>
                <w:tcPr>
                  <w:tcW w:w="643" w:type="pct"/>
                  <w:vAlign w:val="center"/>
                </w:tcPr>
                <w:p w14:paraId="460B405A">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4.394</w:t>
                  </w:r>
                </w:p>
              </w:tc>
              <w:tc>
                <w:tcPr>
                  <w:tcW w:w="603" w:type="pct"/>
                  <w:vAlign w:val="center"/>
                </w:tcPr>
                <w:p w14:paraId="22D65CBB">
                  <w:pPr>
                    <w:adjustRightInd w:val="0"/>
                    <w:snapToGrid w:val="0"/>
                    <w:jc w:val="center"/>
                    <w:rPr>
                      <w:rFonts w:hint="default" w:ascii="Times New Roman" w:hAnsi="Times New Roman" w:cs="Times New Roman"/>
                    </w:rPr>
                  </w:pPr>
                  <w:r>
                    <w:rPr>
                      <w:rFonts w:hint="default" w:ascii="Times New Roman" w:hAnsi="Times New Roman" w:cs="Times New Roman"/>
                      <w:bCs/>
                      <w:szCs w:val="21"/>
                      <w:lang w:val="en-US" w:eastAsia="zh-CN"/>
                    </w:rPr>
                    <w:t>15</w:t>
                  </w:r>
                </w:p>
              </w:tc>
              <w:tc>
                <w:tcPr>
                  <w:tcW w:w="490" w:type="pct"/>
                  <w:vAlign w:val="center"/>
                </w:tcPr>
                <w:p w14:paraId="04EF154E">
                  <w:pPr>
                    <w:pStyle w:val="84"/>
                    <w:adjustRightInd w:val="0"/>
                    <w:snapToGrid w:val="0"/>
                    <w:jc w:val="center"/>
                    <w:rPr>
                      <w:rFonts w:hint="default" w:ascii="Times New Roman" w:hAnsi="Times New Roman" w:eastAsia="等线" w:cs="Times New Roman"/>
                      <w:kern w:val="0"/>
                      <w:szCs w:val="21"/>
                    </w:rPr>
                  </w:pPr>
                  <w:r>
                    <w:rPr>
                      <w:rFonts w:hint="default" w:ascii="Times New Roman" w:hAnsi="Times New Roman" w:cs="Times New Roman"/>
                      <w:bCs/>
                      <w:szCs w:val="21"/>
                      <w:lang w:val="en-US" w:eastAsia="zh-CN"/>
                    </w:rPr>
                    <w:t>0.9</w:t>
                  </w:r>
                </w:p>
              </w:tc>
              <w:tc>
                <w:tcPr>
                  <w:tcW w:w="394" w:type="pct"/>
                  <w:vAlign w:val="center"/>
                </w:tcPr>
                <w:p w14:paraId="1C07916E">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68A85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tcBorders>
                    <w:bottom w:val="single" w:color="auto" w:sz="4" w:space="0"/>
                  </w:tcBorders>
                  <w:vAlign w:val="center"/>
                </w:tcPr>
                <w:p w14:paraId="2A348E45">
                  <w:pPr>
                    <w:jc w:val="center"/>
                    <w:rPr>
                      <w:rFonts w:hint="default" w:ascii="Times New Roman" w:hAnsi="Times New Roman" w:cs="Times New Roman"/>
                      <w:szCs w:val="21"/>
                    </w:rPr>
                  </w:pPr>
                </w:p>
              </w:tc>
              <w:tc>
                <w:tcPr>
                  <w:tcW w:w="503" w:type="pct"/>
                  <w:vAlign w:val="center"/>
                </w:tcPr>
                <w:p w14:paraId="228FBA8C">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漆雾</w:t>
                  </w:r>
                </w:p>
              </w:tc>
              <w:tc>
                <w:tcPr>
                  <w:tcW w:w="367" w:type="pct"/>
                  <w:vMerge w:val="continue"/>
                  <w:vAlign w:val="center"/>
                </w:tcPr>
                <w:p w14:paraId="7CDD61C6">
                  <w:pPr>
                    <w:jc w:val="center"/>
                    <w:rPr>
                      <w:rFonts w:hint="default" w:ascii="Times New Roman" w:hAnsi="Times New Roman" w:cs="Times New Roman"/>
                      <w:szCs w:val="21"/>
                    </w:rPr>
                  </w:pPr>
                </w:p>
              </w:tc>
              <w:tc>
                <w:tcPr>
                  <w:tcW w:w="580" w:type="pct"/>
                  <w:vAlign w:val="center"/>
                </w:tcPr>
                <w:p w14:paraId="1D7F1A4A">
                  <w:pPr>
                    <w:jc w:val="center"/>
                    <w:rPr>
                      <w:rFonts w:hint="default" w:ascii="Times New Roman" w:hAnsi="Times New Roman" w:cs="Times New Roman"/>
                      <w:szCs w:val="21"/>
                    </w:rPr>
                  </w:pPr>
                  <w:r>
                    <w:rPr>
                      <w:rFonts w:hint="eastAsia" w:cs="Times New Roman"/>
                      <w:szCs w:val="21"/>
                      <w:lang w:val="en-US" w:eastAsia="zh-CN"/>
                    </w:rPr>
                    <w:t>0.6917</w:t>
                  </w:r>
                </w:p>
              </w:tc>
              <w:tc>
                <w:tcPr>
                  <w:tcW w:w="555" w:type="pct"/>
                  <w:vAlign w:val="center"/>
                </w:tcPr>
                <w:p w14:paraId="4F25B80F">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0.0999</w:t>
                  </w:r>
                </w:p>
              </w:tc>
              <w:tc>
                <w:tcPr>
                  <w:tcW w:w="383" w:type="pct"/>
                  <w:vMerge w:val="continue"/>
                  <w:vAlign w:val="center"/>
                </w:tcPr>
                <w:p w14:paraId="35E543EF">
                  <w:pPr>
                    <w:jc w:val="center"/>
                    <w:rPr>
                      <w:rFonts w:hint="default" w:ascii="Times New Roman" w:hAnsi="Times New Roman" w:cs="Times New Roman"/>
                      <w:szCs w:val="21"/>
                    </w:rPr>
                  </w:pPr>
                </w:p>
              </w:tc>
              <w:tc>
                <w:tcPr>
                  <w:tcW w:w="643" w:type="pct"/>
                  <w:vAlign w:val="center"/>
                </w:tcPr>
                <w:p w14:paraId="5BB1D124">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479.44</w:t>
                  </w:r>
                </w:p>
              </w:tc>
              <w:tc>
                <w:tcPr>
                  <w:tcW w:w="603" w:type="pct"/>
                  <w:vAlign w:val="center"/>
                </w:tcPr>
                <w:p w14:paraId="1077AFAA">
                  <w:pPr>
                    <w:keepNext w:val="0"/>
                    <w:keepLines w:val="0"/>
                    <w:widowControl/>
                    <w:suppressLineNumbers w:val="0"/>
                    <w:tabs>
                      <w:tab w:val="left" w:pos="395"/>
                    </w:tabs>
                    <w:jc w:val="center"/>
                    <w:textAlignment w:val="center"/>
                    <w:rPr>
                      <w:rFonts w:hint="default" w:ascii="Times New Roman" w:hAnsi="Times New Roman" w:cs="Times New Roman"/>
                    </w:rPr>
                  </w:pPr>
                  <w:r>
                    <w:rPr>
                      <w:rFonts w:hint="default" w:ascii="Times New Roman" w:hAnsi="Times New Roman" w:cs="Times New Roman"/>
                      <w:i w:val="0"/>
                      <w:iCs w:val="0"/>
                      <w:color w:val="auto"/>
                      <w:kern w:val="0"/>
                      <w:sz w:val="21"/>
                      <w:szCs w:val="21"/>
                      <w:u w:val="none"/>
                      <w:lang w:val="en-US" w:eastAsia="zh-CN" w:bidi="ar"/>
                    </w:rPr>
                    <w:t>5</w:t>
                  </w:r>
                </w:p>
              </w:tc>
              <w:tc>
                <w:tcPr>
                  <w:tcW w:w="490" w:type="pct"/>
                  <w:vAlign w:val="center"/>
                </w:tcPr>
                <w:p w14:paraId="0ECA1948">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i w:val="0"/>
                      <w:iCs w:val="0"/>
                      <w:color w:val="000000"/>
                      <w:kern w:val="0"/>
                      <w:sz w:val="21"/>
                      <w:szCs w:val="21"/>
                      <w:u w:val="none"/>
                      <w:lang w:val="en-US" w:eastAsia="zh-CN" w:bidi="ar"/>
                    </w:rPr>
                    <w:t>0.6</w:t>
                  </w:r>
                </w:p>
              </w:tc>
              <w:tc>
                <w:tcPr>
                  <w:tcW w:w="394" w:type="pct"/>
                  <w:vAlign w:val="center"/>
                </w:tcPr>
                <w:p w14:paraId="2DD3554A">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313FD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restart"/>
                  <w:tcBorders>
                    <w:top w:val="single" w:color="auto" w:sz="4" w:space="0"/>
                  </w:tcBorders>
                  <w:vAlign w:val="center"/>
                </w:tcPr>
                <w:p w14:paraId="1AD65CE0">
                  <w:pPr>
                    <w:jc w:val="center"/>
                    <w:rPr>
                      <w:rFonts w:hint="default" w:ascii="Times New Roman" w:hAnsi="Times New Roman" w:cs="Times New Roman"/>
                    </w:rPr>
                  </w:pPr>
                  <w:r>
                    <w:rPr>
                      <w:rFonts w:hint="default" w:ascii="Times New Roman" w:hAnsi="Times New Roman" w:cs="Times New Roman"/>
                      <w:szCs w:val="21"/>
                    </w:rPr>
                    <w:t>DA007</w:t>
                  </w:r>
                </w:p>
              </w:tc>
              <w:tc>
                <w:tcPr>
                  <w:tcW w:w="503" w:type="pct"/>
                  <w:vAlign w:val="center"/>
                </w:tcPr>
                <w:p w14:paraId="4FE034FD">
                  <w:pPr>
                    <w:keepNext w:val="0"/>
                    <w:keepLines w:val="0"/>
                    <w:widowControl/>
                    <w:suppressLineNumbers w:val="0"/>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367" w:type="pct"/>
                  <w:vMerge w:val="continue"/>
                  <w:vAlign w:val="center"/>
                </w:tcPr>
                <w:p w14:paraId="08802AB5">
                  <w:pPr>
                    <w:jc w:val="center"/>
                    <w:rPr>
                      <w:rFonts w:hint="default" w:ascii="Times New Roman" w:hAnsi="Times New Roman" w:cs="Times New Roman"/>
                      <w:szCs w:val="21"/>
                    </w:rPr>
                  </w:pPr>
                </w:p>
              </w:tc>
              <w:tc>
                <w:tcPr>
                  <w:tcW w:w="580" w:type="pct"/>
                  <w:vAlign w:val="center"/>
                </w:tcPr>
                <w:p w14:paraId="6E5FAAE3">
                  <w:pPr>
                    <w:jc w:val="center"/>
                    <w:rPr>
                      <w:rFonts w:hint="default" w:ascii="Times New Roman" w:hAnsi="Times New Roman" w:cs="Times New Roman"/>
                      <w:szCs w:val="21"/>
                    </w:rPr>
                  </w:pPr>
                  <w:r>
                    <w:rPr>
                      <w:rFonts w:hint="eastAsia" w:cs="Times New Roman"/>
                      <w:szCs w:val="21"/>
                      <w:lang w:val="en-US" w:eastAsia="zh-CN"/>
                    </w:rPr>
                    <w:t>5.0106</w:t>
                  </w:r>
                </w:p>
              </w:tc>
              <w:tc>
                <w:tcPr>
                  <w:tcW w:w="555" w:type="pct"/>
                  <w:vAlign w:val="center"/>
                </w:tcPr>
                <w:p w14:paraId="1360DBFC">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0.3798</w:t>
                  </w:r>
                </w:p>
              </w:tc>
              <w:tc>
                <w:tcPr>
                  <w:tcW w:w="383" w:type="pct"/>
                  <w:vMerge w:val="continue"/>
                  <w:vAlign w:val="center"/>
                </w:tcPr>
                <w:p w14:paraId="30A42E85">
                  <w:pPr>
                    <w:jc w:val="center"/>
                    <w:rPr>
                      <w:rFonts w:hint="default" w:ascii="Times New Roman" w:hAnsi="Times New Roman" w:cs="Times New Roman"/>
                      <w:szCs w:val="21"/>
                    </w:rPr>
                  </w:pPr>
                </w:p>
              </w:tc>
              <w:tc>
                <w:tcPr>
                  <w:tcW w:w="643" w:type="pct"/>
                  <w:vAlign w:val="center"/>
                </w:tcPr>
                <w:p w14:paraId="4AAECC3E">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1823.069</w:t>
                  </w:r>
                </w:p>
              </w:tc>
              <w:tc>
                <w:tcPr>
                  <w:tcW w:w="603" w:type="pct"/>
                  <w:vAlign w:val="center"/>
                </w:tcPr>
                <w:p w14:paraId="35196DD9">
                  <w:pPr>
                    <w:widowControl/>
                    <w:adjustRightInd w:val="0"/>
                    <w:snapToGrid w:val="0"/>
                    <w:ind w:left="-73" w:leftChars="-35" w:right="-73" w:rightChars="-35"/>
                    <w:jc w:val="center"/>
                    <w:rPr>
                      <w:rFonts w:hint="default" w:ascii="Times New Roman" w:hAnsi="Times New Roman" w:eastAsia="等线" w:cs="Times New Roman"/>
                      <w:szCs w:val="21"/>
                    </w:rPr>
                  </w:pPr>
                  <w:r>
                    <w:rPr>
                      <w:rFonts w:hint="default" w:ascii="Times New Roman" w:hAnsi="Times New Roman" w:cs="Times New Roman"/>
                    </w:rPr>
                    <w:t>120</w:t>
                  </w:r>
                </w:p>
              </w:tc>
              <w:tc>
                <w:tcPr>
                  <w:tcW w:w="490" w:type="pct"/>
                  <w:vAlign w:val="center"/>
                </w:tcPr>
                <w:p w14:paraId="41073AE7">
                  <w:pPr>
                    <w:widowControl/>
                    <w:adjustRightInd w:val="0"/>
                    <w:snapToGrid w:val="0"/>
                    <w:ind w:left="-73" w:leftChars="-35" w:right="-73" w:rightChars="-35"/>
                    <w:jc w:val="center"/>
                    <w:rPr>
                      <w:rFonts w:hint="default" w:ascii="Times New Roman" w:hAnsi="Times New Roman" w:eastAsia="等线" w:cs="Times New Roman"/>
                      <w:kern w:val="0"/>
                      <w:szCs w:val="21"/>
                    </w:rPr>
                  </w:pPr>
                  <w:r>
                    <w:rPr>
                      <w:rFonts w:hint="default" w:ascii="Times New Roman" w:hAnsi="Times New Roman" w:eastAsia="等线" w:cs="Times New Roman"/>
                      <w:kern w:val="0"/>
                      <w:szCs w:val="21"/>
                    </w:rPr>
                    <w:t>5.9</w:t>
                  </w:r>
                </w:p>
              </w:tc>
              <w:tc>
                <w:tcPr>
                  <w:tcW w:w="394" w:type="pct"/>
                  <w:vAlign w:val="center"/>
                </w:tcPr>
                <w:p w14:paraId="55A82331">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57C9F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vAlign w:val="center"/>
                </w:tcPr>
                <w:p w14:paraId="094A888B">
                  <w:pPr>
                    <w:jc w:val="center"/>
                    <w:rPr>
                      <w:rFonts w:hint="default" w:ascii="Times New Roman" w:hAnsi="Times New Roman" w:cs="Times New Roman"/>
                      <w:szCs w:val="21"/>
                    </w:rPr>
                  </w:pPr>
                </w:p>
              </w:tc>
              <w:tc>
                <w:tcPr>
                  <w:tcW w:w="503" w:type="pct"/>
                  <w:vAlign w:val="center"/>
                </w:tcPr>
                <w:p w14:paraId="0EB32AE9">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二甲苯</w:t>
                  </w:r>
                </w:p>
              </w:tc>
              <w:tc>
                <w:tcPr>
                  <w:tcW w:w="367" w:type="pct"/>
                  <w:vAlign w:val="center"/>
                </w:tcPr>
                <w:p w14:paraId="01B720B6">
                  <w:pPr>
                    <w:jc w:val="center"/>
                    <w:rPr>
                      <w:rFonts w:hint="default" w:ascii="Times New Roman" w:hAnsi="Times New Roman" w:cs="Times New Roman"/>
                      <w:szCs w:val="21"/>
                    </w:rPr>
                  </w:pPr>
                </w:p>
              </w:tc>
              <w:tc>
                <w:tcPr>
                  <w:tcW w:w="580" w:type="pct"/>
                  <w:vAlign w:val="center"/>
                </w:tcPr>
                <w:p w14:paraId="2B753C69">
                  <w:pPr>
                    <w:jc w:val="center"/>
                    <w:rPr>
                      <w:rFonts w:hint="default" w:ascii="Times New Roman" w:hAnsi="Times New Roman" w:cs="Times New Roman"/>
                      <w:szCs w:val="21"/>
                    </w:rPr>
                  </w:pPr>
                  <w:r>
                    <w:rPr>
                      <w:rFonts w:hint="eastAsia" w:cs="Times New Roman"/>
                      <w:szCs w:val="21"/>
                      <w:lang w:val="en-US" w:eastAsia="zh-CN"/>
                    </w:rPr>
                    <w:t>0.0816</w:t>
                  </w:r>
                </w:p>
              </w:tc>
              <w:tc>
                <w:tcPr>
                  <w:tcW w:w="555" w:type="pct"/>
                  <w:vAlign w:val="center"/>
                </w:tcPr>
                <w:p w14:paraId="198F109F">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0.0062</w:t>
                  </w:r>
                </w:p>
              </w:tc>
              <w:tc>
                <w:tcPr>
                  <w:tcW w:w="383" w:type="pct"/>
                  <w:vMerge w:val="continue"/>
                  <w:vAlign w:val="center"/>
                </w:tcPr>
                <w:p w14:paraId="43C11351">
                  <w:pPr>
                    <w:jc w:val="center"/>
                    <w:rPr>
                      <w:rFonts w:hint="default" w:ascii="Times New Roman" w:hAnsi="Times New Roman" w:cs="Times New Roman"/>
                      <w:szCs w:val="21"/>
                    </w:rPr>
                  </w:pPr>
                </w:p>
              </w:tc>
              <w:tc>
                <w:tcPr>
                  <w:tcW w:w="643" w:type="pct"/>
                  <w:vAlign w:val="center"/>
                </w:tcPr>
                <w:p w14:paraId="5F2DB181">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29.688</w:t>
                  </w:r>
                </w:p>
              </w:tc>
              <w:tc>
                <w:tcPr>
                  <w:tcW w:w="603" w:type="pct"/>
                  <w:vAlign w:val="center"/>
                </w:tcPr>
                <w:p w14:paraId="06256DC4">
                  <w:pPr>
                    <w:widowControl/>
                    <w:adjustRightInd w:val="0"/>
                    <w:snapToGrid w:val="0"/>
                    <w:ind w:left="-73" w:leftChars="-35" w:right="-73" w:rightChars="-35"/>
                    <w:jc w:val="center"/>
                    <w:rPr>
                      <w:rFonts w:hint="default" w:ascii="Times New Roman" w:hAnsi="Times New Roman" w:cs="Times New Roman"/>
                    </w:rPr>
                  </w:pPr>
                  <w:r>
                    <w:rPr>
                      <w:rFonts w:hint="default" w:ascii="Times New Roman" w:hAnsi="Times New Roman" w:cs="Times New Roman"/>
                    </w:rPr>
                    <w:t>60</w:t>
                  </w:r>
                </w:p>
              </w:tc>
              <w:tc>
                <w:tcPr>
                  <w:tcW w:w="490" w:type="pct"/>
                  <w:vAlign w:val="center"/>
                </w:tcPr>
                <w:p w14:paraId="0740245C">
                  <w:pPr>
                    <w:widowControl/>
                    <w:adjustRightInd w:val="0"/>
                    <w:snapToGrid w:val="0"/>
                    <w:ind w:left="-73" w:leftChars="-35" w:right="-73" w:rightChars="-35"/>
                    <w:jc w:val="center"/>
                    <w:rPr>
                      <w:rFonts w:hint="default" w:ascii="Times New Roman" w:hAnsi="Times New Roman" w:eastAsia="等线" w:cs="Times New Roman"/>
                      <w:kern w:val="0"/>
                      <w:szCs w:val="21"/>
                    </w:rPr>
                  </w:pPr>
                  <w:r>
                    <w:rPr>
                      <w:rFonts w:hint="default" w:ascii="Times New Roman" w:hAnsi="Times New Roman" w:eastAsia="等线" w:cs="Times New Roman"/>
                      <w:kern w:val="0"/>
                      <w:szCs w:val="21"/>
                    </w:rPr>
                    <w:t>6.8</w:t>
                  </w:r>
                </w:p>
              </w:tc>
              <w:tc>
                <w:tcPr>
                  <w:tcW w:w="394" w:type="pct"/>
                  <w:vAlign w:val="center"/>
                </w:tcPr>
                <w:p w14:paraId="418A3763">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6AC8D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vAlign w:val="center"/>
                </w:tcPr>
                <w:p w14:paraId="5C1A9F23">
                  <w:pPr>
                    <w:jc w:val="center"/>
                    <w:rPr>
                      <w:rFonts w:hint="default" w:ascii="Times New Roman" w:hAnsi="Times New Roman" w:cs="Times New Roman"/>
                      <w:szCs w:val="21"/>
                    </w:rPr>
                  </w:pPr>
                </w:p>
              </w:tc>
              <w:tc>
                <w:tcPr>
                  <w:tcW w:w="503" w:type="pct"/>
                  <w:vAlign w:val="center"/>
                </w:tcPr>
                <w:p w14:paraId="78A2B7E0">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乙苯</w:t>
                  </w:r>
                </w:p>
              </w:tc>
              <w:tc>
                <w:tcPr>
                  <w:tcW w:w="367" w:type="pct"/>
                  <w:vAlign w:val="center"/>
                </w:tcPr>
                <w:p w14:paraId="74FF6B29">
                  <w:pPr>
                    <w:jc w:val="center"/>
                    <w:rPr>
                      <w:rFonts w:hint="default" w:ascii="Times New Roman" w:hAnsi="Times New Roman" w:cs="Times New Roman"/>
                      <w:szCs w:val="21"/>
                    </w:rPr>
                  </w:pPr>
                </w:p>
              </w:tc>
              <w:tc>
                <w:tcPr>
                  <w:tcW w:w="580" w:type="pct"/>
                  <w:vAlign w:val="center"/>
                </w:tcPr>
                <w:p w14:paraId="5A5749AA">
                  <w:pPr>
                    <w:jc w:val="center"/>
                    <w:rPr>
                      <w:rFonts w:hint="default" w:ascii="Times New Roman" w:hAnsi="Times New Roman" w:cs="Times New Roman"/>
                      <w:szCs w:val="21"/>
                    </w:rPr>
                  </w:pPr>
                  <w:r>
                    <w:rPr>
                      <w:rFonts w:hint="eastAsia" w:cs="Times New Roman"/>
                      <w:szCs w:val="21"/>
                      <w:lang w:val="en-US" w:eastAsia="zh-CN"/>
                    </w:rPr>
                    <w:t>0.0121</w:t>
                  </w:r>
                </w:p>
              </w:tc>
              <w:tc>
                <w:tcPr>
                  <w:tcW w:w="555" w:type="pct"/>
                  <w:vAlign w:val="center"/>
                </w:tcPr>
                <w:p w14:paraId="0C344447">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0.0009</w:t>
                  </w:r>
                </w:p>
              </w:tc>
              <w:tc>
                <w:tcPr>
                  <w:tcW w:w="383" w:type="pct"/>
                  <w:vMerge w:val="continue"/>
                  <w:vAlign w:val="center"/>
                </w:tcPr>
                <w:p w14:paraId="5458BFC7">
                  <w:pPr>
                    <w:jc w:val="center"/>
                    <w:rPr>
                      <w:rFonts w:hint="default" w:ascii="Times New Roman" w:hAnsi="Times New Roman" w:cs="Times New Roman"/>
                      <w:szCs w:val="21"/>
                    </w:rPr>
                  </w:pPr>
                </w:p>
              </w:tc>
              <w:tc>
                <w:tcPr>
                  <w:tcW w:w="643" w:type="pct"/>
                  <w:vAlign w:val="center"/>
                </w:tcPr>
                <w:p w14:paraId="4CC44B19">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4.394</w:t>
                  </w:r>
                </w:p>
              </w:tc>
              <w:tc>
                <w:tcPr>
                  <w:tcW w:w="603" w:type="pct"/>
                  <w:vAlign w:val="center"/>
                </w:tcPr>
                <w:p w14:paraId="334894F4">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color w:val="auto"/>
                      <w:sz w:val="21"/>
                      <w:szCs w:val="21"/>
                      <w:highlight w:val="none"/>
                      <w:lang w:val="en-US" w:eastAsia="zh-CN"/>
                    </w:rPr>
                    <w:t>60</w:t>
                  </w:r>
                </w:p>
              </w:tc>
              <w:tc>
                <w:tcPr>
                  <w:tcW w:w="490" w:type="pct"/>
                  <w:vAlign w:val="center"/>
                </w:tcPr>
                <w:p w14:paraId="292FD661">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color w:val="auto"/>
                      <w:sz w:val="21"/>
                      <w:szCs w:val="21"/>
                      <w:highlight w:val="none"/>
                      <w:lang w:val="en-US" w:eastAsia="zh-CN"/>
                    </w:rPr>
                    <w:t>3.4</w:t>
                  </w:r>
                </w:p>
              </w:tc>
              <w:tc>
                <w:tcPr>
                  <w:tcW w:w="394" w:type="pct"/>
                  <w:vAlign w:val="center"/>
                </w:tcPr>
                <w:p w14:paraId="6973C811">
                  <w:pPr>
                    <w:jc w:val="center"/>
                    <w:rPr>
                      <w:rFonts w:hint="default" w:ascii="Times New Roman" w:hAnsi="Times New Roman" w:cs="Times New Roman"/>
                      <w:szCs w:val="21"/>
                    </w:rPr>
                  </w:pPr>
                  <w:r>
                    <w:rPr>
                      <w:rFonts w:hint="default" w:ascii="Times New Roman" w:hAnsi="Times New Roman" w:cs="Times New Roman"/>
                      <w:szCs w:val="21"/>
                    </w:rPr>
                    <w:t>达标</w:t>
                  </w:r>
                </w:p>
              </w:tc>
            </w:tr>
            <w:tr w14:paraId="736E1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0" w:type="pct"/>
                  <w:vMerge w:val="continue"/>
                  <w:tcBorders>
                    <w:bottom w:val="single" w:color="auto" w:sz="4" w:space="0"/>
                  </w:tcBorders>
                  <w:vAlign w:val="center"/>
                </w:tcPr>
                <w:p w14:paraId="5D0A504D">
                  <w:pPr>
                    <w:jc w:val="center"/>
                    <w:rPr>
                      <w:rFonts w:hint="default" w:ascii="Times New Roman" w:hAnsi="Times New Roman" w:cs="Times New Roman"/>
                      <w:szCs w:val="21"/>
                    </w:rPr>
                  </w:pPr>
                </w:p>
              </w:tc>
              <w:tc>
                <w:tcPr>
                  <w:tcW w:w="503" w:type="pct"/>
                  <w:vAlign w:val="center"/>
                </w:tcPr>
                <w:p w14:paraId="6D62CDB4">
                  <w:pPr>
                    <w:autoSpaceDE w:val="0"/>
                    <w:autoSpaceDN w:val="0"/>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漆雾</w:t>
                  </w:r>
                </w:p>
              </w:tc>
              <w:tc>
                <w:tcPr>
                  <w:tcW w:w="367" w:type="pct"/>
                  <w:vAlign w:val="center"/>
                </w:tcPr>
                <w:p w14:paraId="1F568A37">
                  <w:pPr>
                    <w:jc w:val="center"/>
                    <w:rPr>
                      <w:rFonts w:hint="default" w:ascii="Times New Roman" w:hAnsi="Times New Roman" w:cs="Times New Roman"/>
                      <w:szCs w:val="21"/>
                    </w:rPr>
                  </w:pPr>
                </w:p>
              </w:tc>
              <w:tc>
                <w:tcPr>
                  <w:tcW w:w="580" w:type="pct"/>
                  <w:vAlign w:val="center"/>
                </w:tcPr>
                <w:p w14:paraId="1DAD8F0C">
                  <w:pPr>
                    <w:jc w:val="center"/>
                    <w:rPr>
                      <w:rFonts w:hint="default" w:ascii="Times New Roman" w:hAnsi="Times New Roman" w:cs="Times New Roman"/>
                      <w:szCs w:val="21"/>
                    </w:rPr>
                  </w:pPr>
                  <w:r>
                    <w:rPr>
                      <w:rFonts w:hint="eastAsia" w:cs="Times New Roman"/>
                      <w:szCs w:val="21"/>
                      <w:lang w:val="en-US" w:eastAsia="zh-CN"/>
                    </w:rPr>
                    <w:t>0.6917</w:t>
                  </w:r>
                </w:p>
              </w:tc>
              <w:tc>
                <w:tcPr>
                  <w:tcW w:w="555" w:type="pct"/>
                  <w:vAlign w:val="center"/>
                </w:tcPr>
                <w:p w14:paraId="158DDF8F">
                  <w:pPr>
                    <w:widowControl/>
                    <w:jc w:val="center"/>
                    <w:rPr>
                      <w:rFonts w:hint="default" w:ascii="Times New Roman" w:hAnsi="Times New Roman" w:eastAsia="等线" w:cs="Times New Roman"/>
                      <w:kern w:val="0"/>
                      <w:szCs w:val="21"/>
                      <w:lang w:val="en-US"/>
                    </w:rPr>
                  </w:pPr>
                  <w:r>
                    <w:rPr>
                      <w:rFonts w:hint="eastAsia" w:eastAsia="等线" w:cs="Times New Roman"/>
                      <w:kern w:val="0"/>
                      <w:szCs w:val="21"/>
                      <w:lang w:val="en-US" w:eastAsia="zh-CN"/>
                    </w:rPr>
                    <w:t>0.0999</w:t>
                  </w:r>
                </w:p>
              </w:tc>
              <w:tc>
                <w:tcPr>
                  <w:tcW w:w="383" w:type="pct"/>
                  <w:vMerge w:val="continue"/>
                  <w:vAlign w:val="center"/>
                </w:tcPr>
                <w:p w14:paraId="2AF9E2A1">
                  <w:pPr>
                    <w:jc w:val="center"/>
                    <w:rPr>
                      <w:rFonts w:hint="default" w:ascii="Times New Roman" w:hAnsi="Times New Roman" w:cs="Times New Roman"/>
                      <w:szCs w:val="21"/>
                    </w:rPr>
                  </w:pPr>
                </w:p>
              </w:tc>
              <w:tc>
                <w:tcPr>
                  <w:tcW w:w="643" w:type="pct"/>
                  <w:vAlign w:val="center"/>
                </w:tcPr>
                <w:p w14:paraId="3ED34EF5">
                  <w:pPr>
                    <w:widowControl/>
                    <w:jc w:val="center"/>
                    <w:rPr>
                      <w:rFonts w:hint="default" w:ascii="Times New Roman" w:hAnsi="Times New Roman" w:eastAsia="等线" w:cs="Times New Roman"/>
                      <w:kern w:val="0"/>
                      <w:szCs w:val="21"/>
                    </w:rPr>
                  </w:pPr>
                  <w:r>
                    <w:rPr>
                      <w:rFonts w:hint="eastAsia" w:eastAsia="等线" w:cs="Times New Roman"/>
                      <w:kern w:val="0"/>
                      <w:szCs w:val="21"/>
                      <w:lang w:val="en-US" w:eastAsia="zh-CN"/>
                    </w:rPr>
                    <w:t>479.44</w:t>
                  </w:r>
                </w:p>
              </w:tc>
              <w:tc>
                <w:tcPr>
                  <w:tcW w:w="603" w:type="pct"/>
                  <w:vAlign w:val="center"/>
                </w:tcPr>
                <w:p w14:paraId="32E59344">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cs="Times New Roman"/>
                      <w:i w:val="0"/>
                      <w:iCs w:val="0"/>
                      <w:color w:val="auto"/>
                      <w:kern w:val="0"/>
                      <w:sz w:val="21"/>
                      <w:szCs w:val="21"/>
                      <w:u w:val="none"/>
                      <w:lang w:val="en-US" w:eastAsia="zh-CN" w:bidi="ar"/>
                    </w:rPr>
                    <w:t>40</w:t>
                  </w:r>
                </w:p>
              </w:tc>
              <w:tc>
                <w:tcPr>
                  <w:tcW w:w="490" w:type="pct"/>
                  <w:vAlign w:val="center"/>
                </w:tcPr>
                <w:p w14:paraId="201630C2">
                  <w:pPr>
                    <w:keepNext w:val="0"/>
                    <w:keepLines w:val="0"/>
                    <w:widowControl/>
                    <w:suppressLineNumbers w:val="0"/>
                    <w:jc w:val="center"/>
                    <w:textAlignment w:val="center"/>
                    <w:rPr>
                      <w:rFonts w:hint="default" w:ascii="Times New Roman" w:hAnsi="Times New Roman" w:eastAsia="等线" w:cs="Times New Roman"/>
                      <w:kern w:val="0"/>
                      <w:szCs w:val="21"/>
                    </w:rPr>
                  </w:pPr>
                  <w:r>
                    <w:rPr>
                      <w:rFonts w:hint="default" w:ascii="Times New Roman" w:hAnsi="Times New Roman" w:cs="Times New Roman"/>
                      <w:i w:val="0"/>
                      <w:iCs w:val="0"/>
                      <w:color w:val="000000"/>
                      <w:kern w:val="0"/>
                      <w:sz w:val="21"/>
                      <w:szCs w:val="21"/>
                      <w:u w:val="none"/>
                      <w:lang w:val="en-US" w:eastAsia="zh-CN" w:bidi="ar"/>
                    </w:rPr>
                    <w:t>1.4</w:t>
                  </w:r>
                </w:p>
              </w:tc>
              <w:tc>
                <w:tcPr>
                  <w:tcW w:w="394" w:type="pct"/>
                  <w:vAlign w:val="center"/>
                </w:tcPr>
                <w:p w14:paraId="26B8CF97">
                  <w:pPr>
                    <w:jc w:val="center"/>
                    <w:rPr>
                      <w:rFonts w:hint="default" w:ascii="Times New Roman" w:hAnsi="Times New Roman" w:cs="Times New Roman"/>
                      <w:szCs w:val="21"/>
                    </w:rPr>
                  </w:pPr>
                  <w:r>
                    <w:rPr>
                      <w:rFonts w:hint="default" w:ascii="Times New Roman" w:hAnsi="Times New Roman" w:cs="Times New Roman"/>
                      <w:szCs w:val="21"/>
                    </w:rPr>
                    <w:t>达标</w:t>
                  </w:r>
                </w:p>
              </w:tc>
            </w:tr>
          </w:tbl>
          <w:p w14:paraId="2E21398E">
            <w:pPr>
              <w:pStyle w:val="63"/>
              <w:spacing w:line="240" w:lineRule="auto"/>
              <w:jc w:val="both"/>
              <w:rPr>
                <w:rFonts w:hint="default" w:ascii="Times New Roman" w:hAnsi="Times New Roman" w:cs="Times New Roman"/>
                <w:color w:val="auto"/>
                <w:sz w:val="21"/>
                <w:szCs w:val="21"/>
                <w:highlight w:val="none"/>
              </w:rPr>
            </w:pPr>
          </w:p>
          <w:p w14:paraId="2C8C4E06">
            <w:pPr>
              <w:autoSpaceDE w:val="0"/>
              <w:autoSpaceDN w:val="0"/>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由上表可知，非正常工况下，排气筒（DA001~DA007）排放污染物浓度</w:t>
            </w:r>
            <w:r>
              <w:rPr>
                <w:rFonts w:hint="default" w:ascii="Times New Roman" w:hAnsi="Times New Roman" w:cs="Times New Roman"/>
                <w:color w:val="auto"/>
                <w:sz w:val="21"/>
                <w:szCs w:val="21"/>
              </w:rPr>
              <w:t>虽未超标，但排放量有显著增高。因此为防止生产废气非正常工况排放，企业必须加强废气处理</w:t>
            </w:r>
            <w:r>
              <w:rPr>
                <w:rFonts w:hint="default" w:ascii="Times New Roman" w:hAnsi="Times New Roman" w:cs="Times New Roman"/>
                <w:sz w:val="21"/>
                <w:szCs w:val="21"/>
              </w:rPr>
              <w:t>设施的管理，定期检修，确保废气处理设施正常运行，在废气处理设备停止运行或出现故障时，产生废气的各工序也必须相应停止生产。为杜绝废气非正常排放，应采取以下措施确保废气达标排放：</w:t>
            </w:r>
          </w:p>
          <w:p w14:paraId="1A1E787F">
            <w:pPr>
              <w:autoSpaceDE w:val="0"/>
              <w:autoSpaceDN w:val="0"/>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①安排专人负责环保设备的日常维护和管理，每隔固定时间检查、汇报情况，及时发现废气处理设备的隐患，确保废气处理系统正常运行；</w:t>
            </w:r>
          </w:p>
          <w:p w14:paraId="15CF0AC8">
            <w:pPr>
              <w:autoSpaceDE w:val="0"/>
              <w:autoSpaceDN w:val="0"/>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②定期更换过滤棉、活性炭等需定期更换的耗材；</w:t>
            </w:r>
          </w:p>
          <w:p w14:paraId="3BC28BFA">
            <w:pPr>
              <w:autoSpaceDE w:val="0"/>
              <w:autoSpaceDN w:val="0"/>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③建立健全的环保管理机构，对环保管理人员和技术人员进行岗位培训，委托具有专业资质的环境检测单位对项目排放的各类污染物进行定期检测；</w:t>
            </w:r>
          </w:p>
          <w:p w14:paraId="023AB631">
            <w:pPr>
              <w:autoSpaceDE w:val="0"/>
              <w:autoSpaceDN w:val="0"/>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④应定期维护、检修废气净化装置，以保持废气处理装置的净化能力和净化容量。</w:t>
            </w:r>
          </w:p>
          <w:p w14:paraId="7574011B">
            <w:pPr>
              <w:adjustRightInd w:val="0"/>
              <w:snapToGrid w:val="0"/>
              <w:spacing w:line="360" w:lineRule="auto"/>
              <w:ind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sz w:val="21"/>
                <w:szCs w:val="21"/>
              </w:rPr>
              <w:t>⑤生产加工前，将净化设备开启，生产加工停止后，经一段时间后再关闭净化设备，以减少生产设备突然排放的情况。</w:t>
            </w:r>
          </w:p>
          <w:p w14:paraId="245238E7">
            <w:pPr>
              <w:pStyle w:val="81"/>
              <w:numPr>
                <w:ilvl w:val="0"/>
                <w:numId w:val="3"/>
              </w:numPr>
              <w:ind w:left="0" w:leftChars="0" w:firstLine="422" w:firstLineChars="20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卫生防护距离</w:t>
            </w:r>
          </w:p>
          <w:p w14:paraId="364B78DA">
            <w:pPr>
              <w:pStyle w:val="81"/>
              <w:numPr>
                <w:ilvl w:val="0"/>
                <w:numId w:val="0"/>
              </w:numPr>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为有效减轻废气无组织排放对外环境造成的不利影响，本次环评对无组织排放控制设置卫生防护距离。</w:t>
            </w:r>
          </w:p>
          <w:p w14:paraId="64FDF710">
            <w:pPr>
              <w:pStyle w:val="82"/>
              <w:ind w:firstLine="48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1)计算公式</w:t>
            </w:r>
          </w:p>
          <w:p w14:paraId="1C08E868">
            <w:pPr>
              <w:pStyle w:val="82"/>
              <w:ind w:firstLine="48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根据《大气有害物质无组织排放卫生防护距离推导技术导则》（GB/T 39499-2020），采用GB/T 3840-1991中7.4推荐的估算方法进行计算，具体计算公式见下：</w:t>
            </w:r>
          </w:p>
          <w:p w14:paraId="6E4FCFE7">
            <w:pPr>
              <w:spacing w:line="360" w:lineRule="auto"/>
              <w:rPr>
                <w:rFonts w:hint="default" w:ascii="Times New Roman" w:hAnsi="Times New Roman" w:eastAsia="宋体" w:cs="Times New Roman"/>
                <w:bCs/>
                <w:sz w:val="21"/>
                <w:szCs w:val="21"/>
              </w:rPr>
            </w:pPr>
            <m:oMathPara>
              <m:oMath>
                <m:f>
                  <m:fPr>
                    <m:ctrlPr>
                      <w:rPr>
                        <w:rFonts w:hint="default" w:ascii="Cambria Math" w:hAnsi="Cambria Math" w:eastAsia="宋体" w:cs="Times New Roman"/>
                        <w:sz w:val="21"/>
                        <w:szCs w:val="21"/>
                      </w:rPr>
                    </m:ctrlPr>
                  </m:fPr>
                  <m:num>
                    <m:sSub>
                      <m:sSubPr>
                        <m:ctrlPr>
                          <w:rPr>
                            <w:rFonts w:hint="default" w:ascii="Cambria Math" w:hAnsi="Cambria Math" w:eastAsia="宋体" w:cs="Times New Roman"/>
                            <w:sz w:val="21"/>
                            <w:szCs w:val="21"/>
                          </w:rPr>
                        </m:ctrlPr>
                      </m:sSubPr>
                      <m:e>
                        <m:r>
                          <m:rPr/>
                          <w:rPr>
                            <w:rFonts w:hint="default" w:ascii="Cambria Math" w:hAnsi="Cambria Math" w:eastAsia="宋体" w:cs="Times New Roman"/>
                            <w:sz w:val="21"/>
                            <w:szCs w:val="21"/>
                          </w:rPr>
                          <m:t>Q</m:t>
                        </m:r>
                        <m:ctrlPr>
                          <w:rPr>
                            <w:rFonts w:hint="default" w:ascii="Cambria Math" w:hAnsi="Cambria Math" w:eastAsia="宋体" w:cs="Times New Roman"/>
                            <w:sz w:val="21"/>
                            <w:szCs w:val="21"/>
                          </w:rPr>
                        </m:ctrlPr>
                      </m:e>
                      <m:sub>
                        <m:r>
                          <m:rPr/>
                          <w:rPr>
                            <w:rFonts w:hint="default" w:ascii="Cambria Math" w:hAnsi="Cambria Math" w:eastAsia="宋体" w:cs="Times New Roman"/>
                            <w:sz w:val="21"/>
                            <w:szCs w:val="21"/>
                          </w:rPr>
                          <m:t>c</m:t>
                        </m:r>
                        <m:ctrlPr>
                          <w:rPr>
                            <w:rFonts w:hint="default" w:ascii="Cambria Math" w:hAnsi="Cambria Math" w:eastAsia="宋体" w:cs="Times New Roman"/>
                            <w:sz w:val="21"/>
                            <w:szCs w:val="21"/>
                          </w:rPr>
                        </m:ctrlPr>
                      </m:sub>
                    </m:sSub>
                    <m:ctrlPr>
                      <w:rPr>
                        <w:rFonts w:hint="default" w:ascii="Cambria Math" w:hAnsi="Cambria Math" w:eastAsia="宋体" w:cs="Times New Roman"/>
                        <w:sz w:val="21"/>
                        <w:szCs w:val="21"/>
                      </w:rPr>
                    </m:ctrlPr>
                  </m:num>
                  <m:den>
                    <m:sSub>
                      <m:sSubPr>
                        <m:ctrlPr>
                          <w:rPr>
                            <w:rFonts w:hint="default" w:ascii="Cambria Math" w:hAnsi="Cambria Math" w:eastAsia="宋体" w:cs="Times New Roman"/>
                            <w:sz w:val="21"/>
                            <w:szCs w:val="21"/>
                          </w:rPr>
                        </m:ctrlPr>
                      </m:sSubPr>
                      <m:e>
                        <m:r>
                          <m:rPr/>
                          <w:rPr>
                            <w:rFonts w:hint="default" w:ascii="Cambria Math" w:hAnsi="Cambria Math" w:eastAsia="宋体" w:cs="Times New Roman"/>
                            <w:sz w:val="21"/>
                            <w:szCs w:val="21"/>
                          </w:rPr>
                          <m:t>C</m:t>
                        </m:r>
                        <m:ctrlPr>
                          <w:rPr>
                            <w:rFonts w:hint="default" w:ascii="Cambria Math" w:hAnsi="Cambria Math" w:eastAsia="宋体" w:cs="Times New Roman"/>
                            <w:sz w:val="21"/>
                            <w:szCs w:val="21"/>
                          </w:rPr>
                        </m:ctrlPr>
                      </m:e>
                      <m:sub>
                        <m:r>
                          <m:rPr/>
                          <w:rPr>
                            <w:rFonts w:hint="default" w:ascii="Cambria Math" w:hAnsi="Cambria Math" w:eastAsia="宋体" w:cs="Times New Roman"/>
                            <w:sz w:val="21"/>
                            <w:szCs w:val="21"/>
                          </w:rPr>
                          <m:t>m</m:t>
                        </m:r>
                        <m:ctrlPr>
                          <w:rPr>
                            <w:rFonts w:hint="default" w:ascii="Cambria Math" w:hAnsi="Cambria Math" w:eastAsia="宋体" w:cs="Times New Roman"/>
                            <w:sz w:val="21"/>
                            <w:szCs w:val="21"/>
                          </w:rPr>
                        </m:ctrlPr>
                      </m:sub>
                    </m:sSub>
                    <m:ctrlPr>
                      <w:rPr>
                        <w:rFonts w:hint="default" w:ascii="Cambria Math" w:hAnsi="Cambria Math" w:eastAsia="宋体" w:cs="Times New Roman"/>
                        <w:sz w:val="21"/>
                        <w:szCs w:val="21"/>
                      </w:rPr>
                    </m:ctrlPr>
                  </m:den>
                </m:f>
                <m:r>
                  <m:rPr/>
                  <w:rPr>
                    <w:rFonts w:hint="default" w:ascii="Cambria Math" w:hAnsi="Cambria Math" w:eastAsia="宋体" w:cs="Times New Roman"/>
                    <w:sz w:val="21"/>
                    <w:szCs w:val="21"/>
                  </w:rPr>
                  <m:t>=1/A</m:t>
                </m:r>
                <m:sSup>
                  <m:sSupPr>
                    <m:ctrlPr>
                      <w:rPr>
                        <w:rFonts w:hint="default" w:ascii="Cambria Math" w:hAnsi="Cambria Math" w:eastAsia="宋体" w:cs="Times New Roman"/>
                        <w:sz w:val="21"/>
                        <w:szCs w:val="21"/>
                      </w:rPr>
                    </m:ctrlPr>
                  </m:sSupPr>
                  <m:e>
                    <m:r>
                      <m:rPr/>
                      <w:rPr>
                        <w:rFonts w:hint="default" w:ascii="Cambria Math" w:hAnsi="Cambria Math" w:eastAsia="宋体" w:cs="Times New Roman"/>
                        <w:sz w:val="21"/>
                        <w:szCs w:val="21"/>
                      </w:rPr>
                      <m:t>（</m:t>
                    </m:r>
                    <m:sSup>
                      <m:sSupPr>
                        <m:ctrlPr>
                          <w:rPr>
                            <w:rFonts w:hint="default" w:ascii="Cambria Math" w:hAnsi="Cambria Math" w:eastAsia="宋体" w:cs="Times New Roman"/>
                            <w:sz w:val="21"/>
                            <w:szCs w:val="21"/>
                          </w:rPr>
                        </m:ctrlPr>
                      </m:sSupPr>
                      <m:e>
                        <m:r>
                          <m:rPr/>
                          <w:rPr>
                            <w:rFonts w:hint="default" w:ascii="Cambria Math" w:hAnsi="Cambria Math" w:eastAsia="宋体" w:cs="Times New Roman"/>
                            <w:sz w:val="21"/>
                            <w:szCs w:val="21"/>
                          </w:rPr>
                          <m:t>BL</m:t>
                        </m:r>
                        <m:ctrlPr>
                          <w:rPr>
                            <w:rFonts w:hint="default" w:ascii="Cambria Math" w:hAnsi="Cambria Math" w:eastAsia="宋体" w:cs="Times New Roman"/>
                            <w:sz w:val="21"/>
                            <w:szCs w:val="21"/>
                          </w:rPr>
                        </m:ctrlPr>
                      </m:e>
                      <m:sup>
                        <m:r>
                          <m:rPr/>
                          <w:rPr>
                            <w:rFonts w:hint="default" w:ascii="Cambria Math" w:hAnsi="Cambria Math" w:eastAsia="宋体" w:cs="Times New Roman"/>
                            <w:sz w:val="21"/>
                            <w:szCs w:val="21"/>
                          </w:rPr>
                          <m:t>c</m:t>
                        </m:r>
                        <m:ctrlPr>
                          <w:rPr>
                            <w:rFonts w:hint="default" w:ascii="Cambria Math" w:hAnsi="Cambria Math" w:eastAsia="宋体" w:cs="Times New Roman"/>
                            <w:sz w:val="21"/>
                            <w:szCs w:val="21"/>
                          </w:rPr>
                        </m:ctrlPr>
                      </m:sup>
                    </m:sSup>
                    <m:r>
                      <m:rPr/>
                      <w:rPr>
                        <w:rFonts w:hint="default" w:ascii="Cambria Math" w:hAnsi="Cambria Math" w:eastAsia="宋体" w:cs="Times New Roman"/>
                        <w:sz w:val="21"/>
                        <w:szCs w:val="21"/>
                      </w:rPr>
                      <m:t>+0.25</m:t>
                    </m:r>
                    <m:sSup>
                      <m:sSupPr>
                        <m:ctrlPr>
                          <w:rPr>
                            <w:rFonts w:hint="default" w:ascii="Cambria Math" w:hAnsi="Cambria Math" w:eastAsia="宋体" w:cs="Times New Roman"/>
                            <w:sz w:val="21"/>
                            <w:szCs w:val="21"/>
                          </w:rPr>
                        </m:ctrlPr>
                      </m:sSupPr>
                      <m:e>
                        <m:r>
                          <m:rPr/>
                          <w:rPr>
                            <w:rFonts w:hint="default" w:ascii="Cambria Math" w:hAnsi="Cambria Math" w:eastAsia="宋体" w:cs="Times New Roman"/>
                            <w:sz w:val="21"/>
                            <w:szCs w:val="21"/>
                          </w:rPr>
                          <m:t>r</m:t>
                        </m:r>
                        <m:ctrlPr>
                          <w:rPr>
                            <w:rFonts w:hint="default" w:ascii="Cambria Math" w:hAnsi="Cambria Math" w:eastAsia="宋体" w:cs="Times New Roman"/>
                            <w:sz w:val="21"/>
                            <w:szCs w:val="21"/>
                          </w:rPr>
                        </m:ctrlPr>
                      </m:e>
                      <m:sup>
                        <m:r>
                          <m:rPr/>
                          <w:rPr>
                            <w:rFonts w:hint="default" w:ascii="Cambria Math" w:hAnsi="Cambria Math" w:eastAsia="宋体" w:cs="Times New Roman"/>
                            <w:sz w:val="21"/>
                            <w:szCs w:val="21"/>
                          </w:rPr>
                          <m:t>2</m:t>
                        </m:r>
                        <m:ctrlPr>
                          <w:rPr>
                            <w:rFonts w:hint="default" w:ascii="Cambria Math" w:hAnsi="Cambria Math" w:eastAsia="宋体" w:cs="Times New Roman"/>
                            <w:sz w:val="21"/>
                            <w:szCs w:val="21"/>
                          </w:rPr>
                        </m:ctrlPr>
                      </m:sup>
                    </m:sSup>
                    <m:r>
                      <m:rPr>
                        <m:sty m:val="p"/>
                      </m:rPr>
                      <w:rPr>
                        <w:rFonts w:hint="default" w:ascii="Cambria Math" w:hAnsi="Cambria Math" w:eastAsia="宋体" w:cs="Times New Roman"/>
                        <w:sz w:val="21"/>
                        <w:szCs w:val="21"/>
                      </w:rPr>
                      <m:t>）</m:t>
                    </m:r>
                    <m:ctrlPr>
                      <w:rPr>
                        <w:rFonts w:hint="default" w:ascii="Cambria Math" w:hAnsi="Cambria Math" w:eastAsia="宋体" w:cs="Times New Roman"/>
                        <w:sz w:val="21"/>
                        <w:szCs w:val="21"/>
                      </w:rPr>
                    </m:ctrlPr>
                  </m:e>
                  <m:sup>
                    <m:r>
                      <m:rPr/>
                      <w:rPr>
                        <w:rFonts w:hint="default" w:ascii="Cambria Math" w:hAnsi="Cambria Math" w:eastAsia="宋体" w:cs="Times New Roman"/>
                        <w:sz w:val="21"/>
                        <w:szCs w:val="21"/>
                      </w:rPr>
                      <m:t>0.5</m:t>
                    </m:r>
                    <m:ctrlPr>
                      <w:rPr>
                        <w:rFonts w:hint="default" w:ascii="Cambria Math" w:hAnsi="Cambria Math" w:eastAsia="宋体" w:cs="Times New Roman"/>
                        <w:sz w:val="21"/>
                        <w:szCs w:val="21"/>
                      </w:rPr>
                    </m:ctrlPr>
                  </m:sup>
                </m:sSup>
                <m:sSup>
                  <m:sSupPr>
                    <m:ctrlPr>
                      <w:rPr>
                        <w:rFonts w:hint="default" w:ascii="Cambria Math" w:hAnsi="Cambria Math" w:eastAsia="宋体" w:cs="Times New Roman"/>
                        <w:sz w:val="21"/>
                        <w:szCs w:val="21"/>
                      </w:rPr>
                    </m:ctrlPr>
                  </m:sSupPr>
                  <m:e>
                    <m:r>
                      <m:rPr/>
                      <w:rPr>
                        <w:rFonts w:hint="default" w:ascii="Cambria Math" w:hAnsi="Cambria Math" w:eastAsia="宋体" w:cs="Times New Roman"/>
                        <w:sz w:val="21"/>
                        <w:szCs w:val="21"/>
                      </w:rPr>
                      <m:t>L</m:t>
                    </m:r>
                    <m:ctrlPr>
                      <w:rPr>
                        <w:rFonts w:hint="default" w:ascii="Cambria Math" w:hAnsi="Cambria Math" w:eastAsia="宋体" w:cs="Times New Roman"/>
                        <w:sz w:val="21"/>
                        <w:szCs w:val="21"/>
                      </w:rPr>
                    </m:ctrlPr>
                  </m:e>
                  <m:sup>
                    <m:r>
                      <m:rPr/>
                      <w:rPr>
                        <w:rFonts w:hint="default" w:ascii="Cambria Math" w:hAnsi="Cambria Math" w:eastAsia="宋体" w:cs="Times New Roman"/>
                        <w:sz w:val="21"/>
                        <w:szCs w:val="21"/>
                      </w:rPr>
                      <m:t>D</m:t>
                    </m:r>
                    <m:ctrlPr>
                      <w:rPr>
                        <w:rFonts w:hint="default" w:ascii="Cambria Math" w:hAnsi="Cambria Math" w:eastAsia="宋体" w:cs="Times New Roman"/>
                        <w:sz w:val="21"/>
                        <w:szCs w:val="21"/>
                      </w:rPr>
                    </m:ctrlPr>
                  </m:sup>
                </m:sSup>
              </m:oMath>
            </m:oMathPara>
          </w:p>
          <w:p w14:paraId="629B9D67">
            <w:pPr>
              <w:pStyle w:val="85"/>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式中：Q</w:t>
            </w:r>
            <w:r>
              <w:rPr>
                <w:rFonts w:hint="default" w:ascii="Times New Roman" w:hAnsi="Times New Roman" w:eastAsia="宋体" w:cs="Times New Roman"/>
                <w:sz w:val="21"/>
                <w:szCs w:val="21"/>
                <w:vertAlign w:val="subscript"/>
              </w:rPr>
              <w:t>c</w:t>
            </w:r>
            <w:r>
              <w:rPr>
                <w:rFonts w:hint="default" w:ascii="Times New Roman" w:hAnsi="Times New Roman" w:eastAsia="宋体" w:cs="Times New Roman"/>
                <w:sz w:val="21"/>
                <w:szCs w:val="21"/>
              </w:rPr>
              <w:t>——大气有害物质的无组织排放量，单位为千克每小时（kg/h）；</w:t>
            </w:r>
          </w:p>
          <w:p w14:paraId="0731DBEC">
            <w:pPr>
              <w:pStyle w:val="85"/>
              <w:tabs>
                <w:tab w:val="left" w:pos="409"/>
              </w:tabs>
              <w:ind w:firstLine="1134" w:firstLineChars="54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Cm——大气有害物质环境空气质量的标准限值，单位为毫克每立方米（mg/m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p w14:paraId="726F5F03">
            <w:pPr>
              <w:pStyle w:val="85"/>
              <w:ind w:firstLine="1134" w:firstLineChars="54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L——工业企业所需卫生防护距离，m；大气有害物质卫生防护距离初值，单位为米；</w:t>
            </w:r>
          </w:p>
          <w:p w14:paraId="4DB0AD8D">
            <w:pPr>
              <w:pStyle w:val="85"/>
              <w:ind w:firstLine="1134" w:firstLineChars="54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r——大气有害物质无组织排放源所在生产单元的等效半径，单位为米（m）；</w:t>
            </w:r>
          </w:p>
          <w:p w14:paraId="1292F951">
            <w:pPr>
              <w:pStyle w:val="85"/>
              <w:ind w:firstLine="1134" w:firstLineChars="54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A、B、C、D——卫生防护距离初值计算系数，无因次，根据工业企业所在地区近5年平均风速及大气污染源构成类别从GB/T39499-2020表1查取。</w:t>
            </w:r>
          </w:p>
          <w:p w14:paraId="0F8F9B0D">
            <w:pPr>
              <w:pStyle w:val="8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2）卫生防护距离初值计算系数的选取与确定</w:t>
            </w:r>
          </w:p>
          <w:p w14:paraId="7A6C336A">
            <w:pPr>
              <w:pStyle w:val="8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A、B、C、D值选取见下表：</w:t>
            </w:r>
          </w:p>
          <w:p w14:paraId="7EEA0102">
            <w:pPr>
              <w:bidi w:val="0"/>
              <w:jc w:val="center"/>
              <w:rPr>
                <w:rFonts w:hint="default"/>
                <w:b/>
                <w:bCs/>
              </w:rPr>
            </w:pPr>
            <w:r>
              <w:rPr>
                <w:rFonts w:hint="default"/>
                <w:b/>
                <w:bCs/>
              </w:rPr>
              <w:t>表4-</w:t>
            </w:r>
            <w:r>
              <w:rPr>
                <w:rFonts w:hint="eastAsia"/>
                <w:b/>
                <w:bCs/>
                <w:lang w:val="en-US" w:eastAsia="zh-CN"/>
              </w:rPr>
              <w:t>9</w:t>
            </w:r>
            <w:r>
              <w:rPr>
                <w:rFonts w:hint="default"/>
                <w:b/>
                <w:bCs/>
              </w:rPr>
              <w:t>卫生防护距离初值计算系数</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399"/>
              <w:gridCol w:w="1020"/>
              <w:gridCol w:w="727"/>
              <w:gridCol w:w="867"/>
              <w:gridCol w:w="628"/>
              <w:gridCol w:w="628"/>
              <w:gridCol w:w="628"/>
              <w:gridCol w:w="628"/>
              <w:gridCol w:w="628"/>
              <w:gridCol w:w="619"/>
            </w:tblGrid>
            <w:tr w14:paraId="2ADBB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restart"/>
                  <w:shd w:val="clear" w:color="auto" w:fill="FFFFFF"/>
                  <w:vAlign w:val="center"/>
                </w:tcPr>
                <w:p w14:paraId="30388CCF">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卫生防护距离初值计算系数</w:t>
                  </w:r>
                </w:p>
              </w:tc>
              <w:tc>
                <w:tcPr>
                  <w:tcW w:w="1332" w:type="dxa"/>
                  <w:vMerge w:val="restart"/>
                  <w:shd w:val="clear" w:color="auto" w:fill="FFFFFF"/>
                  <w:vAlign w:val="center"/>
                </w:tcPr>
                <w:p w14:paraId="753E1893">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工业企业所在地区近五年平均风速/（m/s）</w:t>
                  </w:r>
                </w:p>
              </w:tc>
              <w:tc>
                <w:tcPr>
                  <w:tcW w:w="6067" w:type="dxa"/>
                  <w:gridSpan w:val="9"/>
                  <w:shd w:val="clear" w:color="auto" w:fill="FFFFFF"/>
                  <w:vAlign w:val="center"/>
                </w:tcPr>
                <w:p w14:paraId="195F05B1">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卫生防护距离L/m</w:t>
                  </w:r>
                </w:p>
              </w:tc>
            </w:tr>
            <w:tr w14:paraId="798DA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continue"/>
                  <w:vAlign w:val="center"/>
                </w:tcPr>
                <w:p w14:paraId="691321C8">
                  <w:pPr>
                    <w:widowControl/>
                    <w:adjustRightInd w:val="0"/>
                    <w:snapToGrid w:val="0"/>
                    <w:jc w:val="center"/>
                    <w:rPr>
                      <w:rFonts w:hint="default" w:ascii="Times New Roman" w:hAnsi="Times New Roman" w:cs="Times New Roman"/>
                      <w:b/>
                      <w:bCs/>
                      <w:szCs w:val="21"/>
                    </w:rPr>
                  </w:pPr>
                </w:p>
              </w:tc>
              <w:tc>
                <w:tcPr>
                  <w:tcW w:w="1332" w:type="dxa"/>
                  <w:vMerge w:val="continue"/>
                  <w:vAlign w:val="center"/>
                </w:tcPr>
                <w:p w14:paraId="18104221">
                  <w:pPr>
                    <w:widowControl/>
                    <w:adjustRightInd w:val="0"/>
                    <w:snapToGrid w:val="0"/>
                    <w:jc w:val="center"/>
                    <w:rPr>
                      <w:rFonts w:hint="default" w:ascii="Times New Roman" w:hAnsi="Times New Roman" w:cs="Times New Roman"/>
                      <w:b/>
                      <w:bCs/>
                      <w:szCs w:val="21"/>
                    </w:rPr>
                  </w:pPr>
                </w:p>
              </w:tc>
              <w:tc>
                <w:tcPr>
                  <w:tcW w:w="2488" w:type="dxa"/>
                  <w:gridSpan w:val="3"/>
                  <w:vAlign w:val="center"/>
                </w:tcPr>
                <w:p w14:paraId="17E1B2F0">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L≤1000</w:t>
                  </w:r>
                </w:p>
              </w:tc>
              <w:tc>
                <w:tcPr>
                  <w:tcW w:w="1794" w:type="dxa"/>
                  <w:gridSpan w:val="3"/>
                  <w:vAlign w:val="center"/>
                </w:tcPr>
                <w:p w14:paraId="0FB792C7">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1000＜L≤2000</w:t>
                  </w:r>
                </w:p>
              </w:tc>
              <w:tc>
                <w:tcPr>
                  <w:tcW w:w="1785" w:type="dxa"/>
                  <w:gridSpan w:val="3"/>
                  <w:vAlign w:val="center"/>
                </w:tcPr>
                <w:p w14:paraId="52B811FA">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L＞2000</w:t>
                  </w:r>
                </w:p>
              </w:tc>
            </w:tr>
            <w:tr w14:paraId="3381E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continue"/>
                  <w:vAlign w:val="center"/>
                </w:tcPr>
                <w:p w14:paraId="6C186F93">
                  <w:pPr>
                    <w:widowControl/>
                    <w:adjustRightInd w:val="0"/>
                    <w:snapToGrid w:val="0"/>
                    <w:jc w:val="center"/>
                    <w:rPr>
                      <w:rFonts w:hint="default" w:ascii="Times New Roman" w:hAnsi="Times New Roman" w:cs="Times New Roman"/>
                      <w:b/>
                      <w:bCs/>
                      <w:szCs w:val="21"/>
                    </w:rPr>
                  </w:pPr>
                </w:p>
              </w:tc>
              <w:tc>
                <w:tcPr>
                  <w:tcW w:w="1332" w:type="dxa"/>
                  <w:vMerge w:val="continue"/>
                  <w:vAlign w:val="center"/>
                </w:tcPr>
                <w:p w14:paraId="582505A6">
                  <w:pPr>
                    <w:widowControl/>
                    <w:adjustRightInd w:val="0"/>
                    <w:snapToGrid w:val="0"/>
                    <w:jc w:val="center"/>
                    <w:rPr>
                      <w:rFonts w:hint="default" w:ascii="Times New Roman" w:hAnsi="Times New Roman" w:cs="Times New Roman"/>
                      <w:b/>
                      <w:bCs/>
                      <w:szCs w:val="21"/>
                    </w:rPr>
                  </w:pPr>
                </w:p>
              </w:tc>
              <w:tc>
                <w:tcPr>
                  <w:tcW w:w="6067" w:type="dxa"/>
                  <w:gridSpan w:val="9"/>
                  <w:vAlign w:val="center"/>
                </w:tcPr>
                <w:p w14:paraId="6E7032DC">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工业企业大气污染源构成类别</w:t>
                  </w:r>
                </w:p>
              </w:tc>
            </w:tr>
            <w:tr w14:paraId="6FDA2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continue"/>
                  <w:vAlign w:val="center"/>
                </w:tcPr>
                <w:p w14:paraId="62BF3FBF">
                  <w:pPr>
                    <w:widowControl/>
                    <w:adjustRightInd w:val="0"/>
                    <w:snapToGrid w:val="0"/>
                    <w:jc w:val="center"/>
                    <w:rPr>
                      <w:rFonts w:hint="default" w:ascii="Times New Roman" w:hAnsi="Times New Roman" w:cs="Times New Roman"/>
                      <w:szCs w:val="21"/>
                    </w:rPr>
                  </w:pPr>
                </w:p>
              </w:tc>
              <w:tc>
                <w:tcPr>
                  <w:tcW w:w="1332" w:type="dxa"/>
                  <w:vMerge w:val="continue"/>
                  <w:vAlign w:val="center"/>
                </w:tcPr>
                <w:p w14:paraId="0BF1AB49">
                  <w:pPr>
                    <w:widowControl/>
                    <w:adjustRightInd w:val="0"/>
                    <w:snapToGrid w:val="0"/>
                    <w:jc w:val="center"/>
                    <w:rPr>
                      <w:rFonts w:hint="default" w:ascii="Times New Roman" w:hAnsi="Times New Roman" w:cs="Times New Roman"/>
                      <w:szCs w:val="21"/>
                    </w:rPr>
                  </w:pPr>
                </w:p>
              </w:tc>
              <w:tc>
                <w:tcPr>
                  <w:tcW w:w="971" w:type="dxa"/>
                  <w:vAlign w:val="center"/>
                </w:tcPr>
                <w:p w14:paraId="6FAF762C">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fldChar w:fldCharType="begin"/>
                  </w:r>
                  <w:r>
                    <w:rPr>
                      <w:rFonts w:hint="default" w:ascii="Times New Roman" w:hAnsi="Times New Roman" w:cs="Times New Roman"/>
                      <w:b/>
                      <w:bCs/>
                      <w:szCs w:val="21"/>
                    </w:rPr>
                    <w:instrText xml:space="preserve"> = 1 \* ROMAN </w:instrText>
                  </w:r>
                  <w:r>
                    <w:rPr>
                      <w:rFonts w:hint="default" w:ascii="Times New Roman" w:hAnsi="Times New Roman" w:cs="Times New Roman"/>
                      <w:b/>
                      <w:bCs/>
                      <w:szCs w:val="21"/>
                    </w:rPr>
                    <w:fldChar w:fldCharType="separate"/>
                  </w:r>
                  <w:r>
                    <w:rPr>
                      <w:rFonts w:hint="default" w:ascii="Times New Roman" w:hAnsi="Times New Roman" w:cs="Times New Roman"/>
                      <w:b/>
                      <w:bCs/>
                      <w:szCs w:val="21"/>
                    </w:rPr>
                    <w:t>I</w:t>
                  </w:r>
                  <w:r>
                    <w:rPr>
                      <w:rFonts w:hint="default" w:ascii="Times New Roman" w:hAnsi="Times New Roman" w:cs="Times New Roman"/>
                      <w:b/>
                      <w:bCs/>
                      <w:szCs w:val="21"/>
                    </w:rPr>
                    <w:fldChar w:fldCharType="end"/>
                  </w:r>
                </w:p>
              </w:tc>
              <w:tc>
                <w:tcPr>
                  <w:tcW w:w="692" w:type="dxa"/>
                  <w:vAlign w:val="center"/>
                </w:tcPr>
                <w:p w14:paraId="593C2DCB">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fldChar w:fldCharType="begin"/>
                  </w:r>
                  <w:r>
                    <w:rPr>
                      <w:rFonts w:hint="default" w:ascii="Times New Roman" w:hAnsi="Times New Roman" w:cs="Times New Roman"/>
                      <w:b/>
                      <w:bCs/>
                      <w:szCs w:val="21"/>
                    </w:rPr>
                    <w:instrText xml:space="preserve"> = 2 \* ROMAN </w:instrText>
                  </w:r>
                  <w:r>
                    <w:rPr>
                      <w:rFonts w:hint="default" w:ascii="Times New Roman" w:hAnsi="Times New Roman" w:cs="Times New Roman"/>
                      <w:b/>
                      <w:bCs/>
                      <w:szCs w:val="21"/>
                    </w:rPr>
                    <w:fldChar w:fldCharType="separate"/>
                  </w:r>
                  <w:r>
                    <w:rPr>
                      <w:rFonts w:hint="default" w:ascii="Times New Roman" w:hAnsi="Times New Roman" w:cs="Times New Roman"/>
                      <w:b/>
                      <w:bCs/>
                      <w:szCs w:val="21"/>
                    </w:rPr>
                    <w:t>II</w:t>
                  </w:r>
                  <w:r>
                    <w:rPr>
                      <w:rFonts w:hint="default" w:ascii="Times New Roman" w:hAnsi="Times New Roman" w:cs="Times New Roman"/>
                      <w:b/>
                      <w:bCs/>
                      <w:szCs w:val="21"/>
                    </w:rPr>
                    <w:fldChar w:fldCharType="end"/>
                  </w:r>
                </w:p>
              </w:tc>
              <w:tc>
                <w:tcPr>
                  <w:tcW w:w="825" w:type="dxa"/>
                  <w:vAlign w:val="center"/>
                </w:tcPr>
                <w:p w14:paraId="43F45C9C">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fldChar w:fldCharType="begin"/>
                  </w:r>
                  <w:r>
                    <w:rPr>
                      <w:rFonts w:hint="default" w:ascii="Times New Roman" w:hAnsi="Times New Roman" w:cs="Times New Roman"/>
                      <w:b/>
                      <w:bCs/>
                      <w:szCs w:val="21"/>
                    </w:rPr>
                    <w:instrText xml:space="preserve"> = 3 \* ROMAN </w:instrText>
                  </w:r>
                  <w:r>
                    <w:rPr>
                      <w:rFonts w:hint="default" w:ascii="Times New Roman" w:hAnsi="Times New Roman" w:cs="Times New Roman"/>
                      <w:b/>
                      <w:bCs/>
                      <w:szCs w:val="21"/>
                    </w:rPr>
                    <w:fldChar w:fldCharType="separate"/>
                  </w:r>
                  <w:r>
                    <w:rPr>
                      <w:rFonts w:hint="default" w:ascii="Times New Roman" w:hAnsi="Times New Roman" w:cs="Times New Roman"/>
                      <w:b/>
                      <w:bCs/>
                      <w:szCs w:val="21"/>
                    </w:rPr>
                    <w:t>III</w:t>
                  </w:r>
                  <w:r>
                    <w:rPr>
                      <w:rFonts w:hint="default" w:ascii="Times New Roman" w:hAnsi="Times New Roman" w:cs="Times New Roman"/>
                      <w:b/>
                      <w:bCs/>
                      <w:szCs w:val="21"/>
                    </w:rPr>
                    <w:fldChar w:fldCharType="end"/>
                  </w:r>
                </w:p>
              </w:tc>
              <w:tc>
                <w:tcPr>
                  <w:tcW w:w="598" w:type="dxa"/>
                  <w:vAlign w:val="center"/>
                </w:tcPr>
                <w:p w14:paraId="1BF6C8DD">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fldChar w:fldCharType="begin"/>
                  </w:r>
                  <w:r>
                    <w:rPr>
                      <w:rFonts w:hint="default" w:ascii="Times New Roman" w:hAnsi="Times New Roman" w:cs="Times New Roman"/>
                      <w:b/>
                      <w:bCs/>
                      <w:szCs w:val="21"/>
                    </w:rPr>
                    <w:instrText xml:space="preserve"> = 1 \* ROMAN </w:instrText>
                  </w:r>
                  <w:r>
                    <w:rPr>
                      <w:rFonts w:hint="default" w:ascii="Times New Roman" w:hAnsi="Times New Roman" w:cs="Times New Roman"/>
                      <w:b/>
                      <w:bCs/>
                      <w:szCs w:val="21"/>
                    </w:rPr>
                    <w:fldChar w:fldCharType="separate"/>
                  </w:r>
                  <w:r>
                    <w:rPr>
                      <w:rFonts w:hint="default" w:ascii="Times New Roman" w:hAnsi="Times New Roman" w:cs="Times New Roman"/>
                      <w:b/>
                      <w:bCs/>
                      <w:szCs w:val="21"/>
                    </w:rPr>
                    <w:t>I</w:t>
                  </w:r>
                  <w:r>
                    <w:rPr>
                      <w:rFonts w:hint="default" w:ascii="Times New Roman" w:hAnsi="Times New Roman" w:cs="Times New Roman"/>
                      <w:b/>
                      <w:bCs/>
                      <w:szCs w:val="21"/>
                    </w:rPr>
                    <w:fldChar w:fldCharType="end"/>
                  </w:r>
                </w:p>
              </w:tc>
              <w:tc>
                <w:tcPr>
                  <w:tcW w:w="598" w:type="dxa"/>
                  <w:vAlign w:val="center"/>
                </w:tcPr>
                <w:p w14:paraId="6486FCD5">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fldChar w:fldCharType="begin"/>
                  </w:r>
                  <w:r>
                    <w:rPr>
                      <w:rFonts w:hint="default" w:ascii="Times New Roman" w:hAnsi="Times New Roman" w:cs="Times New Roman"/>
                      <w:b/>
                      <w:bCs/>
                      <w:szCs w:val="21"/>
                    </w:rPr>
                    <w:instrText xml:space="preserve"> = 2 \* ROMAN </w:instrText>
                  </w:r>
                  <w:r>
                    <w:rPr>
                      <w:rFonts w:hint="default" w:ascii="Times New Roman" w:hAnsi="Times New Roman" w:cs="Times New Roman"/>
                      <w:b/>
                      <w:bCs/>
                      <w:szCs w:val="21"/>
                    </w:rPr>
                    <w:fldChar w:fldCharType="separate"/>
                  </w:r>
                  <w:r>
                    <w:rPr>
                      <w:rFonts w:hint="default" w:ascii="Times New Roman" w:hAnsi="Times New Roman" w:cs="Times New Roman"/>
                      <w:b/>
                      <w:bCs/>
                      <w:szCs w:val="21"/>
                    </w:rPr>
                    <w:t>II</w:t>
                  </w:r>
                  <w:r>
                    <w:rPr>
                      <w:rFonts w:hint="default" w:ascii="Times New Roman" w:hAnsi="Times New Roman" w:cs="Times New Roman"/>
                      <w:b/>
                      <w:bCs/>
                      <w:szCs w:val="21"/>
                    </w:rPr>
                    <w:fldChar w:fldCharType="end"/>
                  </w:r>
                </w:p>
              </w:tc>
              <w:tc>
                <w:tcPr>
                  <w:tcW w:w="598" w:type="dxa"/>
                  <w:vAlign w:val="center"/>
                </w:tcPr>
                <w:p w14:paraId="211A4B2F">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fldChar w:fldCharType="begin"/>
                  </w:r>
                  <w:r>
                    <w:rPr>
                      <w:rFonts w:hint="default" w:ascii="Times New Roman" w:hAnsi="Times New Roman" w:cs="Times New Roman"/>
                      <w:b/>
                      <w:bCs/>
                      <w:szCs w:val="21"/>
                    </w:rPr>
                    <w:instrText xml:space="preserve"> = 3 \* ROMAN </w:instrText>
                  </w:r>
                  <w:r>
                    <w:rPr>
                      <w:rFonts w:hint="default" w:ascii="Times New Roman" w:hAnsi="Times New Roman" w:cs="Times New Roman"/>
                      <w:b/>
                      <w:bCs/>
                      <w:szCs w:val="21"/>
                    </w:rPr>
                    <w:fldChar w:fldCharType="separate"/>
                  </w:r>
                  <w:r>
                    <w:rPr>
                      <w:rFonts w:hint="default" w:ascii="Times New Roman" w:hAnsi="Times New Roman" w:cs="Times New Roman"/>
                      <w:b/>
                      <w:bCs/>
                      <w:szCs w:val="21"/>
                    </w:rPr>
                    <w:t>III</w:t>
                  </w:r>
                  <w:r>
                    <w:rPr>
                      <w:rFonts w:hint="default" w:ascii="Times New Roman" w:hAnsi="Times New Roman" w:cs="Times New Roman"/>
                      <w:b/>
                      <w:bCs/>
                      <w:szCs w:val="21"/>
                    </w:rPr>
                    <w:fldChar w:fldCharType="end"/>
                  </w:r>
                </w:p>
              </w:tc>
              <w:tc>
                <w:tcPr>
                  <w:tcW w:w="598" w:type="dxa"/>
                  <w:vAlign w:val="center"/>
                </w:tcPr>
                <w:p w14:paraId="1ED64514">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fldChar w:fldCharType="begin"/>
                  </w:r>
                  <w:r>
                    <w:rPr>
                      <w:rFonts w:hint="default" w:ascii="Times New Roman" w:hAnsi="Times New Roman" w:cs="Times New Roman"/>
                      <w:b/>
                      <w:bCs/>
                      <w:szCs w:val="21"/>
                    </w:rPr>
                    <w:instrText xml:space="preserve"> = 1 \* ROMAN </w:instrText>
                  </w:r>
                  <w:r>
                    <w:rPr>
                      <w:rFonts w:hint="default" w:ascii="Times New Roman" w:hAnsi="Times New Roman" w:cs="Times New Roman"/>
                      <w:b/>
                      <w:bCs/>
                      <w:szCs w:val="21"/>
                    </w:rPr>
                    <w:fldChar w:fldCharType="separate"/>
                  </w:r>
                  <w:r>
                    <w:rPr>
                      <w:rFonts w:hint="default" w:ascii="Times New Roman" w:hAnsi="Times New Roman" w:cs="Times New Roman"/>
                      <w:b/>
                      <w:bCs/>
                      <w:szCs w:val="21"/>
                    </w:rPr>
                    <w:t>I</w:t>
                  </w:r>
                  <w:r>
                    <w:rPr>
                      <w:rFonts w:hint="default" w:ascii="Times New Roman" w:hAnsi="Times New Roman" w:cs="Times New Roman"/>
                      <w:b/>
                      <w:bCs/>
                      <w:szCs w:val="21"/>
                    </w:rPr>
                    <w:fldChar w:fldCharType="end"/>
                  </w:r>
                </w:p>
              </w:tc>
              <w:tc>
                <w:tcPr>
                  <w:tcW w:w="598" w:type="dxa"/>
                  <w:vAlign w:val="center"/>
                </w:tcPr>
                <w:p w14:paraId="777D3AEF">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fldChar w:fldCharType="begin"/>
                  </w:r>
                  <w:r>
                    <w:rPr>
                      <w:rFonts w:hint="default" w:ascii="Times New Roman" w:hAnsi="Times New Roman" w:cs="Times New Roman"/>
                      <w:b/>
                      <w:bCs/>
                      <w:szCs w:val="21"/>
                    </w:rPr>
                    <w:instrText xml:space="preserve"> = 2 \* ROMAN </w:instrText>
                  </w:r>
                  <w:r>
                    <w:rPr>
                      <w:rFonts w:hint="default" w:ascii="Times New Roman" w:hAnsi="Times New Roman" w:cs="Times New Roman"/>
                      <w:b/>
                      <w:bCs/>
                      <w:szCs w:val="21"/>
                    </w:rPr>
                    <w:fldChar w:fldCharType="separate"/>
                  </w:r>
                  <w:r>
                    <w:rPr>
                      <w:rFonts w:hint="default" w:ascii="Times New Roman" w:hAnsi="Times New Roman" w:cs="Times New Roman"/>
                      <w:b/>
                      <w:bCs/>
                      <w:szCs w:val="21"/>
                    </w:rPr>
                    <w:t>II</w:t>
                  </w:r>
                  <w:r>
                    <w:rPr>
                      <w:rFonts w:hint="default" w:ascii="Times New Roman" w:hAnsi="Times New Roman" w:cs="Times New Roman"/>
                      <w:b/>
                      <w:bCs/>
                      <w:szCs w:val="21"/>
                    </w:rPr>
                    <w:fldChar w:fldCharType="end"/>
                  </w:r>
                </w:p>
              </w:tc>
              <w:tc>
                <w:tcPr>
                  <w:tcW w:w="589" w:type="dxa"/>
                  <w:vAlign w:val="center"/>
                </w:tcPr>
                <w:p w14:paraId="2984B07E">
                  <w:pPr>
                    <w:widowControl/>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fldChar w:fldCharType="begin"/>
                  </w:r>
                  <w:r>
                    <w:rPr>
                      <w:rFonts w:hint="default" w:ascii="Times New Roman" w:hAnsi="Times New Roman" w:cs="Times New Roman"/>
                      <w:b/>
                      <w:bCs/>
                      <w:szCs w:val="21"/>
                    </w:rPr>
                    <w:instrText xml:space="preserve"> = 3 \* ROMAN </w:instrText>
                  </w:r>
                  <w:r>
                    <w:rPr>
                      <w:rFonts w:hint="default" w:ascii="Times New Roman" w:hAnsi="Times New Roman" w:cs="Times New Roman"/>
                      <w:b/>
                      <w:bCs/>
                      <w:szCs w:val="21"/>
                    </w:rPr>
                    <w:fldChar w:fldCharType="separate"/>
                  </w:r>
                  <w:r>
                    <w:rPr>
                      <w:rFonts w:hint="default" w:ascii="Times New Roman" w:hAnsi="Times New Roman" w:cs="Times New Roman"/>
                      <w:b/>
                      <w:bCs/>
                      <w:szCs w:val="21"/>
                    </w:rPr>
                    <w:t>III</w:t>
                  </w:r>
                  <w:r>
                    <w:rPr>
                      <w:rFonts w:hint="default" w:ascii="Times New Roman" w:hAnsi="Times New Roman" w:cs="Times New Roman"/>
                      <w:b/>
                      <w:bCs/>
                      <w:szCs w:val="21"/>
                    </w:rPr>
                    <w:fldChar w:fldCharType="end"/>
                  </w:r>
                </w:p>
              </w:tc>
            </w:tr>
            <w:tr w14:paraId="33393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restart"/>
                  <w:vAlign w:val="center"/>
                </w:tcPr>
                <w:p w14:paraId="66469486">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A</w:t>
                  </w:r>
                </w:p>
              </w:tc>
              <w:tc>
                <w:tcPr>
                  <w:tcW w:w="1332" w:type="dxa"/>
                  <w:vAlign w:val="center"/>
                </w:tcPr>
                <w:p w14:paraId="61C443F0">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971" w:type="dxa"/>
                  <w:vAlign w:val="center"/>
                </w:tcPr>
                <w:p w14:paraId="614EBB12">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400</w:t>
                  </w:r>
                </w:p>
              </w:tc>
              <w:tc>
                <w:tcPr>
                  <w:tcW w:w="692" w:type="dxa"/>
                  <w:vAlign w:val="center"/>
                </w:tcPr>
                <w:p w14:paraId="3F47A0D9">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400</w:t>
                  </w:r>
                </w:p>
              </w:tc>
              <w:tc>
                <w:tcPr>
                  <w:tcW w:w="825" w:type="dxa"/>
                  <w:vAlign w:val="center"/>
                </w:tcPr>
                <w:p w14:paraId="4E2AF1F5">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400</w:t>
                  </w:r>
                </w:p>
              </w:tc>
              <w:tc>
                <w:tcPr>
                  <w:tcW w:w="598" w:type="dxa"/>
                  <w:vAlign w:val="center"/>
                </w:tcPr>
                <w:p w14:paraId="3393E175">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400</w:t>
                  </w:r>
                </w:p>
              </w:tc>
              <w:tc>
                <w:tcPr>
                  <w:tcW w:w="598" w:type="dxa"/>
                  <w:vAlign w:val="center"/>
                </w:tcPr>
                <w:p w14:paraId="7F735306">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400</w:t>
                  </w:r>
                </w:p>
              </w:tc>
              <w:tc>
                <w:tcPr>
                  <w:tcW w:w="598" w:type="dxa"/>
                  <w:vAlign w:val="center"/>
                </w:tcPr>
                <w:p w14:paraId="04A825EC">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400</w:t>
                  </w:r>
                </w:p>
              </w:tc>
              <w:tc>
                <w:tcPr>
                  <w:tcW w:w="598" w:type="dxa"/>
                  <w:vAlign w:val="center"/>
                </w:tcPr>
                <w:p w14:paraId="59B28B40">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80</w:t>
                  </w:r>
                </w:p>
              </w:tc>
              <w:tc>
                <w:tcPr>
                  <w:tcW w:w="598" w:type="dxa"/>
                  <w:vAlign w:val="center"/>
                </w:tcPr>
                <w:p w14:paraId="291861CD">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80</w:t>
                  </w:r>
                </w:p>
              </w:tc>
              <w:tc>
                <w:tcPr>
                  <w:tcW w:w="589" w:type="dxa"/>
                  <w:vAlign w:val="center"/>
                </w:tcPr>
                <w:p w14:paraId="3D42A9AE">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80</w:t>
                  </w:r>
                </w:p>
              </w:tc>
            </w:tr>
            <w:tr w14:paraId="723C0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continue"/>
                  <w:vAlign w:val="center"/>
                </w:tcPr>
                <w:p w14:paraId="62DC8316">
                  <w:pPr>
                    <w:widowControl/>
                    <w:adjustRightInd w:val="0"/>
                    <w:snapToGrid w:val="0"/>
                    <w:jc w:val="center"/>
                    <w:rPr>
                      <w:rFonts w:hint="default" w:ascii="Times New Roman" w:hAnsi="Times New Roman" w:cs="Times New Roman"/>
                      <w:szCs w:val="21"/>
                    </w:rPr>
                  </w:pPr>
                </w:p>
              </w:tc>
              <w:tc>
                <w:tcPr>
                  <w:tcW w:w="1332" w:type="dxa"/>
                  <w:vAlign w:val="center"/>
                </w:tcPr>
                <w:p w14:paraId="031E35CA">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2~4</w:t>
                  </w:r>
                </w:p>
              </w:tc>
              <w:tc>
                <w:tcPr>
                  <w:tcW w:w="971" w:type="dxa"/>
                  <w:vAlign w:val="center"/>
                </w:tcPr>
                <w:p w14:paraId="0F81CDE0">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700</w:t>
                  </w:r>
                </w:p>
              </w:tc>
              <w:tc>
                <w:tcPr>
                  <w:tcW w:w="692" w:type="dxa"/>
                  <w:vAlign w:val="center"/>
                </w:tcPr>
                <w:p w14:paraId="57060DA1">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470</w:t>
                  </w:r>
                </w:p>
              </w:tc>
              <w:tc>
                <w:tcPr>
                  <w:tcW w:w="825" w:type="dxa"/>
                  <w:vAlign w:val="center"/>
                </w:tcPr>
                <w:p w14:paraId="01D78788">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350</w:t>
                  </w:r>
                </w:p>
              </w:tc>
              <w:tc>
                <w:tcPr>
                  <w:tcW w:w="598" w:type="dxa"/>
                  <w:vAlign w:val="center"/>
                </w:tcPr>
                <w:p w14:paraId="67CF5A23">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700</w:t>
                  </w:r>
                </w:p>
              </w:tc>
              <w:tc>
                <w:tcPr>
                  <w:tcW w:w="598" w:type="dxa"/>
                  <w:vAlign w:val="center"/>
                </w:tcPr>
                <w:p w14:paraId="1B23D671">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470</w:t>
                  </w:r>
                </w:p>
              </w:tc>
              <w:tc>
                <w:tcPr>
                  <w:tcW w:w="598" w:type="dxa"/>
                  <w:vAlign w:val="center"/>
                </w:tcPr>
                <w:p w14:paraId="207E315A">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350</w:t>
                  </w:r>
                </w:p>
              </w:tc>
              <w:tc>
                <w:tcPr>
                  <w:tcW w:w="598" w:type="dxa"/>
                  <w:vAlign w:val="center"/>
                </w:tcPr>
                <w:p w14:paraId="30CC3E2D">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380</w:t>
                  </w:r>
                </w:p>
              </w:tc>
              <w:tc>
                <w:tcPr>
                  <w:tcW w:w="598" w:type="dxa"/>
                  <w:vAlign w:val="center"/>
                </w:tcPr>
                <w:p w14:paraId="78FF106B">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250</w:t>
                  </w:r>
                </w:p>
              </w:tc>
              <w:tc>
                <w:tcPr>
                  <w:tcW w:w="589" w:type="dxa"/>
                  <w:vAlign w:val="center"/>
                </w:tcPr>
                <w:p w14:paraId="36BCB031">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190</w:t>
                  </w:r>
                </w:p>
              </w:tc>
            </w:tr>
            <w:tr w14:paraId="3300F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continue"/>
                  <w:vAlign w:val="center"/>
                </w:tcPr>
                <w:p w14:paraId="47D154A3">
                  <w:pPr>
                    <w:widowControl/>
                    <w:adjustRightInd w:val="0"/>
                    <w:snapToGrid w:val="0"/>
                    <w:jc w:val="center"/>
                    <w:rPr>
                      <w:rFonts w:hint="default" w:ascii="Times New Roman" w:hAnsi="Times New Roman" w:cs="Times New Roman"/>
                      <w:szCs w:val="21"/>
                    </w:rPr>
                  </w:pPr>
                </w:p>
              </w:tc>
              <w:tc>
                <w:tcPr>
                  <w:tcW w:w="1332" w:type="dxa"/>
                  <w:vAlign w:val="center"/>
                </w:tcPr>
                <w:p w14:paraId="7E564F47">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971" w:type="dxa"/>
                  <w:vAlign w:val="center"/>
                </w:tcPr>
                <w:p w14:paraId="4CE8D040">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530</w:t>
                  </w:r>
                </w:p>
              </w:tc>
              <w:tc>
                <w:tcPr>
                  <w:tcW w:w="692" w:type="dxa"/>
                  <w:vAlign w:val="center"/>
                </w:tcPr>
                <w:p w14:paraId="1C339017">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350</w:t>
                  </w:r>
                </w:p>
              </w:tc>
              <w:tc>
                <w:tcPr>
                  <w:tcW w:w="825" w:type="dxa"/>
                  <w:vAlign w:val="center"/>
                </w:tcPr>
                <w:p w14:paraId="7BA27972">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260</w:t>
                  </w:r>
                </w:p>
              </w:tc>
              <w:tc>
                <w:tcPr>
                  <w:tcW w:w="598" w:type="dxa"/>
                  <w:vAlign w:val="center"/>
                </w:tcPr>
                <w:p w14:paraId="306810BD">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530</w:t>
                  </w:r>
                </w:p>
              </w:tc>
              <w:tc>
                <w:tcPr>
                  <w:tcW w:w="598" w:type="dxa"/>
                  <w:vAlign w:val="center"/>
                </w:tcPr>
                <w:p w14:paraId="0DDB80B0">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350</w:t>
                  </w:r>
                </w:p>
              </w:tc>
              <w:tc>
                <w:tcPr>
                  <w:tcW w:w="598" w:type="dxa"/>
                  <w:vAlign w:val="center"/>
                </w:tcPr>
                <w:p w14:paraId="6528ACC3">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260</w:t>
                  </w:r>
                </w:p>
              </w:tc>
              <w:tc>
                <w:tcPr>
                  <w:tcW w:w="598" w:type="dxa"/>
                  <w:vAlign w:val="center"/>
                </w:tcPr>
                <w:p w14:paraId="4DDA698F">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290</w:t>
                  </w:r>
                </w:p>
              </w:tc>
              <w:tc>
                <w:tcPr>
                  <w:tcW w:w="598" w:type="dxa"/>
                  <w:vAlign w:val="center"/>
                </w:tcPr>
                <w:p w14:paraId="2561612F">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190</w:t>
                  </w:r>
                </w:p>
              </w:tc>
              <w:tc>
                <w:tcPr>
                  <w:tcW w:w="589" w:type="dxa"/>
                  <w:vAlign w:val="center"/>
                </w:tcPr>
                <w:p w14:paraId="04168AD7">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110</w:t>
                  </w:r>
                </w:p>
              </w:tc>
            </w:tr>
            <w:tr w14:paraId="6C2B0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restart"/>
                  <w:vAlign w:val="center"/>
                </w:tcPr>
                <w:p w14:paraId="520C9900">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B</w:t>
                  </w:r>
                </w:p>
              </w:tc>
              <w:tc>
                <w:tcPr>
                  <w:tcW w:w="1332" w:type="dxa"/>
                  <w:vAlign w:val="center"/>
                </w:tcPr>
                <w:p w14:paraId="304E35F6">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2488" w:type="dxa"/>
                  <w:gridSpan w:val="3"/>
                  <w:vAlign w:val="center"/>
                </w:tcPr>
                <w:p w14:paraId="37AC9BE1">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0.01</w:t>
                  </w:r>
                </w:p>
              </w:tc>
              <w:tc>
                <w:tcPr>
                  <w:tcW w:w="1794" w:type="dxa"/>
                  <w:gridSpan w:val="3"/>
                  <w:vAlign w:val="center"/>
                </w:tcPr>
                <w:p w14:paraId="4F31121F">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0.015</w:t>
                  </w:r>
                </w:p>
              </w:tc>
              <w:tc>
                <w:tcPr>
                  <w:tcW w:w="1785" w:type="dxa"/>
                  <w:gridSpan w:val="3"/>
                  <w:vAlign w:val="center"/>
                </w:tcPr>
                <w:p w14:paraId="03D990C8">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0.015</w:t>
                  </w:r>
                </w:p>
              </w:tc>
            </w:tr>
            <w:tr w14:paraId="520E9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continue"/>
                  <w:vAlign w:val="center"/>
                </w:tcPr>
                <w:p w14:paraId="3EF6152D">
                  <w:pPr>
                    <w:widowControl/>
                    <w:adjustRightInd w:val="0"/>
                    <w:snapToGrid w:val="0"/>
                    <w:jc w:val="center"/>
                    <w:rPr>
                      <w:rFonts w:hint="default" w:ascii="Times New Roman" w:hAnsi="Times New Roman" w:cs="Times New Roman"/>
                      <w:szCs w:val="21"/>
                    </w:rPr>
                  </w:pPr>
                </w:p>
              </w:tc>
              <w:tc>
                <w:tcPr>
                  <w:tcW w:w="1332" w:type="dxa"/>
                  <w:vAlign w:val="center"/>
                </w:tcPr>
                <w:p w14:paraId="76E1BE1F">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2488" w:type="dxa"/>
                  <w:gridSpan w:val="3"/>
                  <w:vAlign w:val="center"/>
                </w:tcPr>
                <w:p w14:paraId="62CD22C7">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0.021</w:t>
                  </w:r>
                </w:p>
              </w:tc>
              <w:tc>
                <w:tcPr>
                  <w:tcW w:w="1794" w:type="dxa"/>
                  <w:gridSpan w:val="3"/>
                  <w:vAlign w:val="center"/>
                </w:tcPr>
                <w:p w14:paraId="26F619DE">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0.036</w:t>
                  </w:r>
                </w:p>
              </w:tc>
              <w:tc>
                <w:tcPr>
                  <w:tcW w:w="1785" w:type="dxa"/>
                  <w:gridSpan w:val="3"/>
                  <w:vAlign w:val="center"/>
                </w:tcPr>
                <w:p w14:paraId="4A09E6EB">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0.036</w:t>
                  </w:r>
                </w:p>
              </w:tc>
            </w:tr>
            <w:tr w14:paraId="447A4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restart"/>
                  <w:vAlign w:val="center"/>
                </w:tcPr>
                <w:p w14:paraId="30668442">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C</w:t>
                  </w:r>
                </w:p>
              </w:tc>
              <w:tc>
                <w:tcPr>
                  <w:tcW w:w="1332" w:type="dxa"/>
                  <w:vAlign w:val="center"/>
                </w:tcPr>
                <w:p w14:paraId="17781956">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2488" w:type="dxa"/>
                  <w:gridSpan w:val="3"/>
                  <w:vAlign w:val="center"/>
                </w:tcPr>
                <w:p w14:paraId="3A1A86CB">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1.85</w:t>
                  </w:r>
                </w:p>
              </w:tc>
              <w:tc>
                <w:tcPr>
                  <w:tcW w:w="1794" w:type="dxa"/>
                  <w:gridSpan w:val="3"/>
                  <w:vAlign w:val="center"/>
                </w:tcPr>
                <w:p w14:paraId="46CE29C1">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1.79</w:t>
                  </w:r>
                </w:p>
              </w:tc>
              <w:tc>
                <w:tcPr>
                  <w:tcW w:w="1785" w:type="dxa"/>
                  <w:gridSpan w:val="3"/>
                  <w:vAlign w:val="center"/>
                </w:tcPr>
                <w:p w14:paraId="5CCD47D5">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1.79</w:t>
                  </w:r>
                </w:p>
              </w:tc>
            </w:tr>
            <w:tr w14:paraId="7FA3A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continue"/>
                  <w:vAlign w:val="center"/>
                </w:tcPr>
                <w:p w14:paraId="55DD1843">
                  <w:pPr>
                    <w:widowControl/>
                    <w:adjustRightInd w:val="0"/>
                    <w:snapToGrid w:val="0"/>
                    <w:jc w:val="center"/>
                    <w:rPr>
                      <w:rFonts w:hint="default" w:ascii="Times New Roman" w:hAnsi="Times New Roman" w:cs="Times New Roman"/>
                      <w:szCs w:val="21"/>
                    </w:rPr>
                  </w:pPr>
                </w:p>
              </w:tc>
              <w:tc>
                <w:tcPr>
                  <w:tcW w:w="1332" w:type="dxa"/>
                  <w:vAlign w:val="center"/>
                </w:tcPr>
                <w:p w14:paraId="082AFF38">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2488" w:type="dxa"/>
                  <w:gridSpan w:val="3"/>
                  <w:vAlign w:val="center"/>
                </w:tcPr>
                <w:p w14:paraId="18D288D6">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1.85</w:t>
                  </w:r>
                </w:p>
              </w:tc>
              <w:tc>
                <w:tcPr>
                  <w:tcW w:w="1794" w:type="dxa"/>
                  <w:gridSpan w:val="3"/>
                  <w:vAlign w:val="center"/>
                </w:tcPr>
                <w:p w14:paraId="0DB9AE03">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1.77</w:t>
                  </w:r>
                </w:p>
              </w:tc>
              <w:tc>
                <w:tcPr>
                  <w:tcW w:w="1785" w:type="dxa"/>
                  <w:gridSpan w:val="3"/>
                  <w:vAlign w:val="center"/>
                </w:tcPr>
                <w:p w14:paraId="12E0086F">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1.77</w:t>
                  </w:r>
                </w:p>
              </w:tc>
            </w:tr>
            <w:tr w14:paraId="73317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restart"/>
                  <w:vAlign w:val="center"/>
                </w:tcPr>
                <w:p w14:paraId="343B6398">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D</w:t>
                  </w:r>
                </w:p>
              </w:tc>
              <w:tc>
                <w:tcPr>
                  <w:tcW w:w="1332" w:type="dxa"/>
                  <w:vAlign w:val="center"/>
                </w:tcPr>
                <w:p w14:paraId="7AFCDF13">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2488" w:type="dxa"/>
                  <w:gridSpan w:val="3"/>
                  <w:vAlign w:val="center"/>
                </w:tcPr>
                <w:p w14:paraId="6E76B344">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0.78</w:t>
                  </w:r>
                </w:p>
              </w:tc>
              <w:tc>
                <w:tcPr>
                  <w:tcW w:w="1794" w:type="dxa"/>
                  <w:gridSpan w:val="3"/>
                  <w:vAlign w:val="center"/>
                </w:tcPr>
                <w:p w14:paraId="69E39C2E">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0.78</w:t>
                  </w:r>
                </w:p>
              </w:tc>
              <w:tc>
                <w:tcPr>
                  <w:tcW w:w="1785" w:type="dxa"/>
                  <w:gridSpan w:val="3"/>
                  <w:vAlign w:val="center"/>
                </w:tcPr>
                <w:p w14:paraId="1FA71B21">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0.57</w:t>
                  </w:r>
                </w:p>
              </w:tc>
            </w:tr>
            <w:tr w14:paraId="52838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1" w:type="dxa"/>
                  <w:vMerge w:val="continue"/>
                  <w:vAlign w:val="center"/>
                </w:tcPr>
                <w:p w14:paraId="5E3A2B0D">
                  <w:pPr>
                    <w:widowControl/>
                    <w:adjustRightInd w:val="0"/>
                    <w:snapToGrid w:val="0"/>
                    <w:jc w:val="center"/>
                    <w:rPr>
                      <w:rFonts w:hint="default" w:ascii="Times New Roman" w:hAnsi="Times New Roman" w:cs="Times New Roman"/>
                      <w:szCs w:val="21"/>
                    </w:rPr>
                  </w:pPr>
                </w:p>
              </w:tc>
              <w:tc>
                <w:tcPr>
                  <w:tcW w:w="1332" w:type="dxa"/>
                  <w:vAlign w:val="center"/>
                </w:tcPr>
                <w:p w14:paraId="7B0C13A4">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2488" w:type="dxa"/>
                  <w:gridSpan w:val="3"/>
                  <w:vAlign w:val="center"/>
                </w:tcPr>
                <w:p w14:paraId="5F92A420">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0.84</w:t>
                  </w:r>
                </w:p>
              </w:tc>
              <w:tc>
                <w:tcPr>
                  <w:tcW w:w="1794" w:type="dxa"/>
                  <w:gridSpan w:val="3"/>
                  <w:vAlign w:val="center"/>
                </w:tcPr>
                <w:p w14:paraId="0B62CCB8">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0.84</w:t>
                  </w:r>
                </w:p>
              </w:tc>
              <w:tc>
                <w:tcPr>
                  <w:tcW w:w="1785" w:type="dxa"/>
                  <w:gridSpan w:val="3"/>
                  <w:vAlign w:val="center"/>
                </w:tcPr>
                <w:p w14:paraId="701701C5">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0.76</w:t>
                  </w:r>
                </w:p>
              </w:tc>
            </w:tr>
          </w:tbl>
          <w:p w14:paraId="3F77BED1">
            <w:pPr>
              <w:pStyle w:val="81"/>
              <w:rPr>
                <w:rFonts w:hint="default" w:ascii="Times New Roman" w:hAnsi="Times New Roman" w:cs="Times New Roman"/>
                <w:sz w:val="21"/>
                <w:szCs w:val="21"/>
              </w:rPr>
            </w:pPr>
            <w:r>
              <w:rPr>
                <w:rFonts w:hint="default" w:ascii="Times New Roman" w:hAnsi="Times New Roman" w:cs="Times New Roman"/>
                <w:sz w:val="21"/>
                <w:szCs w:val="21"/>
              </w:rPr>
              <w:t>项目建成后全厂单个大气有害物质的无组织排放量及速率情况见下表：</w:t>
            </w:r>
          </w:p>
          <w:p w14:paraId="1B52997A">
            <w:pPr>
              <w:wordWrap w:val="0"/>
              <w:topLinePunct/>
              <w:adjustRightInd w:val="0"/>
              <w:snapToGrid w:val="0"/>
              <w:ind w:firstLine="422" w:firstLineChars="200"/>
              <w:jc w:val="center"/>
              <w:rPr>
                <w:rFonts w:hint="default" w:ascii="Times New Roman" w:hAnsi="Times New Roman" w:cs="Times New Roman"/>
                <w:b/>
                <w:sz w:val="21"/>
                <w:szCs w:val="21"/>
              </w:rPr>
            </w:pPr>
            <w:r>
              <w:rPr>
                <w:rFonts w:hint="default" w:ascii="Times New Roman" w:hAnsi="Times New Roman" w:cs="Times New Roman"/>
                <w:b/>
                <w:bCs/>
                <w:sz w:val="21"/>
                <w:szCs w:val="21"/>
              </w:rPr>
              <w:t>表4-</w:t>
            </w:r>
            <w:r>
              <w:rPr>
                <w:rFonts w:hint="eastAsia" w:ascii="Times New Roman" w:hAnsi="Times New Roman" w:cs="Times New Roman"/>
                <w:b/>
                <w:bCs/>
                <w:sz w:val="21"/>
                <w:szCs w:val="21"/>
                <w:lang w:val="en-US" w:eastAsia="zh-CN"/>
              </w:rPr>
              <w:t>10</w:t>
            </w:r>
            <w:r>
              <w:rPr>
                <w:rFonts w:hint="default" w:ascii="Times New Roman" w:hAnsi="Times New Roman" w:cs="Times New Roman"/>
                <w:b/>
                <w:spacing w:val="-10"/>
                <w:sz w:val="21"/>
                <w:szCs w:val="21"/>
              </w:rPr>
              <w:t>本</w:t>
            </w:r>
            <w:r>
              <w:rPr>
                <w:rFonts w:hint="default" w:ascii="Times New Roman" w:hAnsi="Times New Roman" w:cs="Times New Roman"/>
                <w:b/>
                <w:sz w:val="21"/>
                <w:szCs w:val="21"/>
              </w:rPr>
              <w:t>项目建成后全厂无组织排放情况表</w:t>
            </w:r>
          </w:p>
          <w:tbl>
            <w:tblPr>
              <w:tblStyle w:val="8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722"/>
              <w:gridCol w:w="1743"/>
              <w:gridCol w:w="1535"/>
              <w:gridCol w:w="2197"/>
            </w:tblGrid>
            <w:tr w14:paraId="14C94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Align w:val="center"/>
                </w:tcPr>
                <w:p w14:paraId="5761B3D7">
                  <w:pPr>
                    <w:topLinePunct/>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污染源</w:t>
                  </w:r>
                </w:p>
              </w:tc>
              <w:tc>
                <w:tcPr>
                  <w:tcW w:w="973" w:type="pct"/>
                  <w:vAlign w:val="center"/>
                </w:tcPr>
                <w:p w14:paraId="4E4671DB">
                  <w:pPr>
                    <w:wordWrap w:val="0"/>
                    <w:topLinePunct/>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污染物</w:t>
                  </w:r>
                </w:p>
              </w:tc>
              <w:tc>
                <w:tcPr>
                  <w:tcW w:w="985" w:type="pct"/>
                  <w:vAlign w:val="center"/>
                </w:tcPr>
                <w:p w14:paraId="50863B09">
                  <w:pPr>
                    <w:wordWrap w:val="0"/>
                    <w:topLinePunct/>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工序</w:t>
                  </w:r>
                </w:p>
              </w:tc>
              <w:tc>
                <w:tcPr>
                  <w:tcW w:w="867" w:type="pct"/>
                  <w:tcBorders>
                    <w:bottom w:val="single" w:color="auto" w:sz="4" w:space="0"/>
                  </w:tcBorders>
                  <w:vAlign w:val="center"/>
                </w:tcPr>
                <w:p w14:paraId="30ED4734">
                  <w:pPr>
                    <w:wordWrap w:val="0"/>
                    <w:topLinePunct/>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排放量</w:t>
                  </w:r>
                </w:p>
                <w:p w14:paraId="7BD2DAE6">
                  <w:pPr>
                    <w:wordWrap w:val="0"/>
                    <w:topLinePunct/>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（kg/a）</w:t>
                  </w:r>
                </w:p>
              </w:tc>
              <w:tc>
                <w:tcPr>
                  <w:tcW w:w="1241" w:type="pct"/>
                  <w:tcBorders>
                    <w:bottom w:val="single" w:color="auto" w:sz="4" w:space="0"/>
                  </w:tcBorders>
                  <w:vAlign w:val="center"/>
                </w:tcPr>
                <w:p w14:paraId="7BCD267C">
                  <w:pPr>
                    <w:wordWrap w:val="0"/>
                    <w:topLinePunct/>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排放速率</w:t>
                  </w:r>
                </w:p>
                <w:p w14:paraId="61C0004F">
                  <w:pPr>
                    <w:wordWrap w:val="0"/>
                    <w:topLinePunct/>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（kg/h）</w:t>
                  </w:r>
                </w:p>
              </w:tc>
            </w:tr>
            <w:tr w14:paraId="72CC7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restart"/>
                  <w:vAlign w:val="center"/>
                </w:tcPr>
                <w:p w14:paraId="6F4BF85B">
                  <w:pPr>
                    <w:topLinePunct/>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注塑车间</w:t>
                  </w:r>
                </w:p>
              </w:tc>
              <w:tc>
                <w:tcPr>
                  <w:tcW w:w="973" w:type="pct"/>
                  <w:vAlign w:val="center"/>
                </w:tcPr>
                <w:p w14:paraId="178D9061">
                  <w:pPr>
                    <w:wordWrap w:val="0"/>
                    <w:topLinePunct/>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cs="Times New Roman"/>
                      <w:szCs w:val="21"/>
                      <w:lang w:val="en-US" w:eastAsia="zh-CN"/>
                    </w:rPr>
                    <w:t>颗粒物</w:t>
                  </w:r>
                </w:p>
              </w:tc>
              <w:tc>
                <w:tcPr>
                  <w:tcW w:w="985" w:type="pct"/>
                  <w:vAlign w:val="center"/>
                </w:tcPr>
                <w:p w14:paraId="2BCDE5D8">
                  <w:pPr>
                    <w:wordWrap w:val="0"/>
                    <w:topLinePunct/>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cs="Times New Roman"/>
                      <w:szCs w:val="21"/>
                      <w:lang w:val="en-US" w:eastAsia="zh-CN"/>
                    </w:rPr>
                    <w:t>破碎</w:t>
                  </w:r>
                </w:p>
              </w:tc>
              <w:tc>
                <w:tcPr>
                  <w:tcW w:w="867" w:type="pct"/>
                  <w:vAlign w:val="center"/>
                </w:tcPr>
                <w:p w14:paraId="1B510289">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0.0106</w:t>
                  </w:r>
                </w:p>
              </w:tc>
              <w:tc>
                <w:tcPr>
                  <w:tcW w:w="1241" w:type="pct"/>
                  <w:vAlign w:val="center"/>
                </w:tcPr>
                <w:p w14:paraId="4E0597BF">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0.0009</w:t>
                  </w:r>
                </w:p>
              </w:tc>
            </w:tr>
            <w:tr w14:paraId="378DC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vAlign w:val="center"/>
                </w:tcPr>
                <w:p w14:paraId="363D559F">
                  <w:pPr>
                    <w:adjustRightInd w:val="0"/>
                    <w:snapToGrid w:val="0"/>
                    <w:jc w:val="center"/>
                    <w:rPr>
                      <w:rFonts w:hint="default" w:ascii="Times New Roman" w:hAnsi="Times New Roman" w:cs="Times New Roman"/>
                      <w:szCs w:val="21"/>
                    </w:rPr>
                  </w:pPr>
                </w:p>
              </w:tc>
              <w:tc>
                <w:tcPr>
                  <w:tcW w:w="973" w:type="pct"/>
                  <w:vAlign w:val="center"/>
                </w:tcPr>
                <w:p w14:paraId="59DD4F0D">
                  <w:pPr>
                    <w:keepNext w:val="0"/>
                    <w:keepLines w:val="0"/>
                    <w:widowControl/>
                    <w:suppressLineNumbers w:val="0"/>
                    <w:adjustRightInd w:val="0"/>
                    <w:snapToGrid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985" w:type="pct"/>
                  <w:vAlign w:val="center"/>
                </w:tcPr>
                <w:p w14:paraId="7971C754">
                  <w:pPr>
                    <w:wordWrap w:val="0"/>
                    <w:topLinePunct/>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cs="Times New Roman"/>
                      <w:szCs w:val="21"/>
                      <w:lang w:val="en-US" w:eastAsia="zh-CN"/>
                    </w:rPr>
                    <w:t>注塑</w:t>
                  </w:r>
                </w:p>
              </w:tc>
              <w:tc>
                <w:tcPr>
                  <w:tcW w:w="867" w:type="pct"/>
                  <w:vAlign w:val="center"/>
                </w:tcPr>
                <w:p w14:paraId="60376D11">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6.75</w:t>
                  </w:r>
                </w:p>
              </w:tc>
              <w:tc>
                <w:tcPr>
                  <w:tcW w:w="1241" w:type="pct"/>
                  <w:vAlign w:val="center"/>
                </w:tcPr>
                <w:p w14:paraId="156C21CE">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0.0014</w:t>
                  </w:r>
                </w:p>
              </w:tc>
            </w:tr>
            <w:tr w14:paraId="59539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vAlign w:val="center"/>
                </w:tcPr>
                <w:p w14:paraId="087B22EE">
                  <w:pPr>
                    <w:adjustRightInd w:val="0"/>
                    <w:snapToGrid w:val="0"/>
                    <w:jc w:val="center"/>
                    <w:rPr>
                      <w:rFonts w:hint="default" w:ascii="Times New Roman" w:hAnsi="Times New Roman" w:cs="Times New Roman"/>
                      <w:szCs w:val="21"/>
                    </w:rPr>
                  </w:pPr>
                </w:p>
              </w:tc>
              <w:tc>
                <w:tcPr>
                  <w:tcW w:w="973" w:type="pct"/>
                  <w:vAlign w:val="center"/>
                </w:tcPr>
                <w:p w14:paraId="120A75CF">
                  <w:pPr>
                    <w:autoSpaceDE w:val="0"/>
                    <w:autoSpaceDN w:val="0"/>
                    <w:adjustRightInd w:val="0"/>
                    <w:snapToGrid w:val="0"/>
                    <w:jc w:val="center"/>
                    <w:rPr>
                      <w:rFonts w:hint="default" w:ascii="Times New Roman" w:hAnsi="Times New Roman" w:cs="Times New Roman"/>
                      <w:szCs w:val="21"/>
                    </w:rPr>
                  </w:pPr>
                  <w:r>
                    <w:rPr>
                      <w:rFonts w:hint="eastAsia" w:ascii="宋体" w:hAnsi="宋体" w:eastAsia="宋体" w:cs="宋体"/>
                      <w:color w:val="000000"/>
                      <w:kern w:val="0"/>
                      <w:sz w:val="21"/>
                      <w:szCs w:val="21"/>
                      <w:lang w:val="en-US" w:eastAsia="zh-CN" w:bidi="ar"/>
                    </w:rPr>
                    <w:t>丙烯腈</w:t>
                  </w:r>
                </w:p>
              </w:tc>
              <w:tc>
                <w:tcPr>
                  <w:tcW w:w="985" w:type="pct"/>
                  <w:vAlign w:val="center"/>
                </w:tcPr>
                <w:p w14:paraId="3E304435">
                  <w:pPr>
                    <w:wordWrap w:val="0"/>
                    <w:topLinePunct/>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注塑</w:t>
                  </w:r>
                </w:p>
              </w:tc>
              <w:tc>
                <w:tcPr>
                  <w:tcW w:w="867" w:type="pct"/>
                  <w:vAlign w:val="center"/>
                </w:tcPr>
                <w:p w14:paraId="0838B1CC">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0.051</w:t>
                  </w:r>
                </w:p>
              </w:tc>
              <w:tc>
                <w:tcPr>
                  <w:tcW w:w="1241" w:type="pct"/>
                  <w:vAlign w:val="center"/>
                </w:tcPr>
                <w:p w14:paraId="0BC4CF35">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0.00001</w:t>
                  </w:r>
                </w:p>
              </w:tc>
            </w:tr>
            <w:tr w14:paraId="2CECC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vAlign w:val="center"/>
                </w:tcPr>
                <w:p w14:paraId="7DB28815">
                  <w:pPr>
                    <w:adjustRightInd w:val="0"/>
                    <w:snapToGrid w:val="0"/>
                    <w:jc w:val="center"/>
                    <w:rPr>
                      <w:rFonts w:hint="default" w:ascii="Times New Roman" w:hAnsi="Times New Roman" w:cs="Times New Roman"/>
                      <w:szCs w:val="21"/>
                    </w:rPr>
                  </w:pPr>
                </w:p>
              </w:tc>
              <w:tc>
                <w:tcPr>
                  <w:tcW w:w="973" w:type="pct"/>
                  <w:vAlign w:val="center"/>
                </w:tcPr>
                <w:p w14:paraId="1A81E2FE">
                  <w:pPr>
                    <w:autoSpaceDE w:val="0"/>
                    <w:autoSpaceDN w:val="0"/>
                    <w:adjustRightInd w:val="0"/>
                    <w:snapToGrid w:val="0"/>
                    <w:jc w:val="center"/>
                    <w:rPr>
                      <w:rFonts w:hint="default" w:ascii="Times New Roman" w:hAnsi="Times New Roman" w:cs="Times New Roman"/>
                      <w:szCs w:val="21"/>
                    </w:rPr>
                  </w:pPr>
                  <w:r>
                    <w:rPr>
                      <w:rFonts w:hint="eastAsia"/>
                      <w:szCs w:val="21"/>
                    </w:rPr>
                    <w:t>苯乙烯</w:t>
                  </w:r>
                </w:p>
              </w:tc>
              <w:tc>
                <w:tcPr>
                  <w:tcW w:w="985" w:type="pct"/>
                  <w:vAlign w:val="center"/>
                </w:tcPr>
                <w:p w14:paraId="07ED355A">
                  <w:pPr>
                    <w:wordWrap w:val="0"/>
                    <w:topLinePunct/>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注塑</w:t>
                  </w:r>
                </w:p>
              </w:tc>
              <w:tc>
                <w:tcPr>
                  <w:tcW w:w="867" w:type="pct"/>
                  <w:vAlign w:val="center"/>
                </w:tcPr>
                <w:p w14:paraId="3305CAD0">
                  <w:pPr>
                    <w:tabs>
                      <w:tab w:val="left" w:pos="504"/>
                    </w:tabs>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1.026</w:t>
                  </w:r>
                </w:p>
              </w:tc>
              <w:tc>
                <w:tcPr>
                  <w:tcW w:w="1241" w:type="pct"/>
                  <w:vAlign w:val="center"/>
                </w:tcPr>
                <w:p w14:paraId="1A5345E7">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0.0002</w:t>
                  </w:r>
                </w:p>
              </w:tc>
            </w:tr>
            <w:tr w14:paraId="0FB22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restart"/>
                  <w:vAlign w:val="center"/>
                </w:tcPr>
                <w:p w14:paraId="701A7308">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喷涂车间</w:t>
                  </w:r>
                </w:p>
              </w:tc>
              <w:tc>
                <w:tcPr>
                  <w:tcW w:w="973" w:type="pct"/>
                  <w:vMerge w:val="restart"/>
                  <w:vAlign w:val="center"/>
                </w:tcPr>
                <w:p w14:paraId="269381C3">
                  <w:pPr>
                    <w:keepNext w:val="0"/>
                    <w:keepLines w:val="0"/>
                    <w:widowControl/>
                    <w:suppressLineNumbers w:val="0"/>
                    <w:adjustRightInd w:val="0"/>
                    <w:snapToGrid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985" w:type="pct"/>
                  <w:vAlign w:val="center"/>
                </w:tcPr>
                <w:p w14:paraId="140F6268">
                  <w:pPr>
                    <w:wordWrap w:val="0"/>
                    <w:topLinePunct/>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喷涂</w:t>
                  </w:r>
                </w:p>
              </w:tc>
              <w:tc>
                <w:tcPr>
                  <w:tcW w:w="867" w:type="pct"/>
                  <w:vAlign w:val="center"/>
                </w:tcPr>
                <w:p w14:paraId="7EA8746C">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383.8045</w:t>
                  </w:r>
                </w:p>
              </w:tc>
              <w:tc>
                <w:tcPr>
                  <w:tcW w:w="1241" w:type="pct"/>
                  <w:vAlign w:val="center"/>
                </w:tcPr>
                <w:p w14:paraId="6EDFC075">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0.0799</w:t>
                  </w:r>
                </w:p>
              </w:tc>
            </w:tr>
            <w:tr w14:paraId="41B10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vAlign w:val="center"/>
                </w:tcPr>
                <w:p w14:paraId="2F915119">
                  <w:pPr>
                    <w:adjustRightInd w:val="0"/>
                    <w:snapToGrid w:val="0"/>
                    <w:jc w:val="center"/>
                    <w:rPr>
                      <w:rFonts w:hint="default" w:ascii="Times New Roman" w:hAnsi="Times New Roman" w:cs="Times New Roman"/>
                      <w:szCs w:val="21"/>
                    </w:rPr>
                  </w:pPr>
                </w:p>
              </w:tc>
              <w:tc>
                <w:tcPr>
                  <w:tcW w:w="973" w:type="pct"/>
                  <w:vMerge w:val="continue"/>
                  <w:vAlign w:val="center"/>
                </w:tcPr>
                <w:p w14:paraId="2394C1E1">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85" w:type="pct"/>
                  <w:vAlign w:val="center"/>
                </w:tcPr>
                <w:p w14:paraId="678CDA00">
                  <w:pPr>
                    <w:wordWrap w:val="0"/>
                    <w:topLinePunct/>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焊接</w:t>
                  </w:r>
                </w:p>
              </w:tc>
              <w:tc>
                <w:tcPr>
                  <w:tcW w:w="867" w:type="pct"/>
                  <w:vAlign w:val="center"/>
                </w:tcPr>
                <w:p w14:paraId="561C62AE">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0.0146</w:t>
                  </w:r>
                </w:p>
              </w:tc>
              <w:tc>
                <w:tcPr>
                  <w:tcW w:w="1241" w:type="pct"/>
                  <w:vAlign w:val="center"/>
                </w:tcPr>
                <w:p w14:paraId="6C8C1A05">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2.4</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5</w:t>
                  </w:r>
                </w:p>
              </w:tc>
            </w:tr>
            <w:tr w14:paraId="7ECD6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vAlign w:val="center"/>
                </w:tcPr>
                <w:p w14:paraId="747CD8A8">
                  <w:pPr>
                    <w:widowControl/>
                    <w:adjustRightInd w:val="0"/>
                    <w:snapToGrid w:val="0"/>
                    <w:jc w:val="center"/>
                    <w:rPr>
                      <w:rFonts w:hint="default" w:ascii="Times New Roman" w:hAnsi="Times New Roman" w:cs="Times New Roman"/>
                      <w:szCs w:val="21"/>
                    </w:rPr>
                  </w:pPr>
                </w:p>
              </w:tc>
              <w:tc>
                <w:tcPr>
                  <w:tcW w:w="973" w:type="pct"/>
                  <w:vAlign w:val="center"/>
                </w:tcPr>
                <w:p w14:paraId="54AD5AE8">
                  <w:pPr>
                    <w:autoSpaceDE w:val="0"/>
                    <w:autoSpaceDN w:val="0"/>
                    <w:adjustRightInd w:val="0"/>
                    <w:snapToGrid w:val="0"/>
                    <w:jc w:val="center"/>
                    <w:rPr>
                      <w:rFonts w:hint="default" w:ascii="Times New Roman" w:hAnsi="Times New Roman" w:cs="Times New Roman"/>
                      <w:szCs w:val="21"/>
                    </w:rPr>
                  </w:pPr>
                  <w:r>
                    <w:rPr>
                      <w:rFonts w:hint="eastAsia"/>
                      <w:szCs w:val="21"/>
                    </w:rPr>
                    <w:t>二甲苯</w:t>
                  </w:r>
                </w:p>
              </w:tc>
              <w:tc>
                <w:tcPr>
                  <w:tcW w:w="985" w:type="pct"/>
                  <w:vAlign w:val="center"/>
                </w:tcPr>
                <w:p w14:paraId="56D06B82">
                  <w:pPr>
                    <w:wordWrap w:val="0"/>
                    <w:topLinePunct/>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喷涂</w:t>
                  </w:r>
                </w:p>
              </w:tc>
              <w:tc>
                <w:tcPr>
                  <w:tcW w:w="867" w:type="pct"/>
                  <w:vAlign w:val="center"/>
                </w:tcPr>
                <w:p w14:paraId="36B76AA3">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6.25</w:t>
                  </w:r>
                </w:p>
              </w:tc>
              <w:tc>
                <w:tcPr>
                  <w:tcW w:w="1241" w:type="pct"/>
                  <w:vAlign w:val="center"/>
                </w:tcPr>
                <w:p w14:paraId="0FC6C671">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0.0013</w:t>
                  </w:r>
                </w:p>
              </w:tc>
            </w:tr>
            <w:tr w14:paraId="0DB65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vAlign w:val="center"/>
                </w:tcPr>
                <w:p w14:paraId="6917D70D">
                  <w:pPr>
                    <w:widowControl/>
                    <w:adjustRightInd w:val="0"/>
                    <w:snapToGrid w:val="0"/>
                    <w:jc w:val="center"/>
                    <w:rPr>
                      <w:rFonts w:hint="default" w:ascii="Times New Roman" w:hAnsi="Times New Roman" w:cs="Times New Roman"/>
                      <w:szCs w:val="21"/>
                    </w:rPr>
                  </w:pPr>
                </w:p>
              </w:tc>
              <w:tc>
                <w:tcPr>
                  <w:tcW w:w="973" w:type="pct"/>
                  <w:vAlign w:val="center"/>
                </w:tcPr>
                <w:p w14:paraId="524851FD">
                  <w:pPr>
                    <w:autoSpaceDE w:val="0"/>
                    <w:autoSpaceDN w:val="0"/>
                    <w:adjustRightInd w:val="0"/>
                    <w:snapToGrid w:val="0"/>
                    <w:jc w:val="center"/>
                    <w:rPr>
                      <w:rFonts w:hint="default" w:ascii="Times New Roman" w:hAnsi="Times New Roman" w:cs="Times New Roman"/>
                      <w:szCs w:val="21"/>
                    </w:rPr>
                  </w:pPr>
                  <w:r>
                    <w:rPr>
                      <w:rFonts w:hint="eastAsia"/>
                      <w:szCs w:val="21"/>
                    </w:rPr>
                    <w:t>乙苯</w:t>
                  </w:r>
                </w:p>
              </w:tc>
              <w:tc>
                <w:tcPr>
                  <w:tcW w:w="985" w:type="pct"/>
                  <w:vAlign w:val="center"/>
                </w:tcPr>
                <w:p w14:paraId="79EA4EDE">
                  <w:pPr>
                    <w:wordWrap w:val="0"/>
                    <w:topLinePunct/>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喷涂</w:t>
                  </w:r>
                </w:p>
              </w:tc>
              <w:tc>
                <w:tcPr>
                  <w:tcW w:w="867" w:type="pct"/>
                  <w:vAlign w:val="center"/>
                </w:tcPr>
                <w:p w14:paraId="0DD09FC5">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0.925</w:t>
                  </w:r>
                </w:p>
              </w:tc>
              <w:tc>
                <w:tcPr>
                  <w:tcW w:w="1241" w:type="pct"/>
                  <w:vAlign w:val="center"/>
                </w:tcPr>
                <w:p w14:paraId="191407EF">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0.0002</w:t>
                  </w:r>
                </w:p>
              </w:tc>
            </w:tr>
            <w:tr w14:paraId="092B2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1" w:type="pct"/>
                  <w:vMerge w:val="continue"/>
                  <w:vAlign w:val="center"/>
                </w:tcPr>
                <w:p w14:paraId="6B74F5A9">
                  <w:pPr>
                    <w:widowControl/>
                    <w:adjustRightInd w:val="0"/>
                    <w:snapToGrid w:val="0"/>
                    <w:jc w:val="center"/>
                    <w:rPr>
                      <w:rFonts w:hint="default" w:ascii="Times New Roman" w:hAnsi="Times New Roman" w:cs="Times New Roman"/>
                      <w:szCs w:val="21"/>
                    </w:rPr>
                  </w:pPr>
                </w:p>
              </w:tc>
              <w:tc>
                <w:tcPr>
                  <w:tcW w:w="973" w:type="pct"/>
                  <w:vAlign w:val="center"/>
                </w:tcPr>
                <w:p w14:paraId="195CAB87">
                  <w:pPr>
                    <w:autoSpaceDE w:val="0"/>
                    <w:autoSpaceDN w:val="0"/>
                    <w:adjustRightInd w:val="0"/>
                    <w:snapToGrid w:val="0"/>
                    <w:jc w:val="center"/>
                    <w:rPr>
                      <w:rFonts w:hint="default" w:ascii="Times New Roman" w:hAnsi="Times New Roman" w:cs="Times New Roman"/>
                      <w:szCs w:val="21"/>
                    </w:rPr>
                  </w:pPr>
                  <w:r>
                    <w:rPr>
                      <w:rFonts w:hint="eastAsia"/>
                      <w:szCs w:val="21"/>
                      <w:lang w:val="en-US" w:eastAsia="zh-CN"/>
                    </w:rPr>
                    <w:t>漆雾（颗粒物）</w:t>
                  </w:r>
                </w:p>
              </w:tc>
              <w:tc>
                <w:tcPr>
                  <w:tcW w:w="985" w:type="pct"/>
                  <w:vAlign w:val="center"/>
                </w:tcPr>
                <w:p w14:paraId="4BB7E009">
                  <w:pPr>
                    <w:wordWrap w:val="0"/>
                    <w:topLinePunct/>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喷涂</w:t>
                  </w:r>
                </w:p>
              </w:tc>
              <w:tc>
                <w:tcPr>
                  <w:tcW w:w="867" w:type="pct"/>
                  <w:vAlign w:val="center"/>
                </w:tcPr>
                <w:p w14:paraId="24184CD9">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100.9</w:t>
                  </w:r>
                </w:p>
              </w:tc>
              <w:tc>
                <w:tcPr>
                  <w:tcW w:w="1241" w:type="pct"/>
                  <w:vAlign w:val="center"/>
                </w:tcPr>
                <w:p w14:paraId="695FC3CF">
                  <w:pPr>
                    <w:wordWrap w:val="0"/>
                    <w:topLinePunct/>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0.021</w:t>
                  </w:r>
                </w:p>
              </w:tc>
            </w:tr>
          </w:tbl>
          <w:p w14:paraId="3D56B04E">
            <w:pPr>
              <w:bidi w:val="0"/>
              <w:jc w:val="center"/>
              <w:rPr>
                <w:rFonts w:hint="default"/>
                <w:b/>
                <w:bCs/>
              </w:rPr>
            </w:pPr>
            <w:r>
              <w:rPr>
                <w:rFonts w:hint="default"/>
                <w:b/>
                <w:bCs/>
              </w:rPr>
              <w:t>表4-1</w:t>
            </w:r>
            <w:r>
              <w:rPr>
                <w:rFonts w:hint="eastAsia"/>
                <w:b/>
                <w:bCs/>
                <w:lang w:val="en-US" w:eastAsia="zh-CN"/>
              </w:rPr>
              <w:t>1</w:t>
            </w:r>
            <w:r>
              <w:rPr>
                <w:rFonts w:hint="default"/>
                <w:b/>
                <w:bCs/>
              </w:rPr>
              <w:t xml:space="preserve"> 项目无组织排放源有害物质等标排放量计算结果</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1187"/>
              <w:gridCol w:w="1760"/>
              <w:gridCol w:w="1474"/>
              <w:gridCol w:w="1474"/>
              <w:gridCol w:w="1474"/>
            </w:tblGrid>
            <w:tr w14:paraId="3AB55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Align w:val="center"/>
                </w:tcPr>
                <w:p w14:paraId="0FB6E7B4">
                  <w:pPr>
                    <w:pStyle w:val="85"/>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排放源</w:t>
                  </w:r>
                </w:p>
              </w:tc>
              <w:tc>
                <w:tcPr>
                  <w:tcW w:w="671" w:type="pct"/>
                  <w:vAlign w:val="center"/>
                </w:tcPr>
                <w:p w14:paraId="30977C39">
                  <w:pPr>
                    <w:pStyle w:val="85"/>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污染因子</w:t>
                  </w:r>
                </w:p>
              </w:tc>
              <w:tc>
                <w:tcPr>
                  <w:tcW w:w="995" w:type="pct"/>
                  <w:vAlign w:val="center"/>
                </w:tcPr>
                <w:p w14:paraId="161BD84C">
                  <w:pPr>
                    <w:pStyle w:val="85"/>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无组织排放源强</w:t>
                  </w:r>
                </w:p>
                <w:p w14:paraId="04E69CA7">
                  <w:pPr>
                    <w:pStyle w:val="85"/>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Qc（kg/h）</w:t>
                  </w:r>
                </w:p>
              </w:tc>
              <w:tc>
                <w:tcPr>
                  <w:tcW w:w="833" w:type="pct"/>
                  <w:vAlign w:val="center"/>
                </w:tcPr>
                <w:p w14:paraId="62E04E85">
                  <w:pPr>
                    <w:pStyle w:val="85"/>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标准限值Cm（mg/m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833" w:type="pct"/>
                  <w:vAlign w:val="center"/>
                </w:tcPr>
                <w:p w14:paraId="0D15DBD0">
                  <w:pPr>
                    <w:pStyle w:val="85"/>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等标排放量（Qc/Cm）</w:t>
                  </w:r>
                </w:p>
              </w:tc>
              <w:tc>
                <w:tcPr>
                  <w:tcW w:w="833" w:type="pct"/>
                  <w:vAlign w:val="center"/>
                </w:tcPr>
                <w:p w14:paraId="1EB1B0E7">
                  <w:pPr>
                    <w:pStyle w:val="85"/>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有害物质选取</w:t>
                  </w:r>
                </w:p>
              </w:tc>
            </w:tr>
            <w:tr w14:paraId="62A1B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restart"/>
                  <w:vAlign w:val="center"/>
                </w:tcPr>
                <w:p w14:paraId="3B50011F">
                  <w:pPr>
                    <w:bidi w:val="0"/>
                    <w:jc w:val="center"/>
                    <w:rPr>
                      <w:rFonts w:hint="default"/>
                    </w:rPr>
                  </w:pPr>
                  <w:r>
                    <w:rPr>
                      <w:rFonts w:hint="eastAsia"/>
                      <w:lang w:val="en-US" w:eastAsia="zh-CN"/>
                    </w:rPr>
                    <w:t>注塑车间</w:t>
                  </w:r>
                </w:p>
              </w:tc>
              <w:tc>
                <w:tcPr>
                  <w:tcW w:w="671" w:type="pct"/>
                  <w:vAlign w:val="center"/>
                </w:tcPr>
                <w:p w14:paraId="43520C03">
                  <w:pPr>
                    <w:pStyle w:val="85"/>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VOCs</w:t>
                  </w:r>
                </w:p>
              </w:tc>
              <w:tc>
                <w:tcPr>
                  <w:tcW w:w="995" w:type="pct"/>
                  <w:vAlign w:val="center"/>
                </w:tcPr>
                <w:p w14:paraId="5CC9F182">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0.0</w:t>
                  </w:r>
                  <w:r>
                    <w:rPr>
                      <w:rFonts w:hint="eastAsia" w:cs="Times New Roman"/>
                      <w:sz w:val="21"/>
                      <w:szCs w:val="21"/>
                      <w:lang w:val="en-US" w:eastAsia="zh-CN"/>
                    </w:rPr>
                    <w:t>014</w:t>
                  </w:r>
                </w:p>
              </w:tc>
              <w:tc>
                <w:tcPr>
                  <w:tcW w:w="833" w:type="pct"/>
                  <w:vAlign w:val="center"/>
                </w:tcPr>
                <w:p w14:paraId="57C0150C">
                  <w:pPr>
                    <w:pStyle w:val="85"/>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833" w:type="pct"/>
                  <w:vAlign w:val="center"/>
                </w:tcPr>
                <w:p w14:paraId="00829C5E">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700</w:t>
                  </w:r>
                </w:p>
              </w:tc>
              <w:tc>
                <w:tcPr>
                  <w:tcW w:w="833" w:type="pct"/>
                  <w:vMerge w:val="restart"/>
                  <w:vAlign w:val="center"/>
                </w:tcPr>
                <w:p w14:paraId="09543AA6">
                  <w:pPr>
                    <w:pStyle w:val="85"/>
                    <w:snapToGrid w:val="0"/>
                    <w:spacing w:line="240" w:lineRule="auto"/>
                    <w:ind w:firstLine="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颗粒物</w:t>
                  </w:r>
                </w:p>
              </w:tc>
            </w:tr>
            <w:tr w14:paraId="62BB0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4EC30ED5">
                  <w:pPr>
                    <w:bidi w:val="0"/>
                    <w:jc w:val="center"/>
                    <w:rPr>
                      <w:rFonts w:hint="eastAsia"/>
                      <w:lang w:val="en-US" w:eastAsia="zh-CN"/>
                    </w:rPr>
                  </w:pPr>
                </w:p>
              </w:tc>
              <w:tc>
                <w:tcPr>
                  <w:tcW w:w="671" w:type="pct"/>
                  <w:vAlign w:val="center"/>
                </w:tcPr>
                <w:p w14:paraId="49EC4B82">
                  <w:pPr>
                    <w:pStyle w:val="85"/>
                    <w:snapToGrid w:val="0"/>
                    <w:spacing w:line="240" w:lineRule="auto"/>
                    <w:ind w:firstLine="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颗粒物</w:t>
                  </w:r>
                </w:p>
              </w:tc>
              <w:tc>
                <w:tcPr>
                  <w:tcW w:w="995" w:type="pct"/>
                  <w:vAlign w:val="center"/>
                </w:tcPr>
                <w:p w14:paraId="1FCE7ACA">
                  <w:pPr>
                    <w:pStyle w:val="85"/>
                    <w:snapToGrid w:val="0"/>
                    <w:spacing w:line="240" w:lineRule="auto"/>
                    <w:ind w:firstLine="0"/>
                    <w:jc w:val="center"/>
                    <w:rPr>
                      <w:rFonts w:hint="default" w:ascii="Times New Roman" w:hAnsi="Times New Roman" w:cs="Times New Roman"/>
                      <w:sz w:val="21"/>
                      <w:szCs w:val="21"/>
                      <w:lang w:val="en-US"/>
                    </w:rPr>
                  </w:pPr>
                  <w:r>
                    <w:rPr>
                      <w:rFonts w:hint="eastAsia" w:cs="Times New Roman"/>
                      <w:sz w:val="21"/>
                      <w:szCs w:val="21"/>
                      <w:lang w:val="en-US" w:eastAsia="zh-CN"/>
                    </w:rPr>
                    <w:t>0.0009</w:t>
                  </w:r>
                </w:p>
              </w:tc>
              <w:tc>
                <w:tcPr>
                  <w:tcW w:w="833" w:type="pct"/>
                  <w:vAlign w:val="center"/>
                </w:tcPr>
                <w:p w14:paraId="72A8628D">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w:t>
                  </w:r>
                </w:p>
              </w:tc>
              <w:tc>
                <w:tcPr>
                  <w:tcW w:w="833" w:type="pct"/>
                  <w:vAlign w:val="center"/>
                </w:tcPr>
                <w:p w14:paraId="4185034F">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900</w:t>
                  </w:r>
                </w:p>
              </w:tc>
              <w:tc>
                <w:tcPr>
                  <w:tcW w:w="833" w:type="pct"/>
                  <w:vMerge w:val="continue"/>
                  <w:vAlign w:val="center"/>
                </w:tcPr>
                <w:p w14:paraId="7590317A">
                  <w:pPr>
                    <w:pStyle w:val="85"/>
                    <w:snapToGrid w:val="0"/>
                    <w:spacing w:line="240" w:lineRule="auto"/>
                    <w:ind w:firstLine="0"/>
                    <w:jc w:val="center"/>
                    <w:rPr>
                      <w:rFonts w:hint="default" w:ascii="Times New Roman" w:hAnsi="Times New Roman" w:cs="Times New Roman"/>
                      <w:sz w:val="21"/>
                      <w:szCs w:val="21"/>
                    </w:rPr>
                  </w:pPr>
                </w:p>
              </w:tc>
            </w:tr>
            <w:tr w14:paraId="0DC2D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772A0E01">
                  <w:pPr>
                    <w:bidi w:val="0"/>
                    <w:jc w:val="center"/>
                    <w:rPr>
                      <w:rFonts w:hint="eastAsia"/>
                      <w:lang w:val="en-US" w:eastAsia="zh-CN"/>
                    </w:rPr>
                  </w:pPr>
                </w:p>
              </w:tc>
              <w:tc>
                <w:tcPr>
                  <w:tcW w:w="671" w:type="pct"/>
                  <w:vAlign w:val="center"/>
                </w:tcPr>
                <w:p w14:paraId="69E68338">
                  <w:pPr>
                    <w:pStyle w:val="85"/>
                    <w:snapToGrid w:val="0"/>
                    <w:spacing w:line="240" w:lineRule="auto"/>
                    <w:ind w:firstLine="0"/>
                    <w:jc w:val="center"/>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丙烯腈</w:t>
                  </w:r>
                </w:p>
              </w:tc>
              <w:tc>
                <w:tcPr>
                  <w:tcW w:w="995" w:type="pct"/>
                  <w:vAlign w:val="center"/>
                </w:tcPr>
                <w:p w14:paraId="3A1F5F6E">
                  <w:pPr>
                    <w:pStyle w:val="85"/>
                    <w:snapToGrid w:val="0"/>
                    <w:spacing w:line="240" w:lineRule="auto"/>
                    <w:ind w:firstLine="0"/>
                    <w:jc w:val="center"/>
                    <w:rPr>
                      <w:rFonts w:hint="default" w:ascii="Times New Roman" w:hAnsi="Times New Roman" w:cs="Times New Roman"/>
                      <w:sz w:val="21"/>
                      <w:szCs w:val="21"/>
                    </w:rPr>
                  </w:pPr>
                  <w:r>
                    <w:rPr>
                      <w:rFonts w:hint="eastAsia" w:cs="Times New Roman"/>
                      <w:sz w:val="21"/>
                      <w:szCs w:val="21"/>
                      <w:lang w:val="en-US" w:eastAsia="zh-CN"/>
                    </w:rPr>
                    <w:t>0.00001</w:t>
                  </w:r>
                </w:p>
              </w:tc>
              <w:tc>
                <w:tcPr>
                  <w:tcW w:w="833" w:type="pct"/>
                  <w:vAlign w:val="center"/>
                </w:tcPr>
                <w:p w14:paraId="080F6ABA">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c>
                <w:tcPr>
                  <w:tcW w:w="833" w:type="pct"/>
                  <w:vAlign w:val="center"/>
                </w:tcPr>
                <w:p w14:paraId="11B9BC85">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w:t>
                  </w:r>
                </w:p>
              </w:tc>
              <w:tc>
                <w:tcPr>
                  <w:tcW w:w="833" w:type="pct"/>
                  <w:vMerge w:val="continue"/>
                  <w:vAlign w:val="center"/>
                </w:tcPr>
                <w:p w14:paraId="19933842">
                  <w:pPr>
                    <w:pStyle w:val="85"/>
                    <w:snapToGrid w:val="0"/>
                    <w:spacing w:line="240" w:lineRule="auto"/>
                    <w:ind w:firstLine="0"/>
                    <w:jc w:val="center"/>
                    <w:rPr>
                      <w:rFonts w:hint="default" w:ascii="Times New Roman" w:hAnsi="Times New Roman" w:cs="Times New Roman"/>
                      <w:sz w:val="21"/>
                      <w:szCs w:val="21"/>
                    </w:rPr>
                  </w:pPr>
                </w:p>
              </w:tc>
            </w:tr>
            <w:tr w14:paraId="44F2F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7392B07E">
                  <w:pPr>
                    <w:bidi w:val="0"/>
                    <w:jc w:val="center"/>
                    <w:rPr>
                      <w:rFonts w:hint="default"/>
                    </w:rPr>
                  </w:pPr>
                </w:p>
              </w:tc>
              <w:tc>
                <w:tcPr>
                  <w:tcW w:w="671" w:type="pct"/>
                  <w:vAlign w:val="center"/>
                </w:tcPr>
                <w:p w14:paraId="4F75BA69">
                  <w:pPr>
                    <w:pStyle w:val="85"/>
                    <w:snapToGrid w:val="0"/>
                    <w:spacing w:line="240" w:lineRule="auto"/>
                    <w:ind w:firstLine="0"/>
                    <w:jc w:val="center"/>
                    <w:rPr>
                      <w:rFonts w:hint="default" w:ascii="Times New Roman" w:hAnsi="Times New Roman" w:cs="Times New Roman"/>
                      <w:sz w:val="21"/>
                      <w:szCs w:val="21"/>
                    </w:rPr>
                  </w:pPr>
                  <w:r>
                    <w:rPr>
                      <w:rFonts w:hint="eastAsia"/>
                      <w:sz w:val="21"/>
                      <w:szCs w:val="21"/>
                    </w:rPr>
                    <w:t>苯乙烯</w:t>
                  </w:r>
                </w:p>
              </w:tc>
              <w:tc>
                <w:tcPr>
                  <w:tcW w:w="995" w:type="pct"/>
                  <w:vAlign w:val="center"/>
                </w:tcPr>
                <w:p w14:paraId="7CB892DB">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0.0002</w:t>
                  </w:r>
                </w:p>
              </w:tc>
              <w:tc>
                <w:tcPr>
                  <w:tcW w:w="833" w:type="pct"/>
                  <w:vAlign w:val="center"/>
                </w:tcPr>
                <w:p w14:paraId="29ED1357">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w:t>
                  </w:r>
                </w:p>
              </w:tc>
              <w:tc>
                <w:tcPr>
                  <w:tcW w:w="833" w:type="pct"/>
                  <w:vAlign w:val="center"/>
                </w:tcPr>
                <w:p w14:paraId="192423E5">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500</w:t>
                  </w:r>
                </w:p>
              </w:tc>
              <w:tc>
                <w:tcPr>
                  <w:tcW w:w="833" w:type="pct"/>
                  <w:vMerge w:val="continue"/>
                  <w:vAlign w:val="center"/>
                </w:tcPr>
                <w:p w14:paraId="60486C06">
                  <w:pPr>
                    <w:pStyle w:val="85"/>
                    <w:snapToGrid w:val="0"/>
                    <w:spacing w:line="240" w:lineRule="auto"/>
                    <w:ind w:firstLine="0"/>
                    <w:jc w:val="center"/>
                    <w:rPr>
                      <w:rFonts w:hint="default" w:ascii="Times New Roman" w:hAnsi="Times New Roman" w:cs="Times New Roman"/>
                      <w:sz w:val="21"/>
                      <w:szCs w:val="21"/>
                    </w:rPr>
                  </w:pPr>
                </w:p>
              </w:tc>
            </w:tr>
            <w:tr w14:paraId="78B89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restart"/>
                  <w:vAlign w:val="center"/>
                </w:tcPr>
                <w:p w14:paraId="10F67C37">
                  <w:pPr>
                    <w:bidi w:val="0"/>
                    <w:jc w:val="center"/>
                    <w:rPr>
                      <w:rFonts w:hint="default"/>
                    </w:rPr>
                  </w:pPr>
                  <w:r>
                    <w:rPr>
                      <w:rFonts w:hint="eastAsia" w:ascii="Times New Roman" w:hAnsi="Times New Roman" w:cs="Times New Roman"/>
                      <w:szCs w:val="21"/>
                      <w:lang w:val="en-US" w:eastAsia="zh-CN"/>
                    </w:rPr>
                    <w:t>喷涂车间</w:t>
                  </w:r>
                </w:p>
              </w:tc>
              <w:tc>
                <w:tcPr>
                  <w:tcW w:w="671" w:type="pct"/>
                  <w:vAlign w:val="center"/>
                </w:tcPr>
                <w:p w14:paraId="09781582">
                  <w:pPr>
                    <w:pStyle w:val="85"/>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VOCs</w:t>
                  </w:r>
                </w:p>
              </w:tc>
              <w:tc>
                <w:tcPr>
                  <w:tcW w:w="995" w:type="pct"/>
                  <w:vAlign w:val="center"/>
                </w:tcPr>
                <w:p w14:paraId="46102879">
                  <w:pPr>
                    <w:pStyle w:val="85"/>
                    <w:snapToGrid w:val="0"/>
                    <w:spacing w:line="240" w:lineRule="auto"/>
                    <w:ind w:firstLine="0"/>
                    <w:jc w:val="center"/>
                    <w:rPr>
                      <w:rFonts w:hint="default" w:ascii="Times New Roman" w:hAnsi="Times New Roman" w:cs="Times New Roman"/>
                      <w:sz w:val="21"/>
                      <w:szCs w:val="21"/>
                    </w:rPr>
                  </w:pPr>
                  <w:r>
                    <w:rPr>
                      <w:rFonts w:hint="eastAsia" w:cs="Times New Roman"/>
                      <w:sz w:val="21"/>
                      <w:szCs w:val="21"/>
                      <w:lang w:val="en-US" w:eastAsia="zh-CN"/>
                    </w:rPr>
                    <w:t>0.0799（喷涂）</w:t>
                  </w:r>
                </w:p>
              </w:tc>
              <w:tc>
                <w:tcPr>
                  <w:tcW w:w="833" w:type="pct"/>
                  <w:vAlign w:val="center"/>
                </w:tcPr>
                <w:p w14:paraId="5C0A8E95">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w:t>
                  </w:r>
                </w:p>
              </w:tc>
              <w:tc>
                <w:tcPr>
                  <w:tcW w:w="833" w:type="pct"/>
                  <w:vAlign w:val="center"/>
                </w:tcPr>
                <w:p w14:paraId="5B26C69F">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39950</w:t>
                  </w:r>
                </w:p>
              </w:tc>
              <w:tc>
                <w:tcPr>
                  <w:tcW w:w="833" w:type="pct"/>
                  <w:vMerge w:val="restart"/>
                  <w:vAlign w:val="center"/>
                </w:tcPr>
                <w:p w14:paraId="021FE138">
                  <w:pPr>
                    <w:pStyle w:val="85"/>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VOCs</w:t>
                  </w:r>
                </w:p>
              </w:tc>
            </w:tr>
            <w:tr w14:paraId="6A191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5409446A">
                  <w:pPr>
                    <w:bidi w:val="0"/>
                    <w:jc w:val="center"/>
                    <w:rPr>
                      <w:rFonts w:hint="eastAsia" w:ascii="Times New Roman" w:hAnsi="Times New Roman" w:cs="Times New Roman"/>
                      <w:szCs w:val="21"/>
                      <w:lang w:val="en-US" w:eastAsia="zh-CN"/>
                    </w:rPr>
                  </w:pPr>
                </w:p>
              </w:tc>
              <w:tc>
                <w:tcPr>
                  <w:tcW w:w="671" w:type="pct"/>
                  <w:vAlign w:val="center"/>
                </w:tcPr>
                <w:p w14:paraId="670B3CB2">
                  <w:pPr>
                    <w:autoSpaceDE w:val="0"/>
                    <w:autoSpaceDN w:val="0"/>
                    <w:adjustRightInd w:val="0"/>
                    <w:snapToGrid w:val="0"/>
                    <w:jc w:val="center"/>
                    <w:rPr>
                      <w:rFonts w:hint="default" w:ascii="Times New Roman" w:hAnsi="Times New Roman" w:cs="Times New Roman"/>
                      <w:sz w:val="21"/>
                      <w:szCs w:val="21"/>
                    </w:rPr>
                  </w:pPr>
                  <w:r>
                    <w:rPr>
                      <w:rFonts w:hint="eastAsia"/>
                      <w:szCs w:val="21"/>
                    </w:rPr>
                    <w:t>二甲苯</w:t>
                  </w:r>
                </w:p>
              </w:tc>
              <w:tc>
                <w:tcPr>
                  <w:tcW w:w="995" w:type="pct"/>
                  <w:vAlign w:val="center"/>
                </w:tcPr>
                <w:p w14:paraId="1F7F8CFD">
                  <w:pPr>
                    <w:pStyle w:val="85"/>
                    <w:snapToGrid w:val="0"/>
                    <w:spacing w:line="240" w:lineRule="auto"/>
                    <w:ind w:firstLine="0"/>
                    <w:jc w:val="center"/>
                    <w:rPr>
                      <w:rFonts w:hint="default" w:ascii="Times New Roman" w:hAnsi="Times New Roman" w:cs="Times New Roman"/>
                      <w:sz w:val="21"/>
                      <w:szCs w:val="21"/>
                    </w:rPr>
                  </w:pPr>
                  <w:r>
                    <w:rPr>
                      <w:rFonts w:hint="eastAsia" w:cs="Times New Roman"/>
                      <w:sz w:val="21"/>
                      <w:szCs w:val="21"/>
                      <w:lang w:val="en-US" w:eastAsia="zh-CN"/>
                    </w:rPr>
                    <w:t>0.0013</w:t>
                  </w:r>
                </w:p>
              </w:tc>
              <w:tc>
                <w:tcPr>
                  <w:tcW w:w="833" w:type="pct"/>
                  <w:vAlign w:val="center"/>
                </w:tcPr>
                <w:p w14:paraId="383B9054">
                  <w:pPr>
                    <w:pStyle w:val="85"/>
                    <w:snapToGrid w:val="0"/>
                    <w:spacing w:line="240" w:lineRule="auto"/>
                    <w:ind w:firstLine="0"/>
                    <w:jc w:val="center"/>
                    <w:rPr>
                      <w:rFonts w:hint="default" w:cs="Times New Roman"/>
                      <w:sz w:val="21"/>
                      <w:szCs w:val="21"/>
                      <w:lang w:val="en-US" w:eastAsia="zh-CN"/>
                    </w:rPr>
                  </w:pPr>
                  <w:r>
                    <w:rPr>
                      <w:rFonts w:hint="eastAsia" w:cs="Times New Roman"/>
                      <w:sz w:val="21"/>
                      <w:szCs w:val="21"/>
                      <w:lang w:val="en-US" w:eastAsia="zh-CN"/>
                    </w:rPr>
                    <w:t>0.2</w:t>
                  </w:r>
                </w:p>
              </w:tc>
              <w:tc>
                <w:tcPr>
                  <w:tcW w:w="833" w:type="pct"/>
                  <w:vAlign w:val="center"/>
                </w:tcPr>
                <w:p w14:paraId="49EAC06F">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6500</w:t>
                  </w:r>
                </w:p>
              </w:tc>
              <w:tc>
                <w:tcPr>
                  <w:tcW w:w="833" w:type="pct"/>
                  <w:vMerge w:val="continue"/>
                  <w:vAlign w:val="center"/>
                </w:tcPr>
                <w:p w14:paraId="7E9D15FF">
                  <w:pPr>
                    <w:pStyle w:val="85"/>
                    <w:snapToGrid w:val="0"/>
                    <w:spacing w:line="240" w:lineRule="auto"/>
                    <w:ind w:firstLine="0"/>
                    <w:jc w:val="center"/>
                    <w:rPr>
                      <w:rFonts w:hint="default" w:ascii="Times New Roman" w:hAnsi="Times New Roman" w:cs="Times New Roman"/>
                      <w:sz w:val="21"/>
                      <w:szCs w:val="21"/>
                    </w:rPr>
                  </w:pPr>
                </w:p>
              </w:tc>
            </w:tr>
            <w:tr w14:paraId="1A645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410F7374">
                  <w:pPr>
                    <w:bidi w:val="0"/>
                    <w:jc w:val="center"/>
                    <w:rPr>
                      <w:rFonts w:hint="eastAsia" w:ascii="Times New Roman" w:hAnsi="Times New Roman" w:cs="Times New Roman"/>
                      <w:szCs w:val="21"/>
                      <w:lang w:val="en-US" w:eastAsia="zh-CN"/>
                    </w:rPr>
                  </w:pPr>
                </w:p>
              </w:tc>
              <w:tc>
                <w:tcPr>
                  <w:tcW w:w="671" w:type="pct"/>
                  <w:vAlign w:val="center"/>
                </w:tcPr>
                <w:p w14:paraId="183EF98B">
                  <w:pPr>
                    <w:autoSpaceDE w:val="0"/>
                    <w:autoSpaceDN w:val="0"/>
                    <w:adjustRightInd w:val="0"/>
                    <w:snapToGrid w:val="0"/>
                    <w:jc w:val="center"/>
                    <w:rPr>
                      <w:rFonts w:hint="default" w:ascii="Times New Roman" w:hAnsi="Times New Roman" w:cs="Times New Roman"/>
                      <w:sz w:val="21"/>
                      <w:szCs w:val="21"/>
                    </w:rPr>
                  </w:pPr>
                  <w:r>
                    <w:rPr>
                      <w:rFonts w:hint="eastAsia"/>
                      <w:szCs w:val="21"/>
                    </w:rPr>
                    <w:t>乙苯</w:t>
                  </w:r>
                </w:p>
              </w:tc>
              <w:tc>
                <w:tcPr>
                  <w:tcW w:w="995" w:type="pct"/>
                  <w:vAlign w:val="center"/>
                </w:tcPr>
                <w:p w14:paraId="777271FA">
                  <w:pPr>
                    <w:pStyle w:val="85"/>
                    <w:snapToGrid w:val="0"/>
                    <w:spacing w:line="240" w:lineRule="auto"/>
                    <w:ind w:firstLine="0"/>
                    <w:jc w:val="center"/>
                    <w:rPr>
                      <w:rFonts w:hint="default" w:ascii="Times New Roman" w:hAnsi="Times New Roman" w:cs="Times New Roman"/>
                      <w:sz w:val="21"/>
                      <w:szCs w:val="21"/>
                    </w:rPr>
                  </w:pPr>
                  <w:r>
                    <w:rPr>
                      <w:rFonts w:hint="eastAsia" w:cs="Times New Roman"/>
                      <w:sz w:val="21"/>
                      <w:szCs w:val="21"/>
                      <w:lang w:val="en-US" w:eastAsia="zh-CN"/>
                    </w:rPr>
                    <w:t>0.0002</w:t>
                  </w:r>
                </w:p>
              </w:tc>
              <w:tc>
                <w:tcPr>
                  <w:tcW w:w="833" w:type="pct"/>
                  <w:vAlign w:val="center"/>
                </w:tcPr>
                <w:p w14:paraId="4DA1AE7E">
                  <w:pPr>
                    <w:pStyle w:val="85"/>
                    <w:snapToGrid w:val="0"/>
                    <w:spacing w:line="240" w:lineRule="auto"/>
                    <w:ind w:firstLine="0"/>
                    <w:jc w:val="center"/>
                    <w:rPr>
                      <w:rFonts w:hint="default" w:cs="Times New Roman"/>
                      <w:sz w:val="21"/>
                      <w:szCs w:val="21"/>
                      <w:lang w:val="en-US" w:eastAsia="zh-CN"/>
                    </w:rPr>
                  </w:pPr>
                  <w:r>
                    <w:rPr>
                      <w:rFonts w:hint="eastAsia" w:cs="Times New Roman"/>
                      <w:sz w:val="21"/>
                      <w:szCs w:val="21"/>
                      <w:lang w:val="en-US" w:eastAsia="zh-CN"/>
                    </w:rPr>
                    <w:t>0.8</w:t>
                  </w:r>
                </w:p>
              </w:tc>
              <w:tc>
                <w:tcPr>
                  <w:tcW w:w="833" w:type="pct"/>
                  <w:vAlign w:val="center"/>
                </w:tcPr>
                <w:p w14:paraId="156D2A3B">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250</w:t>
                  </w:r>
                </w:p>
              </w:tc>
              <w:tc>
                <w:tcPr>
                  <w:tcW w:w="833" w:type="pct"/>
                  <w:vMerge w:val="continue"/>
                  <w:vAlign w:val="center"/>
                </w:tcPr>
                <w:p w14:paraId="2124EC5A">
                  <w:pPr>
                    <w:pStyle w:val="85"/>
                    <w:snapToGrid w:val="0"/>
                    <w:spacing w:line="240" w:lineRule="auto"/>
                    <w:ind w:firstLine="0"/>
                    <w:jc w:val="center"/>
                    <w:rPr>
                      <w:rFonts w:hint="default" w:ascii="Times New Roman" w:hAnsi="Times New Roman" w:cs="Times New Roman"/>
                      <w:sz w:val="21"/>
                      <w:szCs w:val="21"/>
                    </w:rPr>
                  </w:pPr>
                </w:p>
              </w:tc>
            </w:tr>
            <w:tr w14:paraId="1B66C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14:paraId="1C847378">
                  <w:pPr>
                    <w:pStyle w:val="85"/>
                    <w:snapToGrid w:val="0"/>
                    <w:spacing w:line="240" w:lineRule="auto"/>
                    <w:ind w:firstLine="0"/>
                    <w:jc w:val="center"/>
                    <w:rPr>
                      <w:rFonts w:hint="default" w:ascii="Times New Roman" w:hAnsi="Times New Roman" w:cs="Times New Roman"/>
                      <w:sz w:val="21"/>
                      <w:szCs w:val="21"/>
                    </w:rPr>
                  </w:pPr>
                </w:p>
              </w:tc>
              <w:tc>
                <w:tcPr>
                  <w:tcW w:w="671" w:type="pct"/>
                  <w:vAlign w:val="center"/>
                </w:tcPr>
                <w:p w14:paraId="60D809CE">
                  <w:pPr>
                    <w:pStyle w:val="85"/>
                    <w:snapToGrid w:val="0"/>
                    <w:spacing w:line="240" w:lineRule="auto"/>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漆雾</w:t>
                  </w:r>
                </w:p>
              </w:tc>
              <w:tc>
                <w:tcPr>
                  <w:tcW w:w="995" w:type="pct"/>
                  <w:vAlign w:val="center"/>
                </w:tcPr>
                <w:p w14:paraId="3FA8AE57">
                  <w:pPr>
                    <w:pStyle w:val="85"/>
                    <w:snapToGrid w:val="0"/>
                    <w:spacing w:line="240" w:lineRule="auto"/>
                    <w:ind w:firstLine="0"/>
                    <w:jc w:val="center"/>
                    <w:rPr>
                      <w:rFonts w:hint="default" w:ascii="Times New Roman" w:hAnsi="Times New Roman" w:cs="Times New Roman"/>
                      <w:sz w:val="21"/>
                      <w:szCs w:val="21"/>
                    </w:rPr>
                  </w:pPr>
                  <w:r>
                    <w:rPr>
                      <w:rFonts w:hint="eastAsia" w:cs="Times New Roman"/>
                      <w:sz w:val="21"/>
                      <w:szCs w:val="21"/>
                      <w:lang w:val="en-US" w:eastAsia="zh-CN"/>
                    </w:rPr>
                    <w:t>0.021</w:t>
                  </w:r>
                </w:p>
              </w:tc>
              <w:tc>
                <w:tcPr>
                  <w:tcW w:w="833" w:type="pct"/>
                  <w:vAlign w:val="center"/>
                </w:tcPr>
                <w:p w14:paraId="0F4D55BF">
                  <w:pPr>
                    <w:pStyle w:val="85"/>
                    <w:snapToGrid w:val="0"/>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w:t>
                  </w:r>
                </w:p>
              </w:tc>
              <w:tc>
                <w:tcPr>
                  <w:tcW w:w="833" w:type="pct"/>
                  <w:vAlign w:val="center"/>
                </w:tcPr>
                <w:p w14:paraId="0B4FA8DD">
                  <w:pPr>
                    <w:pStyle w:val="85"/>
                    <w:snapToGrid w:val="0"/>
                    <w:spacing w:line="240" w:lineRule="auto"/>
                    <w:ind w:firstLine="0"/>
                    <w:jc w:val="center"/>
                    <w:rPr>
                      <w:rFonts w:hint="default" w:ascii="Times New Roman" w:hAnsi="Times New Roman" w:cs="Times New Roman"/>
                      <w:sz w:val="21"/>
                      <w:szCs w:val="21"/>
                    </w:rPr>
                  </w:pPr>
                  <w:r>
                    <w:rPr>
                      <w:rFonts w:hint="eastAsia" w:cs="Times New Roman"/>
                      <w:sz w:val="21"/>
                      <w:szCs w:val="21"/>
                      <w:lang w:val="en-US" w:eastAsia="zh-CN"/>
                    </w:rPr>
                    <w:t>21000</w:t>
                  </w:r>
                </w:p>
              </w:tc>
              <w:tc>
                <w:tcPr>
                  <w:tcW w:w="833" w:type="pct"/>
                  <w:vMerge w:val="continue"/>
                  <w:vAlign w:val="center"/>
                </w:tcPr>
                <w:p w14:paraId="6FCF7773">
                  <w:pPr>
                    <w:pStyle w:val="85"/>
                    <w:snapToGrid w:val="0"/>
                    <w:spacing w:line="240" w:lineRule="auto"/>
                    <w:ind w:firstLine="0"/>
                    <w:jc w:val="center"/>
                    <w:rPr>
                      <w:rFonts w:hint="default" w:ascii="Times New Roman" w:hAnsi="Times New Roman" w:cs="Times New Roman"/>
                      <w:sz w:val="21"/>
                      <w:szCs w:val="21"/>
                    </w:rPr>
                  </w:pPr>
                </w:p>
              </w:tc>
            </w:tr>
          </w:tbl>
          <w:p w14:paraId="3356A773">
            <w:pPr>
              <w:pStyle w:val="85"/>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项目建成后全厂卫生防护距离计算过程见下表：</w:t>
            </w:r>
          </w:p>
          <w:p w14:paraId="10DBF999">
            <w:pPr>
              <w:pStyle w:val="7"/>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表4-1</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 xml:space="preserve"> 本项目建成后全厂卫生防护距离计算过程一览表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917"/>
              <w:gridCol w:w="1105"/>
              <w:gridCol w:w="1105"/>
              <w:gridCol w:w="1400"/>
              <w:gridCol w:w="1206"/>
              <w:gridCol w:w="979"/>
              <w:gridCol w:w="938"/>
            </w:tblGrid>
            <w:tr w14:paraId="63AAB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vAlign w:val="center"/>
                </w:tcPr>
                <w:p w14:paraId="0DB8542E">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位置</w:t>
                  </w:r>
                </w:p>
              </w:tc>
              <w:tc>
                <w:tcPr>
                  <w:tcW w:w="518" w:type="pct"/>
                  <w:vAlign w:val="center"/>
                </w:tcPr>
                <w:p w14:paraId="43067106">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污染物</w:t>
                  </w:r>
                </w:p>
              </w:tc>
              <w:tc>
                <w:tcPr>
                  <w:tcW w:w="624" w:type="pct"/>
                  <w:vAlign w:val="center"/>
                </w:tcPr>
                <w:p w14:paraId="38483628">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排放面积（m</w:t>
                  </w:r>
                  <w:r>
                    <w:rPr>
                      <w:rFonts w:hint="default" w:ascii="Times New Roman" w:hAnsi="Times New Roman" w:cs="Times New Roman"/>
                      <w:b/>
                      <w:bCs/>
                      <w:szCs w:val="21"/>
                      <w:vertAlign w:val="superscript"/>
                    </w:rPr>
                    <w:t>2</w:t>
                  </w:r>
                  <w:r>
                    <w:rPr>
                      <w:rFonts w:hint="default" w:ascii="Times New Roman" w:hAnsi="Times New Roman" w:cs="Times New Roman"/>
                      <w:b/>
                      <w:bCs/>
                      <w:szCs w:val="21"/>
                    </w:rPr>
                    <w:t>）</w:t>
                  </w:r>
                </w:p>
              </w:tc>
              <w:tc>
                <w:tcPr>
                  <w:tcW w:w="624" w:type="pct"/>
                  <w:vAlign w:val="center"/>
                </w:tcPr>
                <w:p w14:paraId="432A99AB">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平均</w:t>
                  </w:r>
                </w:p>
                <w:p w14:paraId="5525934F">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风速（m/s）</w:t>
                  </w:r>
                </w:p>
              </w:tc>
              <w:tc>
                <w:tcPr>
                  <w:tcW w:w="791" w:type="pct"/>
                  <w:vAlign w:val="center"/>
                </w:tcPr>
                <w:p w14:paraId="3E04DE47">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标准浓</w:t>
                  </w:r>
                </w:p>
                <w:p w14:paraId="64A806C8">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度限值（mg/m</w:t>
                  </w:r>
                  <w:r>
                    <w:rPr>
                      <w:rFonts w:hint="default" w:ascii="Times New Roman" w:hAnsi="Times New Roman" w:cs="Times New Roman"/>
                      <w:b/>
                      <w:bCs/>
                      <w:szCs w:val="21"/>
                      <w:vertAlign w:val="superscript"/>
                    </w:rPr>
                    <w:t>3</w:t>
                  </w:r>
                  <w:r>
                    <w:rPr>
                      <w:rFonts w:hint="default" w:ascii="Times New Roman" w:hAnsi="Times New Roman" w:cs="Times New Roman"/>
                      <w:b/>
                      <w:bCs/>
                      <w:szCs w:val="21"/>
                    </w:rPr>
                    <w:t>）</w:t>
                  </w:r>
                </w:p>
              </w:tc>
              <w:tc>
                <w:tcPr>
                  <w:tcW w:w="681" w:type="pct"/>
                  <w:vAlign w:val="center"/>
                </w:tcPr>
                <w:p w14:paraId="39035132">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无组织排放量（kg/h）</w:t>
                  </w:r>
                </w:p>
              </w:tc>
              <w:tc>
                <w:tcPr>
                  <w:tcW w:w="553" w:type="pct"/>
                  <w:vAlign w:val="center"/>
                </w:tcPr>
                <w:p w14:paraId="39092966">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计算卫生防护距离（m）</w:t>
                  </w:r>
                </w:p>
              </w:tc>
              <w:tc>
                <w:tcPr>
                  <w:tcW w:w="530" w:type="pct"/>
                  <w:vAlign w:val="center"/>
                </w:tcPr>
                <w:p w14:paraId="0E957412">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卫生防护距离（m）</w:t>
                  </w:r>
                </w:p>
              </w:tc>
            </w:tr>
            <w:tr w14:paraId="166B1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vAlign w:val="center"/>
                </w:tcPr>
                <w:p w14:paraId="375454D5">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注塑车间</w:t>
                  </w:r>
                </w:p>
              </w:tc>
              <w:tc>
                <w:tcPr>
                  <w:tcW w:w="518" w:type="pct"/>
                  <w:vAlign w:val="center"/>
                </w:tcPr>
                <w:p w14:paraId="2571C384">
                  <w:pPr>
                    <w:adjustRightInd w:val="0"/>
                    <w:snapToGrid w:val="0"/>
                    <w:jc w:val="center"/>
                    <w:rPr>
                      <w:rFonts w:hint="eastAsia" w:ascii="Times New Roman" w:hAnsi="Times New Roman" w:eastAsia="宋体" w:cs="Times New Roman"/>
                      <w:szCs w:val="21"/>
                      <w:lang w:eastAsia="zh-CN"/>
                    </w:rPr>
                  </w:pPr>
                  <w:r>
                    <w:rPr>
                      <w:rFonts w:hint="eastAsia" w:cs="Times New Roman"/>
                      <w:szCs w:val="21"/>
                      <w:lang w:val="en-US" w:eastAsia="zh-CN"/>
                    </w:rPr>
                    <w:t>颗粒物</w:t>
                  </w:r>
                </w:p>
              </w:tc>
              <w:tc>
                <w:tcPr>
                  <w:tcW w:w="624" w:type="pct"/>
                  <w:vAlign w:val="center"/>
                </w:tcPr>
                <w:p w14:paraId="7E3C5E77">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1000</w:t>
                  </w:r>
                </w:p>
              </w:tc>
              <w:tc>
                <w:tcPr>
                  <w:tcW w:w="624" w:type="pct"/>
                  <w:vAlign w:val="center"/>
                </w:tcPr>
                <w:p w14:paraId="01BB41F4">
                  <w:pPr>
                    <w:adjustRightInd w:val="0"/>
                    <w:snapToGrid w:val="0"/>
                    <w:jc w:val="center"/>
                    <w:rPr>
                      <w:rFonts w:hint="eastAsia" w:ascii="Times New Roman" w:hAnsi="Times New Roman" w:eastAsia="宋体" w:cs="Times New Roman"/>
                      <w:szCs w:val="21"/>
                      <w:lang w:eastAsia="zh-CN"/>
                    </w:rPr>
                  </w:pPr>
                  <w:r>
                    <w:rPr>
                      <w:rFonts w:hint="default" w:ascii="Times New Roman" w:hAnsi="Times New Roman" w:cs="Times New Roman"/>
                      <w:szCs w:val="21"/>
                    </w:rPr>
                    <w:t>1.</w:t>
                  </w:r>
                  <w:r>
                    <w:rPr>
                      <w:rFonts w:hint="eastAsia" w:cs="Times New Roman"/>
                      <w:szCs w:val="21"/>
                      <w:lang w:val="en-US" w:eastAsia="zh-CN"/>
                    </w:rPr>
                    <w:t>8</w:t>
                  </w:r>
                </w:p>
              </w:tc>
              <w:tc>
                <w:tcPr>
                  <w:tcW w:w="791" w:type="pct"/>
                  <w:vAlign w:val="center"/>
                </w:tcPr>
                <w:p w14:paraId="3E14E5DC">
                  <w:pPr>
                    <w:adjustRightInd w:val="0"/>
                    <w:snapToGrid w:val="0"/>
                    <w:jc w:val="center"/>
                    <w:rPr>
                      <w:rFonts w:hint="default" w:ascii="Times New Roman" w:hAnsi="Times New Roman" w:cs="Times New Roman"/>
                      <w:szCs w:val="21"/>
                    </w:rPr>
                  </w:pPr>
                  <w:r>
                    <w:rPr>
                      <w:rFonts w:hint="eastAsia" w:cs="Times New Roman"/>
                      <w:szCs w:val="21"/>
                      <w:lang w:val="en-US" w:eastAsia="zh-CN"/>
                    </w:rPr>
                    <w:t>1</w:t>
                  </w:r>
                  <w:r>
                    <w:rPr>
                      <w:rFonts w:hint="default" w:ascii="Times New Roman" w:hAnsi="Times New Roman" w:cs="Times New Roman"/>
                      <w:szCs w:val="21"/>
                    </w:rPr>
                    <w:t>.0</w:t>
                  </w:r>
                </w:p>
              </w:tc>
              <w:tc>
                <w:tcPr>
                  <w:tcW w:w="681" w:type="pct"/>
                  <w:vAlign w:val="center"/>
                </w:tcPr>
                <w:p w14:paraId="69F10171">
                  <w:pPr>
                    <w:adjustRightInd w:val="0"/>
                    <w:snapToGrid w:val="0"/>
                    <w:jc w:val="center"/>
                    <w:rPr>
                      <w:rFonts w:hint="default" w:ascii="Times New Roman" w:hAnsi="Times New Roman" w:cs="Times New Roman"/>
                      <w:szCs w:val="21"/>
                    </w:rPr>
                  </w:pPr>
                  <w:r>
                    <w:rPr>
                      <w:rFonts w:hint="eastAsia" w:cs="Times New Roman"/>
                      <w:szCs w:val="21"/>
                      <w:lang w:val="en-US" w:eastAsia="zh-CN"/>
                    </w:rPr>
                    <w:t>0.0009</w:t>
                  </w:r>
                </w:p>
              </w:tc>
              <w:tc>
                <w:tcPr>
                  <w:tcW w:w="553" w:type="pct"/>
                  <w:vAlign w:val="center"/>
                </w:tcPr>
                <w:p w14:paraId="4435DB5F">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0.33</w:t>
                  </w:r>
                </w:p>
              </w:tc>
              <w:tc>
                <w:tcPr>
                  <w:tcW w:w="530" w:type="pct"/>
                  <w:vAlign w:val="center"/>
                </w:tcPr>
                <w:p w14:paraId="0389916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50</w:t>
                  </w:r>
                </w:p>
              </w:tc>
            </w:tr>
            <w:tr w14:paraId="5163F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pct"/>
                  <w:vAlign w:val="center"/>
                </w:tcPr>
                <w:p w14:paraId="3B3B29AA">
                  <w:pPr>
                    <w:bidi w:val="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cs="Times New Roman"/>
                      <w:szCs w:val="21"/>
                      <w:lang w:val="en-US" w:eastAsia="zh-CN"/>
                    </w:rPr>
                    <w:t>喷涂车间</w:t>
                  </w:r>
                </w:p>
              </w:tc>
              <w:tc>
                <w:tcPr>
                  <w:tcW w:w="518" w:type="pct"/>
                  <w:vAlign w:val="center"/>
                </w:tcPr>
                <w:p w14:paraId="57E25C52">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624" w:type="pct"/>
                  <w:vAlign w:val="center"/>
                </w:tcPr>
                <w:p w14:paraId="7AD2461E">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8320</w:t>
                  </w:r>
                </w:p>
              </w:tc>
              <w:tc>
                <w:tcPr>
                  <w:tcW w:w="624" w:type="pct"/>
                  <w:vAlign w:val="center"/>
                </w:tcPr>
                <w:p w14:paraId="1D3FFEB7">
                  <w:pPr>
                    <w:adjustRightInd w:val="0"/>
                    <w:snapToGrid w:val="0"/>
                    <w:jc w:val="center"/>
                    <w:rPr>
                      <w:rFonts w:hint="eastAsia" w:ascii="Times New Roman" w:hAnsi="Times New Roman" w:eastAsia="宋体" w:cs="Times New Roman"/>
                      <w:szCs w:val="21"/>
                      <w:lang w:eastAsia="zh-CN"/>
                    </w:rPr>
                  </w:pPr>
                  <w:r>
                    <w:rPr>
                      <w:rFonts w:hint="default" w:ascii="Times New Roman" w:hAnsi="Times New Roman" w:cs="Times New Roman"/>
                      <w:szCs w:val="21"/>
                    </w:rPr>
                    <w:t>1.</w:t>
                  </w:r>
                  <w:r>
                    <w:rPr>
                      <w:rFonts w:hint="eastAsia" w:cs="Times New Roman"/>
                      <w:szCs w:val="21"/>
                      <w:lang w:val="en-US" w:eastAsia="zh-CN"/>
                    </w:rPr>
                    <w:t>8</w:t>
                  </w:r>
                </w:p>
              </w:tc>
              <w:tc>
                <w:tcPr>
                  <w:tcW w:w="791" w:type="pct"/>
                  <w:vAlign w:val="center"/>
                </w:tcPr>
                <w:p w14:paraId="3DF66688">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2.0</w:t>
                  </w:r>
                </w:p>
              </w:tc>
              <w:tc>
                <w:tcPr>
                  <w:tcW w:w="681" w:type="pct"/>
                  <w:vAlign w:val="center"/>
                </w:tcPr>
                <w:p w14:paraId="797A839B">
                  <w:pPr>
                    <w:adjustRightInd w:val="0"/>
                    <w:snapToGrid w:val="0"/>
                    <w:jc w:val="center"/>
                    <w:rPr>
                      <w:rFonts w:hint="default" w:ascii="Times New Roman" w:hAnsi="Times New Roman" w:cs="Times New Roman"/>
                      <w:szCs w:val="21"/>
                    </w:rPr>
                  </w:pPr>
                  <w:r>
                    <w:rPr>
                      <w:rFonts w:hint="eastAsia" w:cs="Times New Roman"/>
                      <w:szCs w:val="21"/>
                      <w:lang w:val="en-US" w:eastAsia="zh-CN"/>
                    </w:rPr>
                    <w:t>0.0799</w:t>
                  </w:r>
                </w:p>
              </w:tc>
              <w:tc>
                <w:tcPr>
                  <w:tcW w:w="553" w:type="pct"/>
                  <w:vAlign w:val="center"/>
                </w:tcPr>
                <w:p w14:paraId="0115EE1E">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0.62</w:t>
                  </w:r>
                </w:p>
              </w:tc>
              <w:tc>
                <w:tcPr>
                  <w:tcW w:w="530" w:type="pct"/>
                  <w:vAlign w:val="center"/>
                </w:tcPr>
                <w:p w14:paraId="090AE48E">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50</w:t>
                  </w:r>
                </w:p>
              </w:tc>
            </w:tr>
          </w:tbl>
          <w:p w14:paraId="32B60195">
            <w:pPr>
              <w:widowControl/>
              <w:spacing w:line="360" w:lineRule="auto"/>
              <w:ind w:firstLine="420" w:firstLineChars="200"/>
              <w:jc w:val="left"/>
              <w:rPr>
                <w:rFonts w:hint="default" w:ascii="Times New Roman" w:hAnsi="Times New Roman" w:cs="Times New Roman"/>
                <w:kern w:val="0"/>
                <w:sz w:val="21"/>
                <w:szCs w:val="21"/>
              </w:rPr>
            </w:pPr>
            <w:r>
              <w:rPr>
                <w:rFonts w:hint="default" w:ascii="Times New Roman" w:hAnsi="Times New Roman" w:cs="Times New Roman"/>
                <w:sz w:val="21"/>
                <w:szCs w:val="21"/>
              </w:rPr>
              <w:t>根据《大气有害物质无组织排放卫生防护距离推导技术导则》（GB/T39499-2020）：当目标企业无组织排放存在多种有毒有害污染物时,基于单个污染物的等标排放量计算结果，优先选择等标排放量最大的污染物为企业无组织排放的主要特征大气有害物质。本项目多种污染物等标排放量差值都在10%以上，取排放量最大污染物VOCs为无组织排放的主要特征大气有害物质，卫生防护距离都是50m。</w:t>
            </w:r>
          </w:p>
          <w:p w14:paraId="79ADC36D">
            <w:pPr>
              <w:bidi w:val="0"/>
              <w:spacing w:line="360" w:lineRule="auto"/>
              <w:ind w:firstLine="420" w:firstLineChars="200"/>
              <w:rPr>
                <w:rFonts w:hint="default"/>
              </w:rPr>
            </w:pPr>
            <w:r>
              <w:rPr>
                <w:rFonts w:hint="default"/>
              </w:rPr>
              <w:t>因此，本项目最终确定的卫生防护距离为</w:t>
            </w:r>
            <w:r>
              <w:rPr>
                <w:rFonts w:hint="eastAsia"/>
                <w:lang w:val="en-US" w:eastAsia="zh-CN"/>
              </w:rPr>
              <w:t>注塑车间</w:t>
            </w:r>
            <w:r>
              <w:rPr>
                <w:rFonts w:hint="default"/>
              </w:rPr>
              <w:t>边界</w:t>
            </w:r>
            <w:r>
              <w:rPr>
                <w:rFonts w:hint="eastAsia"/>
                <w:lang w:eastAsia="zh-CN"/>
              </w:rPr>
              <w:t>、</w:t>
            </w:r>
            <w:r>
              <w:rPr>
                <w:rFonts w:hint="eastAsia"/>
                <w:lang w:val="en-US" w:eastAsia="zh-CN"/>
              </w:rPr>
              <w:t>喷涂车间边界</w:t>
            </w:r>
            <w:r>
              <w:rPr>
                <w:rFonts w:hint="default"/>
              </w:rPr>
              <w:t>为起点设置50m为本项目卫生防护距离。</w:t>
            </w:r>
          </w:p>
          <w:p w14:paraId="010A910C">
            <w:pPr>
              <w:adjustRightInd w:val="0"/>
              <w:snapToGrid w:val="0"/>
              <w:spacing w:line="360" w:lineRule="auto"/>
              <w:ind w:firstLine="420" w:firstLineChars="200"/>
              <w:rPr>
                <w:rFonts w:hint="default" w:ascii="Times New Roman" w:hAnsi="Times New Roman" w:cs="Times New Roman"/>
                <w:kern w:val="0"/>
                <w:sz w:val="21"/>
                <w:szCs w:val="21"/>
              </w:rPr>
            </w:pPr>
            <w:r>
              <w:rPr>
                <w:rFonts w:hint="default" w:ascii="Times New Roman" w:hAnsi="Times New Roman" w:cs="Times New Roman"/>
                <w:kern w:val="0"/>
                <w:sz w:val="21"/>
                <w:szCs w:val="21"/>
              </w:rPr>
              <w:t>根据现场勘查，本项目卫生防护距离范围内无学校、医院、集中居住区等环境敏感点，及对大气环境较敏感的食品、医药等企业分布，项目正常生产情况各废气经治理后均能实现达标排放，对周边环境影响较小。另外，环评要求本项目卫生防护距离之内不得新建民用建筑和食品、医药等对大气环境质量要求较高企业。</w:t>
            </w:r>
          </w:p>
          <w:p w14:paraId="36876E0D">
            <w:pPr>
              <w:bidi w:val="0"/>
              <w:rPr>
                <w:rFonts w:hint="eastAsia" w:eastAsia="宋体"/>
                <w:lang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2925445</wp:posOffset>
                      </wp:positionH>
                      <wp:positionV relativeFrom="paragraph">
                        <wp:posOffset>2759075</wp:posOffset>
                      </wp:positionV>
                      <wp:extent cx="673100" cy="624840"/>
                      <wp:effectExtent l="60960" t="68580" r="73660" b="68580"/>
                      <wp:wrapNone/>
                      <wp:docPr id="23" name="圆角矩形 23"/>
                      <wp:cNvGraphicFramePr/>
                      <a:graphic xmlns:a="http://schemas.openxmlformats.org/drawingml/2006/main">
                        <a:graphicData uri="http://schemas.microsoft.com/office/word/2010/wordprocessingShape">
                          <wps:wsp>
                            <wps:cNvSpPr/>
                            <wps:spPr>
                              <a:xfrm rot="20640000">
                                <a:off x="4074160" y="6255385"/>
                                <a:ext cx="673100" cy="624840"/>
                              </a:xfrm>
                              <a:prstGeom prst="roundRect">
                                <a:avLst/>
                              </a:prstGeom>
                              <a:noFill/>
                              <a:ln>
                                <a:solidFill>
                                  <a:srgbClr val="C262E6"/>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0.35pt;margin-top:217.25pt;height:49.2pt;width:53pt;rotation:-1048576f;z-index:251667456;v-text-anchor:middle;mso-width-relative:page;mso-height-relative:page;" filled="f" stroked="t" coordsize="21600,21600" arcsize="0.166666666666667" o:gfxdata="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Gxh9N2AAAAAsBAAAPAAAA&#10;AAAAAAEAIAAAACIAAABkcnMvZG93bnJldi54bWxQSwECFAAUAAAACACHTuJA6sCE/YcCAADbBAAA&#10;DgAAAAAAAAABACAAAAAnAQAAZHJzL2Uyb0RvYy54bWxQSwUGAAAAAAYABgBZAQAAIAYAAAAA&#10;">
                      <v:fill on="f" focussize="0,0"/>
                      <v:stroke weight="2pt" color="#C262E6 [2404]" joinstyle="round"/>
                      <v:imagedata o:title=""/>
                      <o:lock v:ext="edit" aspectratio="f"/>
                    </v:round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3133090</wp:posOffset>
                      </wp:positionH>
                      <wp:positionV relativeFrom="paragraph">
                        <wp:posOffset>2744470</wp:posOffset>
                      </wp:positionV>
                      <wp:extent cx="479425" cy="276860"/>
                      <wp:effectExtent l="0" t="0" r="0" b="0"/>
                      <wp:wrapNone/>
                      <wp:docPr id="18" name="文本框 18"/>
                      <wp:cNvGraphicFramePr/>
                      <a:graphic xmlns:a="http://schemas.openxmlformats.org/drawingml/2006/main">
                        <a:graphicData uri="http://schemas.microsoft.com/office/word/2010/wordprocessingShape">
                          <wps:wsp>
                            <wps:cNvSpPr txBox="1"/>
                            <wps:spPr>
                              <a:xfrm>
                                <a:off x="3837940" y="6224905"/>
                                <a:ext cx="479425"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1DEEE">
                                  <w:pPr>
                                    <w:rPr>
                                      <w:rFonts w:hint="default" w:eastAsia="宋体"/>
                                      <w:b/>
                                      <w:bCs/>
                                      <w:sz w:val="18"/>
                                      <w:szCs w:val="18"/>
                                      <w:lang w:val="en-US" w:eastAsia="zh-CN"/>
                                    </w:rPr>
                                  </w:pPr>
                                  <w:r>
                                    <w:rPr>
                                      <w:rFonts w:hint="eastAsia"/>
                                      <w:b/>
                                      <w:bCs/>
                                      <w:sz w:val="18"/>
                                      <w:szCs w:val="18"/>
                                      <w:lang w:val="en-US" w:eastAsia="zh-CN"/>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7pt;margin-top:216.1pt;height:21.8pt;width:37.75pt;z-index:251665408;mso-width-relative:page;mso-height-relative:page;" filled="f" stroked="f" coordsize="21600,21600" o:gfxdata="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quFx93AAAAAsBAAAPAAAAAAAA&#10;AAEAIAAAACIAAABkcnMvZG93bnJldi54bWxQSwECFAAUAAAACACHTuJA6hOWfkcCAABzBAAADgAA&#10;AAAAAAABACAAAAArAQAAZHJzL2Uyb0RvYy54bWxQSwUGAAAAAAYABgBZAQAA5AUAAAAA&#10;">
                      <v:fill on="f" focussize="0,0"/>
                      <v:stroke on="f" weight="0.5pt"/>
                      <v:imagedata o:title=""/>
                      <o:lock v:ext="edit" aspectratio="f"/>
                      <v:textbox>
                        <w:txbxContent>
                          <w:p w14:paraId="2EB1DEEE">
                            <w:pPr>
                              <w:rPr>
                                <w:rFonts w:hint="default" w:eastAsia="宋体"/>
                                <w:b/>
                                <w:bCs/>
                                <w:sz w:val="18"/>
                                <w:szCs w:val="18"/>
                                <w:lang w:val="en-US" w:eastAsia="zh-CN"/>
                              </w:rPr>
                            </w:pPr>
                            <w:r>
                              <w:rPr>
                                <w:rFonts w:hint="eastAsia"/>
                                <w:b/>
                                <w:bCs/>
                                <w:sz w:val="18"/>
                                <w:szCs w:val="18"/>
                                <w:lang w:val="en-US" w:eastAsia="zh-CN"/>
                              </w:rPr>
                              <w:t>50m</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3147695</wp:posOffset>
                      </wp:positionH>
                      <wp:positionV relativeFrom="paragraph">
                        <wp:posOffset>2750820</wp:posOffset>
                      </wp:positionV>
                      <wp:extent cx="60960" cy="228600"/>
                      <wp:effectExtent l="17145" t="0" r="13335" b="15240"/>
                      <wp:wrapNone/>
                      <wp:docPr id="17" name="直接箭头连接符 17"/>
                      <wp:cNvGraphicFramePr/>
                      <a:graphic xmlns:a="http://schemas.openxmlformats.org/drawingml/2006/main">
                        <a:graphicData uri="http://schemas.microsoft.com/office/word/2010/wordprocessingShape">
                          <wps:wsp>
                            <wps:cNvCnPr/>
                            <wps:spPr>
                              <a:xfrm flipH="1" flipV="1">
                                <a:off x="0" y="0"/>
                                <a:ext cx="60960" cy="228600"/>
                              </a:xfrm>
                              <a:prstGeom prst="straightConnector1">
                                <a:avLst/>
                              </a:prstGeom>
                              <a:ln>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47.85pt;margin-top:216.6pt;height:18pt;width:4.8pt;z-index:251664384;mso-width-relative:page;mso-height-relative:page;" filled="f" stroked="t" coordsize="21600,21600" o:gfxdata="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HTY&#10;odsAAAALAQAADwAAAAAAAAABACAAAAAiAAAAZHJzL2Rvd25yZXYueG1sUEsBAhQAFAAAAAgAh07i&#10;QCn+gqUfAgAADgQAAA4AAAAAAAAAAQAgAAAAKgEAAGRycy9lMm9Eb2MueG1sUEsFBgAAAAAGAAYA&#10;WQEAALsFAAAAAA==&#10;">
                      <v:fill on="f" focussize="0,0"/>
                      <v:stroke weight="2pt" color="#FF0000 [3204]" joinstyle="round" endarrow="block"/>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2347595</wp:posOffset>
                      </wp:positionH>
                      <wp:positionV relativeFrom="paragraph">
                        <wp:posOffset>1440180</wp:posOffset>
                      </wp:positionV>
                      <wp:extent cx="914400" cy="365760"/>
                      <wp:effectExtent l="0" t="0" r="0" b="0"/>
                      <wp:wrapNone/>
                      <wp:docPr id="16" name="文本框 16"/>
                      <wp:cNvGraphicFramePr/>
                      <a:graphic xmlns:a="http://schemas.openxmlformats.org/drawingml/2006/main">
                        <a:graphicData uri="http://schemas.microsoft.com/office/word/2010/wordprocessingShape">
                          <wps:wsp>
                            <wps:cNvSpPr txBox="1"/>
                            <wps:spPr>
                              <a:xfrm>
                                <a:off x="3517900" y="5043805"/>
                                <a:ext cx="914400" cy="365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50B77">
                                  <w:pPr>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85pt;margin-top:113.4pt;height:28.8pt;width:72pt;z-index:251663360;mso-width-relative:page;mso-height-relative:page;" filled="f" stroked="f" coordsize="21600,21600" o:gfxdata="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1/hwXbAAAACwEAAA8AAAAAAAAA&#10;AQAgAAAAIgAAAGRycy9kb3ducmV2LnhtbFBLAQIUABQAAAAIAIdO4kCwim++RwIAAHMEAAAOAAAA&#10;AAAAAAEAIAAAACoBAABkcnMvZTJvRG9jLnhtbFBLBQYAAAAABgAGAFkBAADjBQAAAAA=&#10;">
                      <v:fill on="f" focussize="0,0"/>
                      <v:stroke on="f" weight="0.5pt"/>
                      <v:imagedata o:title=""/>
                      <o:lock v:ext="edit" aspectratio="f"/>
                      <v:textbox>
                        <w:txbxContent>
                          <w:p w14:paraId="25A50B77">
                            <w:pPr>
                              <w:rPr>
                                <w:rFonts w:hint="default" w:eastAsia="宋体"/>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50m</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2439035</wp:posOffset>
                      </wp:positionH>
                      <wp:positionV relativeFrom="paragraph">
                        <wp:posOffset>1638300</wp:posOffset>
                      </wp:positionV>
                      <wp:extent cx="259080" cy="76200"/>
                      <wp:effectExtent l="0" t="12065" r="15240" b="18415"/>
                      <wp:wrapNone/>
                      <wp:docPr id="15" name="直接箭头连接符 15"/>
                      <wp:cNvGraphicFramePr/>
                      <a:graphic xmlns:a="http://schemas.openxmlformats.org/drawingml/2006/main">
                        <a:graphicData uri="http://schemas.microsoft.com/office/word/2010/wordprocessingShape">
                          <wps:wsp>
                            <wps:cNvCnPr/>
                            <wps:spPr>
                              <a:xfrm flipH="1">
                                <a:off x="3495040" y="5150485"/>
                                <a:ext cx="259080" cy="76200"/>
                              </a:xfrm>
                              <a:prstGeom prst="straightConnector1">
                                <a:avLst/>
                              </a:prstGeom>
                              <a:ln>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05pt;margin-top:129pt;height:6pt;width:20.4pt;z-index:251662336;mso-width-relative:page;mso-height-relative:page;" filled="f" stroked="t" coordsize="21600,21600" o:gfxdata="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5ch4o3AAAAAsBAAAPAAAAAAAAAAEAIAAAACIAAABkcnMvZG93bnJldi54bWxQSwECFAAU&#10;AAAACACHTuJAWiAZkyYCAAAQBAAADgAAAAAAAAABACAAAAArAQAAZHJzL2Uyb0RvYy54bWxQSwUG&#10;AAAAAAYABgBZAQAAwwUAAAAA&#10;">
                      <v:fill on="f" focussize="0,0"/>
                      <v:stroke weight="2pt" color="#FF0000 [3204]" joinstyle="round" endarrow="block"/>
                      <v:imagedata o:title=""/>
                      <o:lock v:ext="edit" aspectratio="f"/>
                    </v:shape>
                  </w:pict>
                </mc:Fallback>
              </mc:AlternateContent>
            </w:r>
            <w:r>
              <w:rPr>
                <w:rFonts w:hint="eastAsia" w:eastAsia="宋体"/>
                <w:lang w:eastAsia="zh-CN"/>
              </w:rPr>
              <w:drawing>
                <wp:inline distT="0" distB="0" distL="114300" distR="114300">
                  <wp:extent cx="5610860" cy="4110990"/>
                  <wp:effectExtent l="0" t="0" r="12700" b="3810"/>
                  <wp:docPr id="22" name="图片 22" descr="172725043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27250439129"/>
                          <pic:cNvPicPr>
                            <a:picLocks noChangeAspect="1"/>
                          </pic:cNvPicPr>
                        </pic:nvPicPr>
                        <pic:blipFill>
                          <a:blip r:embed="rId21"/>
                          <a:stretch>
                            <a:fillRect/>
                          </a:stretch>
                        </pic:blipFill>
                        <pic:spPr>
                          <a:xfrm>
                            <a:off x="0" y="0"/>
                            <a:ext cx="5610860" cy="4110990"/>
                          </a:xfrm>
                          <a:prstGeom prst="rect">
                            <a:avLst/>
                          </a:prstGeom>
                        </pic:spPr>
                      </pic:pic>
                    </a:graphicData>
                  </a:graphic>
                </wp:inline>
              </w:drawing>
            </w:r>
            <w:r>
              <w:rPr>
                <w:sz w:val="21"/>
              </w:rPr>
              <mc:AlternateContent>
                <mc:Choice Requires="wps">
                  <w:drawing>
                    <wp:anchor distT="0" distB="0" distL="114300" distR="114300" simplePos="0" relativeHeight="251666432" behindDoc="0" locked="0" layoutInCell="1" allowOverlap="1">
                      <wp:simplePos x="0" y="0"/>
                      <wp:positionH relativeFrom="column">
                        <wp:posOffset>2226310</wp:posOffset>
                      </wp:positionH>
                      <wp:positionV relativeFrom="paragraph">
                        <wp:posOffset>1042035</wp:posOffset>
                      </wp:positionV>
                      <wp:extent cx="1255395" cy="935990"/>
                      <wp:effectExtent l="143510" t="86360" r="154940" b="90805"/>
                      <wp:wrapNone/>
                      <wp:docPr id="21" name="圆角矩形 21"/>
                      <wp:cNvGraphicFramePr/>
                      <a:graphic xmlns:a="http://schemas.openxmlformats.org/drawingml/2006/main">
                        <a:graphicData uri="http://schemas.microsoft.com/office/word/2010/wordprocessingShape">
                          <wps:wsp>
                            <wps:cNvSpPr/>
                            <wps:spPr>
                              <a:xfrm rot="4320000">
                                <a:off x="2923540" y="4601845"/>
                                <a:ext cx="1255395" cy="935990"/>
                              </a:xfrm>
                              <a:prstGeom prst="roundRect">
                                <a:avLst/>
                              </a:prstGeom>
                              <a:noFill/>
                              <a:ln>
                                <a:solidFill>
                                  <a:srgbClr val="C262E6"/>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5.3pt;margin-top:82.05pt;height:73.7pt;width:98.85pt;rotation:4718592f;z-index:251666432;v-text-anchor:middle;mso-width-relative:page;mso-height-relative:page;" filled="f" stroked="t" coordsize="21600,21600" arcsize="0.166666666666667" o:gfxdata="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LjUF31wAAAAsBAAAPAAAA&#10;AAAAAAEAIAAAACIAAABkcnMvZG93bnJldi54bWxQSwECFAAUAAAACACHTuJAY9gEyIgCAADbBAAA&#10;DgAAAAAAAAABACAAAAAmAQAAZHJzL2Uyb0RvYy54bWxQSwUGAAAAAAYABgBZAQAAIAYAAAAA&#10;">
                      <v:fill on="f" focussize="0,0"/>
                      <v:stroke weight="2pt" color="#C262E6 [2404]" joinstyle="round"/>
                      <v:imagedata o:title=""/>
                      <o:lock v:ext="edit" aspectratio="f"/>
                    </v:roundrect>
                  </w:pict>
                </mc:Fallback>
              </mc:AlternateContent>
            </w:r>
          </w:p>
          <w:p w14:paraId="187AFCFF">
            <w:pPr>
              <w:bidi w:val="0"/>
              <w:jc w:val="center"/>
              <w:rPr>
                <w:rFonts w:hint="default"/>
                <w:b/>
                <w:bCs/>
                <w:lang w:val="en-US" w:eastAsia="zh-CN"/>
              </w:rPr>
            </w:pPr>
            <w:r>
              <w:rPr>
                <w:rFonts w:hint="eastAsia"/>
                <w:b/>
                <w:bCs/>
                <w:lang w:val="en-US" w:eastAsia="zh-CN"/>
              </w:rPr>
              <w:t>图4-4项目卫生防护距离图</w:t>
            </w:r>
          </w:p>
          <w:p w14:paraId="21C665DF">
            <w:pPr>
              <w:autoSpaceDE w:val="0"/>
              <w:autoSpaceDN w:val="0"/>
              <w:spacing w:line="360" w:lineRule="auto"/>
              <w:ind w:firstLine="422" w:firstLineChars="200"/>
              <w:rPr>
                <w:sz w:val="21"/>
                <w:szCs w:val="21"/>
              </w:rPr>
            </w:pPr>
            <w:r>
              <w:rPr>
                <w:rFonts w:hint="default"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w:t>
            </w:r>
            <w:r>
              <w:rPr>
                <w:b/>
                <w:bCs/>
                <w:sz w:val="21"/>
                <w:szCs w:val="21"/>
              </w:rPr>
              <w:t>废气治理措施可行性及达标分析</w:t>
            </w:r>
          </w:p>
          <w:p w14:paraId="7FDAD149">
            <w:pPr>
              <w:spacing w:line="360" w:lineRule="auto"/>
              <w:ind w:firstLine="420" w:firstLineChars="200"/>
              <w:rPr>
                <w:sz w:val="21"/>
                <w:szCs w:val="21"/>
              </w:rPr>
            </w:pPr>
            <w:r>
              <w:rPr>
                <w:sz w:val="21"/>
                <w:szCs w:val="21"/>
              </w:rPr>
              <w:t>本项目位于四川省</w:t>
            </w:r>
            <w:r>
              <w:rPr>
                <w:rFonts w:hint="eastAsia"/>
                <w:sz w:val="21"/>
                <w:szCs w:val="21"/>
                <w:lang w:val="en-US" w:eastAsia="zh-CN"/>
              </w:rPr>
              <w:t>遂宁市蓬溪镇</w:t>
            </w:r>
            <w:r>
              <w:rPr>
                <w:rFonts w:hint="eastAsia" w:cs="Times New Roman"/>
                <w:lang w:eastAsia="zh-CN"/>
              </w:rPr>
              <w:t>赤城镇上游工业园区拓展区11号F地块</w:t>
            </w:r>
            <w:r>
              <w:rPr>
                <w:sz w:val="21"/>
                <w:szCs w:val="21"/>
              </w:rPr>
              <w:t>，环境空气质量属于达标区。</w:t>
            </w:r>
            <w:r>
              <w:rPr>
                <w:rFonts w:hint="eastAsia"/>
                <w:sz w:val="21"/>
                <w:szCs w:val="21"/>
                <w:lang w:val="en-US" w:eastAsia="zh-CN"/>
              </w:rPr>
              <w:t>注塑产生的挥发性有机物（包含</w:t>
            </w:r>
            <w:r>
              <w:rPr>
                <w:rFonts w:hint="eastAsia" w:ascii="宋体" w:hAnsi="宋体" w:eastAsia="宋体" w:cs="宋体"/>
                <w:color w:val="000000"/>
                <w:kern w:val="0"/>
                <w:sz w:val="21"/>
                <w:szCs w:val="21"/>
                <w:lang w:val="en-US" w:eastAsia="zh-CN" w:bidi="ar"/>
              </w:rPr>
              <w:t>丙烯腈</w:t>
            </w:r>
            <w:r>
              <w:rPr>
                <w:rFonts w:hint="eastAsia" w:ascii="宋体" w:hAnsi="宋体" w:cs="宋体"/>
                <w:color w:val="000000"/>
                <w:kern w:val="0"/>
                <w:sz w:val="21"/>
                <w:szCs w:val="21"/>
                <w:lang w:val="en-US" w:eastAsia="zh-CN" w:bidi="ar"/>
              </w:rPr>
              <w:t>、</w:t>
            </w:r>
            <w:r>
              <w:rPr>
                <w:rFonts w:hint="eastAsia"/>
                <w:szCs w:val="21"/>
              </w:rPr>
              <w:t>苯乙烯</w:t>
            </w:r>
            <w:r>
              <w:rPr>
                <w:rFonts w:hint="eastAsia"/>
                <w:sz w:val="21"/>
                <w:szCs w:val="21"/>
                <w:lang w:val="en-US" w:eastAsia="zh-CN"/>
              </w:rPr>
              <w:t>）</w:t>
            </w:r>
            <w:r>
              <w:rPr>
                <w:sz w:val="21"/>
                <w:szCs w:val="21"/>
              </w:rPr>
              <w:t>经密闭负压+</w:t>
            </w:r>
            <w:r>
              <w:rPr>
                <w:rFonts w:hint="eastAsia"/>
                <w:sz w:val="21"/>
                <w:szCs w:val="21"/>
                <w:lang w:val="en-US" w:eastAsia="zh-CN"/>
              </w:rPr>
              <w:t>二级活性炭吸附</w:t>
            </w:r>
            <w:r>
              <w:rPr>
                <w:sz w:val="21"/>
                <w:szCs w:val="21"/>
              </w:rPr>
              <w:t>处理后由</w:t>
            </w:r>
            <w:r>
              <w:rPr>
                <w:rFonts w:hint="eastAsia"/>
                <w:sz w:val="21"/>
                <w:szCs w:val="21"/>
                <w:lang w:val="en-US" w:eastAsia="zh-CN"/>
              </w:rPr>
              <w:t>15</w:t>
            </w:r>
            <w:r>
              <w:rPr>
                <w:sz w:val="21"/>
                <w:szCs w:val="21"/>
              </w:rPr>
              <w:t>m排气筒</w:t>
            </w:r>
            <w:r>
              <w:rPr>
                <w:rFonts w:hint="eastAsia"/>
                <w:sz w:val="21"/>
                <w:szCs w:val="21"/>
              </w:rPr>
              <w:t>楼顶</w:t>
            </w:r>
            <w:r>
              <w:rPr>
                <w:sz w:val="21"/>
                <w:szCs w:val="21"/>
              </w:rPr>
              <w:t>排放</w:t>
            </w:r>
            <w:r>
              <w:rPr>
                <w:rFonts w:hint="eastAsia"/>
                <w:sz w:val="21"/>
                <w:szCs w:val="21"/>
                <w:lang w:eastAsia="zh-CN"/>
              </w:rPr>
              <w:t>；</w:t>
            </w:r>
            <w:r>
              <w:rPr>
                <w:rFonts w:hint="eastAsia"/>
                <w:sz w:val="21"/>
                <w:szCs w:val="21"/>
                <w:lang w:val="en-US" w:eastAsia="zh-CN"/>
              </w:rPr>
              <w:t>破碎产生的粉尘经密闭负压+</w:t>
            </w:r>
            <w:r>
              <w:rPr>
                <w:rFonts w:hint="default" w:ascii="Times New Roman" w:hAnsi="Times New Roman" w:eastAsia="宋体" w:cs="Times New Roman"/>
                <w:color w:val="000000"/>
                <w:kern w:val="0"/>
                <w:sz w:val="21"/>
                <w:szCs w:val="21"/>
                <w:lang w:val="en-US" w:eastAsia="zh-CN" w:bidi="ar"/>
              </w:rPr>
              <w:t>布袋除尘器</w:t>
            </w:r>
            <w:r>
              <w:rPr>
                <w:rFonts w:hint="eastAsia" w:cs="Times New Roman"/>
                <w:color w:val="000000"/>
                <w:kern w:val="0"/>
                <w:sz w:val="21"/>
                <w:szCs w:val="21"/>
                <w:lang w:val="en-US" w:eastAsia="zh-CN" w:bidi="ar"/>
              </w:rPr>
              <w:t>处理后</w:t>
            </w:r>
            <w:r>
              <w:rPr>
                <w:rFonts w:hint="eastAsia"/>
                <w:sz w:val="21"/>
                <w:szCs w:val="21"/>
                <w:lang w:val="en-US" w:eastAsia="zh-CN"/>
              </w:rPr>
              <w:t>并入15</w:t>
            </w:r>
            <w:r>
              <w:rPr>
                <w:sz w:val="21"/>
                <w:szCs w:val="21"/>
              </w:rPr>
              <w:t>m排气筒</w:t>
            </w:r>
            <w:r>
              <w:rPr>
                <w:rFonts w:hint="eastAsia"/>
                <w:sz w:val="21"/>
                <w:szCs w:val="21"/>
              </w:rPr>
              <w:t>楼顶</w:t>
            </w:r>
            <w:r>
              <w:rPr>
                <w:rFonts w:hint="eastAsia" w:cs="Times New Roman"/>
                <w:color w:val="000000"/>
                <w:kern w:val="0"/>
                <w:sz w:val="21"/>
                <w:szCs w:val="21"/>
                <w:lang w:val="en-US" w:eastAsia="zh-CN" w:bidi="ar"/>
              </w:rPr>
              <w:t>排放；</w:t>
            </w:r>
            <w:r>
              <w:rPr>
                <w:sz w:val="21"/>
                <w:szCs w:val="21"/>
              </w:rPr>
              <w:t>调漆、喷漆、</w:t>
            </w:r>
            <w:r>
              <w:rPr>
                <w:rFonts w:hint="eastAsia"/>
                <w:sz w:val="21"/>
                <w:szCs w:val="21"/>
                <w:lang w:val="en-US" w:eastAsia="zh-CN"/>
              </w:rPr>
              <w:t>烘干、焊接组装</w:t>
            </w:r>
            <w:r>
              <w:rPr>
                <w:sz w:val="21"/>
                <w:szCs w:val="21"/>
              </w:rPr>
              <w:t>产生挥发性有机物（含二甲苯、</w:t>
            </w:r>
            <w:r>
              <w:rPr>
                <w:rFonts w:hint="eastAsia"/>
                <w:sz w:val="21"/>
                <w:szCs w:val="21"/>
              </w:rPr>
              <w:t>乙苯</w:t>
            </w:r>
            <w:r>
              <w:rPr>
                <w:sz w:val="21"/>
                <w:szCs w:val="21"/>
              </w:rPr>
              <w:t>、甲苯）经密闭负压+</w:t>
            </w:r>
            <w:r>
              <w:rPr>
                <w:rFonts w:hint="eastAsia"/>
                <w:sz w:val="21"/>
                <w:szCs w:val="21"/>
                <w:lang w:val="en-US" w:eastAsia="zh-CN"/>
              </w:rPr>
              <w:t>二级活性炭吸附</w:t>
            </w:r>
            <w:r>
              <w:rPr>
                <w:sz w:val="21"/>
                <w:szCs w:val="21"/>
              </w:rPr>
              <w:t>处理后由</w:t>
            </w:r>
            <w:r>
              <w:rPr>
                <w:rFonts w:hint="eastAsia"/>
                <w:sz w:val="21"/>
                <w:szCs w:val="21"/>
                <w:lang w:val="en-US" w:eastAsia="zh-CN"/>
              </w:rPr>
              <w:t>15</w:t>
            </w:r>
            <w:r>
              <w:rPr>
                <w:sz w:val="21"/>
                <w:szCs w:val="21"/>
              </w:rPr>
              <w:t>m排气筒</w:t>
            </w:r>
            <w:r>
              <w:rPr>
                <w:rFonts w:hint="eastAsia"/>
                <w:sz w:val="21"/>
                <w:szCs w:val="21"/>
              </w:rPr>
              <w:t>楼顶</w:t>
            </w:r>
            <w:r>
              <w:rPr>
                <w:sz w:val="21"/>
                <w:szCs w:val="21"/>
              </w:rPr>
              <w:t>排放，</w:t>
            </w:r>
            <w:r>
              <w:rPr>
                <w:rFonts w:hint="eastAsia"/>
                <w:sz w:val="21"/>
                <w:szCs w:val="21"/>
                <w:lang w:val="en-US" w:eastAsia="zh-CN"/>
              </w:rPr>
              <w:t>其中喷涂产生的漆雾经</w:t>
            </w:r>
            <w:r>
              <w:rPr>
                <w:rFonts w:hint="eastAsia" w:hAnsi="Times New Roman" w:eastAsia="宋体" w:cs="Times New Roman"/>
                <w:color w:val="auto"/>
                <w:sz w:val="21"/>
                <w:szCs w:val="21"/>
                <w:highlight w:val="none"/>
                <w:lang w:val="en-US" w:eastAsia="zh-CN"/>
              </w:rPr>
              <w:t>水帘水洗柜除漆雾装置</w:t>
            </w:r>
            <w:r>
              <w:rPr>
                <w:rFonts w:hint="eastAsia" w:cs="Times New Roman"/>
                <w:color w:val="auto"/>
                <w:sz w:val="21"/>
                <w:szCs w:val="21"/>
                <w:lang w:val="en-US" w:eastAsia="zh-CN"/>
              </w:rPr>
              <w:t>+过滤棉处理后</w:t>
            </w:r>
            <w:r>
              <w:rPr>
                <w:rFonts w:hint="eastAsia"/>
                <w:sz w:val="21"/>
                <w:szCs w:val="21"/>
                <w:lang w:eastAsia="zh-CN"/>
              </w:rPr>
              <w:t>，</w:t>
            </w:r>
            <w:r>
              <w:rPr>
                <w:sz w:val="21"/>
                <w:szCs w:val="21"/>
              </w:rPr>
              <w:t>由</w:t>
            </w:r>
            <w:r>
              <w:rPr>
                <w:rFonts w:hint="eastAsia"/>
                <w:sz w:val="21"/>
                <w:szCs w:val="21"/>
                <w:lang w:val="en-US" w:eastAsia="zh-CN"/>
              </w:rPr>
              <w:t>15</w:t>
            </w:r>
            <w:r>
              <w:rPr>
                <w:sz w:val="21"/>
                <w:szCs w:val="21"/>
              </w:rPr>
              <w:t>m排气筒</w:t>
            </w:r>
            <w:r>
              <w:rPr>
                <w:rFonts w:hint="eastAsia"/>
                <w:sz w:val="21"/>
                <w:szCs w:val="21"/>
              </w:rPr>
              <w:t>楼顶</w:t>
            </w:r>
            <w:r>
              <w:rPr>
                <w:sz w:val="21"/>
                <w:szCs w:val="21"/>
              </w:rPr>
              <w:t>排放</w:t>
            </w:r>
            <w:r>
              <w:rPr>
                <w:rFonts w:hint="eastAsia"/>
                <w:sz w:val="21"/>
                <w:szCs w:val="21"/>
                <w:lang w:eastAsia="zh-CN"/>
              </w:rPr>
              <w:t>，</w:t>
            </w:r>
            <w:r>
              <w:rPr>
                <w:sz w:val="21"/>
                <w:szCs w:val="21"/>
              </w:rPr>
              <w:t>挥发性有机物、二甲苯、乙苯、</w:t>
            </w:r>
            <w:r>
              <w:rPr>
                <w:rFonts w:hint="eastAsia"/>
                <w:sz w:val="21"/>
                <w:szCs w:val="21"/>
                <w:lang w:val="en-US" w:eastAsia="zh-CN"/>
              </w:rPr>
              <w:t>有组织、无组织</w:t>
            </w:r>
            <w:r>
              <w:rPr>
                <w:sz w:val="21"/>
                <w:szCs w:val="21"/>
              </w:rPr>
              <w:t>排放满足《四川省固定污染源大气挥发性有机物排放标准》（DB51/2377-2017）相关限值；颗粒物</w:t>
            </w:r>
            <w:r>
              <w:rPr>
                <w:rFonts w:hint="eastAsia"/>
                <w:sz w:val="21"/>
                <w:szCs w:val="21"/>
              </w:rPr>
              <w:t>有</w:t>
            </w:r>
            <w:r>
              <w:rPr>
                <w:sz w:val="21"/>
                <w:szCs w:val="21"/>
              </w:rPr>
              <w:t>组织</w:t>
            </w:r>
            <w:r>
              <w:rPr>
                <w:rFonts w:hint="eastAsia"/>
                <w:sz w:val="21"/>
                <w:szCs w:val="21"/>
                <w:lang w:eastAsia="zh-CN"/>
              </w:rPr>
              <w:t>、</w:t>
            </w:r>
            <w:r>
              <w:rPr>
                <w:rFonts w:hint="eastAsia"/>
                <w:sz w:val="21"/>
                <w:szCs w:val="21"/>
                <w:lang w:val="en-US" w:eastAsia="zh-CN"/>
              </w:rPr>
              <w:t>无组织</w:t>
            </w:r>
            <w:r>
              <w:rPr>
                <w:sz w:val="21"/>
                <w:szCs w:val="21"/>
              </w:rPr>
              <w:t>排放能够满足《大气污染物综合排放标准》（GB16297-1996）</w:t>
            </w:r>
            <w:r>
              <w:rPr>
                <w:rFonts w:hint="eastAsia"/>
                <w:sz w:val="21"/>
                <w:szCs w:val="21"/>
                <w:lang w:val="en-US" w:eastAsia="zh-CN"/>
              </w:rPr>
              <w:t>相关</w:t>
            </w:r>
            <w:r>
              <w:rPr>
                <w:sz w:val="21"/>
                <w:szCs w:val="21"/>
              </w:rPr>
              <w:t>排放监控限值；</w:t>
            </w:r>
            <w:r>
              <w:rPr>
                <w:rFonts w:hint="eastAsia" w:ascii="宋体" w:hAnsi="宋体" w:eastAsia="宋体" w:cs="宋体"/>
                <w:color w:val="000000"/>
                <w:kern w:val="0"/>
                <w:sz w:val="21"/>
                <w:szCs w:val="21"/>
                <w:lang w:val="en-US" w:eastAsia="zh-CN" w:bidi="ar"/>
              </w:rPr>
              <w:t>丙烯腈</w:t>
            </w:r>
            <w:r>
              <w:rPr>
                <w:rFonts w:hint="eastAsia" w:ascii="宋体" w:hAnsi="宋体" w:cs="宋体"/>
                <w:color w:val="000000"/>
                <w:kern w:val="0"/>
                <w:sz w:val="21"/>
                <w:szCs w:val="21"/>
                <w:lang w:val="en-US" w:eastAsia="zh-CN" w:bidi="ar"/>
              </w:rPr>
              <w:t>有组织排放满足</w:t>
            </w:r>
            <w:r>
              <w:rPr>
                <w:rFonts w:hint="eastAsia" w:ascii="宋体" w:hAnsi="宋体" w:eastAsia="宋体" w:cs="宋体"/>
                <w:color w:val="000000"/>
                <w:kern w:val="0"/>
                <w:sz w:val="21"/>
                <w:szCs w:val="21"/>
                <w:lang w:val="en-US" w:eastAsia="zh-CN" w:bidi="ar"/>
              </w:rPr>
              <w:t>《合成树脂工业污染物排放标准》（</w:t>
            </w:r>
            <w:r>
              <w:rPr>
                <w:rFonts w:hint="default" w:ascii="Times New Roman" w:hAnsi="Times New Roman" w:eastAsia="宋体" w:cs="Times New Roman"/>
                <w:color w:val="000000"/>
                <w:kern w:val="0"/>
                <w:sz w:val="21"/>
                <w:szCs w:val="21"/>
                <w:lang w:val="en-US" w:eastAsia="zh-CN" w:bidi="ar"/>
              </w:rPr>
              <w:t>GB31572-2015</w:t>
            </w:r>
            <w:r>
              <w:rPr>
                <w:rFonts w:hint="eastAsia" w:ascii="宋体" w:hAnsi="宋体" w:eastAsia="宋体" w:cs="宋体"/>
                <w:color w:val="000000"/>
                <w:kern w:val="0"/>
                <w:sz w:val="21"/>
                <w:szCs w:val="21"/>
                <w:lang w:val="en-US" w:eastAsia="zh-CN" w:bidi="ar"/>
              </w:rPr>
              <w:t>）特别排放限值</w:t>
            </w:r>
            <w:r>
              <w:rPr>
                <w:rFonts w:hint="eastAsia" w:ascii="宋体" w:hAnsi="宋体" w:cs="宋体"/>
                <w:color w:val="000000"/>
                <w:kern w:val="0"/>
                <w:sz w:val="21"/>
                <w:szCs w:val="21"/>
                <w:lang w:val="en-US" w:eastAsia="zh-CN" w:bidi="ar"/>
              </w:rPr>
              <w:t>。</w:t>
            </w:r>
            <w:r>
              <w:rPr>
                <w:sz w:val="21"/>
                <w:szCs w:val="21"/>
              </w:rPr>
              <w:t>项目废气经处理后，不会对周边环境造成明显影响。项目以</w:t>
            </w:r>
            <w:r>
              <w:rPr>
                <w:rFonts w:hint="eastAsia"/>
                <w:lang w:val="en-US" w:eastAsia="zh-CN"/>
              </w:rPr>
              <w:t>注塑车间</w:t>
            </w:r>
            <w:r>
              <w:rPr>
                <w:rFonts w:hint="default"/>
              </w:rPr>
              <w:t>边界</w:t>
            </w:r>
            <w:r>
              <w:rPr>
                <w:rFonts w:hint="eastAsia"/>
                <w:lang w:eastAsia="zh-CN"/>
              </w:rPr>
              <w:t>、</w:t>
            </w:r>
            <w:r>
              <w:rPr>
                <w:rFonts w:hint="eastAsia"/>
                <w:lang w:val="en-US" w:eastAsia="zh-CN"/>
              </w:rPr>
              <w:t>喷涂车间边界</w:t>
            </w:r>
            <w:r>
              <w:rPr>
                <w:sz w:val="21"/>
                <w:szCs w:val="21"/>
              </w:rPr>
              <w:t>为起点</w:t>
            </w:r>
            <w:r>
              <w:rPr>
                <w:rFonts w:hint="eastAsia"/>
                <w:sz w:val="21"/>
                <w:szCs w:val="21"/>
              </w:rPr>
              <w:t>5</w:t>
            </w:r>
            <w:r>
              <w:rPr>
                <w:sz w:val="21"/>
                <w:szCs w:val="21"/>
              </w:rPr>
              <w:t>0m范围内设定卫生防护距离，卫生防护距离内无环境制约因素。</w:t>
            </w:r>
          </w:p>
          <w:p w14:paraId="386A5E06">
            <w:pPr>
              <w:numPr>
                <w:ilvl w:val="0"/>
                <w:numId w:val="0"/>
              </w:numPr>
              <w:spacing w:line="360" w:lineRule="auto"/>
              <w:ind w:leftChars="200"/>
              <w:jc w:val="both"/>
              <w:rPr>
                <w:rFonts w:hint="default" w:ascii="Times New Roman" w:hAnsi="Times New Roman" w:cs="Times New Roman"/>
                <w:b/>
                <w:bCs/>
                <w:sz w:val="21"/>
                <w:szCs w:val="21"/>
              </w:rPr>
            </w:pPr>
            <w:r>
              <w:rPr>
                <w:rFonts w:hint="eastAsia" w:ascii="Times New Roman" w:hAnsi="Times New Roman" w:cs="Times New Roman"/>
                <w:b/>
                <w:bCs/>
                <w:sz w:val="21"/>
                <w:szCs w:val="21"/>
                <w:lang w:eastAsia="zh-CN"/>
              </w:rPr>
              <w:t>（</w:t>
            </w:r>
            <w:r>
              <w:rPr>
                <w:rFonts w:hint="eastAsia" w:ascii="Times New Roman" w:hAnsi="Times New Roman" w:cs="Times New Roman"/>
                <w:b/>
                <w:bCs/>
                <w:sz w:val="21"/>
                <w:szCs w:val="21"/>
                <w:lang w:val="en-US" w:eastAsia="zh-CN"/>
              </w:rPr>
              <w:t>7</w:t>
            </w:r>
            <w:r>
              <w:rPr>
                <w:rFonts w:hint="eastAsia" w:ascii="Times New Roman" w:hAnsi="Times New Roman" w:cs="Times New Roman"/>
                <w:b/>
                <w:bCs/>
                <w:sz w:val="21"/>
                <w:szCs w:val="21"/>
                <w:lang w:eastAsia="zh-CN"/>
              </w:rPr>
              <w:t>）</w:t>
            </w:r>
            <w:r>
              <w:rPr>
                <w:rFonts w:hint="default" w:ascii="Times New Roman" w:hAnsi="Times New Roman" w:cs="Times New Roman"/>
                <w:b/>
                <w:bCs/>
                <w:sz w:val="21"/>
                <w:szCs w:val="21"/>
              </w:rPr>
              <w:t>排放口设置要求及执行标准</w:t>
            </w:r>
          </w:p>
          <w:p w14:paraId="15CAF294">
            <w:pPr>
              <w:numPr>
                <w:ilvl w:val="0"/>
                <w:numId w:val="0"/>
              </w:numPr>
              <w:spacing w:line="360" w:lineRule="auto"/>
              <w:ind w:firstLine="420" w:firstLineChars="200"/>
              <w:jc w:val="both"/>
              <w:rPr>
                <w:rFonts w:hint="default" w:ascii="Times New Roman" w:hAnsi="Times New Roman" w:cs="Times New Roman"/>
                <w:sz w:val="21"/>
                <w:szCs w:val="21"/>
              </w:rPr>
            </w:pPr>
            <w:r>
              <w:rPr>
                <w:rFonts w:hint="default" w:ascii="Times New Roman" w:hAnsi="Times New Roman" w:cs="Times New Roman"/>
                <w:sz w:val="21"/>
                <w:szCs w:val="21"/>
              </w:rPr>
              <w:t>本项目废气共设置</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rPr>
              <w:t>根排气筒，均为</w:t>
            </w: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rPr>
              <w:t>m高，</w:t>
            </w:r>
            <w:r>
              <w:rPr>
                <w:rFonts w:hint="eastAsia" w:ascii="Times New Roman" w:hAnsi="Times New Roman" w:cs="Times New Roman"/>
                <w:sz w:val="21"/>
                <w:szCs w:val="21"/>
                <w:lang w:val="en-US" w:eastAsia="zh-CN"/>
              </w:rPr>
              <w:t>喷涂车间西侧设置3根，中间设置2根，东侧设置1根；注塑车间西北侧设置1根，排放口均朝西南</w:t>
            </w:r>
            <w:r>
              <w:rPr>
                <w:rFonts w:hint="default" w:ascii="Times New Roman" w:hAnsi="Times New Roman" w:cs="Times New Roman"/>
                <w:sz w:val="21"/>
                <w:szCs w:val="21"/>
              </w:rPr>
              <w:t>，排放口基本情况及排放标准详见下表：</w:t>
            </w:r>
          </w:p>
          <w:p w14:paraId="76A7356F">
            <w:pPr>
              <w:ind w:firstLine="422" w:firstLineChars="20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表4-</w:t>
            </w:r>
            <w:r>
              <w:rPr>
                <w:rFonts w:hint="eastAsia" w:ascii="Times New Roman" w:hAnsi="Times New Roman" w:cs="Times New Roman"/>
                <w:b/>
                <w:bCs/>
                <w:sz w:val="21"/>
                <w:szCs w:val="21"/>
                <w:lang w:val="en-US" w:eastAsia="zh-CN"/>
              </w:rPr>
              <w:t>13</w:t>
            </w:r>
            <w:r>
              <w:rPr>
                <w:rFonts w:hint="default" w:ascii="Times New Roman" w:hAnsi="Times New Roman" w:cs="Times New Roman"/>
                <w:b/>
                <w:bCs/>
                <w:sz w:val="21"/>
                <w:szCs w:val="21"/>
              </w:rPr>
              <w:t>项目排放口基本情况及排放标准情况一览表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28"/>
              <w:gridCol w:w="1057"/>
              <w:gridCol w:w="1535"/>
              <w:gridCol w:w="1333"/>
              <w:gridCol w:w="467"/>
              <w:gridCol w:w="547"/>
              <w:gridCol w:w="489"/>
              <w:gridCol w:w="425"/>
              <w:gridCol w:w="1839"/>
            </w:tblGrid>
            <w:tr w14:paraId="77039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40" w:type="pct"/>
                  <w:vMerge w:val="restart"/>
                  <w:noWrap w:val="0"/>
                  <w:vAlign w:val="center"/>
                </w:tcPr>
                <w:p w14:paraId="20875190">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序号</w:t>
                  </w:r>
                </w:p>
              </w:tc>
              <w:tc>
                <w:tcPr>
                  <w:tcW w:w="411" w:type="pct"/>
                  <w:vMerge w:val="restart"/>
                  <w:noWrap w:val="0"/>
                  <w:vAlign w:val="center"/>
                </w:tcPr>
                <w:p w14:paraId="43D190FD">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名称及编号</w:t>
                  </w:r>
                </w:p>
              </w:tc>
              <w:tc>
                <w:tcPr>
                  <w:tcW w:w="597" w:type="pct"/>
                  <w:vMerge w:val="restart"/>
                  <w:noWrap w:val="0"/>
                  <w:vAlign w:val="center"/>
                </w:tcPr>
                <w:p w14:paraId="0C2A1A33">
                  <w:pPr>
                    <w:autoSpaceDE w:val="0"/>
                    <w:autoSpaceDN w:val="0"/>
                    <w:adjustRightInd w:val="0"/>
                    <w:jc w:val="center"/>
                    <w:textAlignment w:val="baseline"/>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污染物种类</w:t>
                  </w:r>
                </w:p>
              </w:tc>
              <w:tc>
                <w:tcPr>
                  <w:tcW w:w="1620" w:type="pct"/>
                  <w:gridSpan w:val="2"/>
                  <w:noWrap w:val="0"/>
                  <w:vAlign w:val="center"/>
                </w:tcPr>
                <w:p w14:paraId="7969622C">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地理坐标</w:t>
                  </w:r>
                </w:p>
              </w:tc>
              <w:tc>
                <w:tcPr>
                  <w:tcW w:w="264" w:type="pct"/>
                  <w:vMerge w:val="restart"/>
                  <w:noWrap w:val="0"/>
                  <w:vAlign w:val="center"/>
                </w:tcPr>
                <w:p w14:paraId="69E57911">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高度/m</w:t>
                  </w:r>
                </w:p>
              </w:tc>
              <w:tc>
                <w:tcPr>
                  <w:tcW w:w="309" w:type="pct"/>
                  <w:vMerge w:val="restart"/>
                  <w:noWrap w:val="0"/>
                  <w:vAlign w:val="center"/>
                </w:tcPr>
                <w:p w14:paraId="1E0D53BC">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内径/m</w:t>
                  </w:r>
                </w:p>
              </w:tc>
              <w:tc>
                <w:tcPr>
                  <w:tcW w:w="276" w:type="pct"/>
                  <w:vMerge w:val="restart"/>
                  <w:noWrap w:val="0"/>
                  <w:vAlign w:val="center"/>
                </w:tcPr>
                <w:p w14:paraId="321D8A6A">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温度/℃</w:t>
                  </w:r>
                </w:p>
              </w:tc>
              <w:tc>
                <w:tcPr>
                  <w:tcW w:w="240" w:type="pct"/>
                  <w:vMerge w:val="restart"/>
                  <w:noWrap w:val="0"/>
                  <w:vAlign w:val="center"/>
                </w:tcPr>
                <w:p w14:paraId="4D06C4D5">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类型</w:t>
                  </w:r>
                </w:p>
              </w:tc>
              <w:tc>
                <w:tcPr>
                  <w:tcW w:w="1039" w:type="pct"/>
                  <w:vMerge w:val="restart"/>
                  <w:noWrap w:val="0"/>
                  <w:vAlign w:val="center"/>
                </w:tcPr>
                <w:p w14:paraId="108E5CB0">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执行标准</w:t>
                  </w:r>
                </w:p>
              </w:tc>
            </w:tr>
            <w:tr w14:paraId="50CCB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40" w:type="pct"/>
                  <w:vMerge w:val="continue"/>
                  <w:noWrap w:val="0"/>
                  <w:vAlign w:val="center"/>
                </w:tcPr>
                <w:p w14:paraId="160A95A8">
                  <w:pPr>
                    <w:autoSpaceDE w:val="0"/>
                    <w:autoSpaceDN w:val="0"/>
                    <w:adjustRightInd w:val="0"/>
                    <w:jc w:val="center"/>
                    <w:textAlignment w:val="baseline"/>
                    <w:rPr>
                      <w:rFonts w:hint="default" w:ascii="Times New Roman" w:hAnsi="Times New Roman" w:cs="Times New Roman"/>
                      <w:szCs w:val="21"/>
                    </w:rPr>
                  </w:pPr>
                </w:p>
              </w:tc>
              <w:tc>
                <w:tcPr>
                  <w:tcW w:w="411" w:type="pct"/>
                  <w:vMerge w:val="continue"/>
                  <w:noWrap w:val="0"/>
                  <w:vAlign w:val="center"/>
                </w:tcPr>
                <w:p w14:paraId="2BC4B406">
                  <w:pPr>
                    <w:autoSpaceDE w:val="0"/>
                    <w:autoSpaceDN w:val="0"/>
                    <w:adjustRightInd w:val="0"/>
                    <w:jc w:val="center"/>
                    <w:textAlignment w:val="baseline"/>
                    <w:rPr>
                      <w:rFonts w:hint="default" w:ascii="Times New Roman" w:hAnsi="Times New Roman" w:cs="Times New Roman"/>
                      <w:szCs w:val="21"/>
                    </w:rPr>
                  </w:pPr>
                </w:p>
              </w:tc>
              <w:tc>
                <w:tcPr>
                  <w:tcW w:w="597" w:type="pct"/>
                  <w:vMerge w:val="continue"/>
                  <w:noWrap w:val="0"/>
                  <w:vAlign w:val="center"/>
                </w:tcPr>
                <w:p w14:paraId="6447D699">
                  <w:pPr>
                    <w:autoSpaceDE w:val="0"/>
                    <w:autoSpaceDN w:val="0"/>
                    <w:adjustRightInd w:val="0"/>
                    <w:jc w:val="center"/>
                    <w:textAlignment w:val="baseline"/>
                    <w:rPr>
                      <w:rFonts w:hint="default" w:ascii="Times New Roman" w:hAnsi="Times New Roman" w:cs="Times New Roman"/>
                      <w:szCs w:val="21"/>
                    </w:rPr>
                  </w:pPr>
                </w:p>
              </w:tc>
              <w:tc>
                <w:tcPr>
                  <w:tcW w:w="867" w:type="pct"/>
                  <w:noWrap w:val="0"/>
                  <w:vAlign w:val="center"/>
                </w:tcPr>
                <w:p w14:paraId="26F2F303">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经度</w:t>
                  </w:r>
                </w:p>
              </w:tc>
              <w:tc>
                <w:tcPr>
                  <w:tcW w:w="752" w:type="pct"/>
                  <w:noWrap w:val="0"/>
                  <w:vAlign w:val="center"/>
                </w:tcPr>
                <w:p w14:paraId="429E24CD">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纬度</w:t>
                  </w:r>
                </w:p>
              </w:tc>
              <w:tc>
                <w:tcPr>
                  <w:tcW w:w="264" w:type="pct"/>
                  <w:vMerge w:val="continue"/>
                  <w:noWrap w:val="0"/>
                  <w:vAlign w:val="center"/>
                </w:tcPr>
                <w:p w14:paraId="36D25714">
                  <w:pPr>
                    <w:autoSpaceDE w:val="0"/>
                    <w:autoSpaceDN w:val="0"/>
                    <w:adjustRightInd w:val="0"/>
                    <w:jc w:val="center"/>
                    <w:textAlignment w:val="baseline"/>
                    <w:rPr>
                      <w:rFonts w:hint="default" w:ascii="Times New Roman" w:hAnsi="Times New Roman" w:cs="Times New Roman"/>
                      <w:szCs w:val="21"/>
                    </w:rPr>
                  </w:pPr>
                </w:p>
              </w:tc>
              <w:tc>
                <w:tcPr>
                  <w:tcW w:w="309" w:type="pct"/>
                  <w:vMerge w:val="continue"/>
                  <w:noWrap w:val="0"/>
                  <w:vAlign w:val="center"/>
                </w:tcPr>
                <w:p w14:paraId="4B126651">
                  <w:pPr>
                    <w:autoSpaceDE w:val="0"/>
                    <w:autoSpaceDN w:val="0"/>
                    <w:adjustRightInd w:val="0"/>
                    <w:jc w:val="center"/>
                    <w:textAlignment w:val="baseline"/>
                    <w:rPr>
                      <w:rFonts w:hint="default" w:ascii="Times New Roman" w:hAnsi="Times New Roman" w:cs="Times New Roman"/>
                      <w:szCs w:val="21"/>
                    </w:rPr>
                  </w:pPr>
                </w:p>
              </w:tc>
              <w:tc>
                <w:tcPr>
                  <w:tcW w:w="276" w:type="pct"/>
                  <w:vMerge w:val="continue"/>
                  <w:noWrap w:val="0"/>
                  <w:vAlign w:val="center"/>
                </w:tcPr>
                <w:p w14:paraId="3B9D5D07">
                  <w:pPr>
                    <w:autoSpaceDE w:val="0"/>
                    <w:autoSpaceDN w:val="0"/>
                    <w:adjustRightInd w:val="0"/>
                    <w:jc w:val="center"/>
                    <w:textAlignment w:val="baseline"/>
                    <w:rPr>
                      <w:rFonts w:hint="default" w:ascii="Times New Roman" w:hAnsi="Times New Roman" w:cs="Times New Roman"/>
                      <w:szCs w:val="21"/>
                    </w:rPr>
                  </w:pPr>
                </w:p>
              </w:tc>
              <w:tc>
                <w:tcPr>
                  <w:tcW w:w="240" w:type="pct"/>
                  <w:vMerge w:val="continue"/>
                  <w:noWrap w:val="0"/>
                  <w:vAlign w:val="center"/>
                </w:tcPr>
                <w:p w14:paraId="639924CF">
                  <w:pPr>
                    <w:autoSpaceDE w:val="0"/>
                    <w:autoSpaceDN w:val="0"/>
                    <w:adjustRightInd w:val="0"/>
                    <w:jc w:val="center"/>
                    <w:textAlignment w:val="baseline"/>
                    <w:rPr>
                      <w:rFonts w:hint="default" w:ascii="Times New Roman" w:hAnsi="Times New Roman" w:cs="Times New Roman"/>
                      <w:szCs w:val="21"/>
                    </w:rPr>
                  </w:pPr>
                </w:p>
              </w:tc>
              <w:tc>
                <w:tcPr>
                  <w:tcW w:w="1039" w:type="pct"/>
                  <w:vMerge w:val="continue"/>
                  <w:noWrap w:val="0"/>
                  <w:vAlign w:val="center"/>
                </w:tcPr>
                <w:p w14:paraId="55C9F787">
                  <w:pPr>
                    <w:autoSpaceDE w:val="0"/>
                    <w:autoSpaceDN w:val="0"/>
                    <w:adjustRightInd w:val="0"/>
                    <w:jc w:val="center"/>
                    <w:textAlignment w:val="baseline"/>
                    <w:rPr>
                      <w:rFonts w:hint="default" w:ascii="Times New Roman" w:hAnsi="Times New Roman" w:cs="Times New Roman"/>
                      <w:szCs w:val="21"/>
                    </w:rPr>
                  </w:pPr>
                </w:p>
              </w:tc>
            </w:tr>
            <w:tr w14:paraId="7C249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4" w:hRule="atLeast"/>
                <w:jc w:val="center"/>
              </w:trPr>
              <w:tc>
                <w:tcPr>
                  <w:tcW w:w="240" w:type="pct"/>
                  <w:noWrap w:val="0"/>
                  <w:vAlign w:val="center"/>
                </w:tcPr>
                <w:p w14:paraId="213DF10C">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1</w:t>
                  </w:r>
                </w:p>
              </w:tc>
              <w:tc>
                <w:tcPr>
                  <w:tcW w:w="411" w:type="pct"/>
                  <w:noWrap w:val="0"/>
                  <w:vAlign w:val="center"/>
                </w:tcPr>
                <w:p w14:paraId="3ED4405A">
                  <w:pPr>
                    <w:autoSpaceDE w:val="0"/>
                    <w:autoSpaceDN w:val="0"/>
                    <w:adjustRightInd w:val="0"/>
                    <w:jc w:val="center"/>
                    <w:textAlignment w:val="baseline"/>
                    <w:rPr>
                      <w:rFonts w:hint="default" w:ascii="Times New Roman" w:hAnsi="Times New Roman" w:eastAsia="宋体" w:cs="Times New Roman"/>
                      <w:szCs w:val="21"/>
                      <w:lang w:val="en-US" w:eastAsia="zh-CN"/>
                    </w:rPr>
                  </w:pPr>
                  <w:r>
                    <w:rPr>
                      <w:rFonts w:hint="default" w:ascii="Times New Roman" w:hAnsi="Times New Roman" w:cs="Times New Roman"/>
                      <w:szCs w:val="21"/>
                      <w:lang w:eastAsia="zh-CN"/>
                    </w:rPr>
                    <w:t>DA00</w:t>
                  </w:r>
                  <w:r>
                    <w:rPr>
                      <w:rFonts w:hint="eastAsia" w:ascii="Times New Roman" w:hAnsi="Times New Roman" w:cs="Times New Roman"/>
                      <w:szCs w:val="21"/>
                      <w:lang w:val="en-US" w:eastAsia="zh-CN"/>
                    </w:rPr>
                    <w:t>1</w:t>
                  </w:r>
                </w:p>
              </w:tc>
              <w:tc>
                <w:tcPr>
                  <w:tcW w:w="597" w:type="pct"/>
                  <w:noWrap w:val="0"/>
                  <w:vAlign w:val="center"/>
                </w:tcPr>
                <w:p w14:paraId="2BAE58DB">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VOCs、苯乙烯、</w:t>
                  </w:r>
                  <w:r>
                    <w:rPr>
                      <w:rFonts w:hint="eastAsia" w:ascii="宋体" w:hAnsi="宋体" w:eastAsia="宋体" w:cs="宋体"/>
                      <w:color w:val="000000"/>
                      <w:kern w:val="0"/>
                      <w:sz w:val="21"/>
                      <w:szCs w:val="21"/>
                      <w:lang w:val="en-US" w:eastAsia="zh-CN" w:bidi="ar"/>
                    </w:rPr>
                    <w:t>丙烯腈</w:t>
                  </w:r>
                  <w:r>
                    <w:rPr>
                      <w:rFonts w:hint="eastAsia" w:ascii="宋体" w:hAnsi="宋体" w:cs="宋体"/>
                      <w:color w:val="000000"/>
                      <w:kern w:val="0"/>
                      <w:sz w:val="21"/>
                      <w:szCs w:val="21"/>
                      <w:lang w:val="en-US" w:eastAsia="zh-CN" w:bidi="ar"/>
                    </w:rPr>
                    <w:t>、</w:t>
                  </w:r>
                  <w:r>
                    <w:rPr>
                      <w:rFonts w:hint="eastAsia" w:ascii="Times New Roman" w:hAnsi="Times New Roman" w:cs="Times New Roman"/>
                      <w:szCs w:val="21"/>
                      <w:lang w:val="en-US" w:eastAsia="zh-CN"/>
                    </w:rPr>
                    <w:t>颗粒物</w:t>
                  </w:r>
                </w:p>
              </w:tc>
              <w:tc>
                <w:tcPr>
                  <w:tcW w:w="867" w:type="pct"/>
                  <w:noWrap w:val="0"/>
                  <w:vAlign w:val="center"/>
                </w:tcPr>
                <w:p w14:paraId="2AD20F43">
                  <w:pPr>
                    <w:autoSpaceDE w:val="0"/>
                    <w:autoSpaceDN w:val="0"/>
                    <w:adjustRightInd w:val="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东经</w:t>
                  </w:r>
                  <w:r>
                    <w:rPr>
                      <w:rFonts w:hint="default" w:ascii="Times New Roman" w:hAnsi="Times New Roman" w:eastAsia="宋体" w:cs="Times New Roman"/>
                      <w:color w:val="auto"/>
                      <w:szCs w:val="21"/>
                      <w:highlight w:val="none"/>
                      <w:lang w:val="en-US" w:eastAsia="zh-CN"/>
                    </w:rPr>
                    <w:t>105°40′</w:t>
                  </w:r>
                  <w:r>
                    <w:rPr>
                      <w:rFonts w:hint="eastAsia" w:ascii="Times New Roman" w:hAnsi="Times New Roman" w:eastAsia="宋体" w:cs="Times New Roman"/>
                      <w:color w:val="auto"/>
                      <w:szCs w:val="21"/>
                      <w:highlight w:val="none"/>
                      <w:lang w:val="en-US" w:eastAsia="zh-CN"/>
                    </w:rPr>
                    <w:t>43.374</w:t>
                  </w:r>
                  <w:r>
                    <w:rPr>
                      <w:rFonts w:hint="default" w:ascii="Times New Roman" w:hAnsi="Times New Roman" w:eastAsia="宋体" w:cs="Times New Roman"/>
                      <w:color w:val="auto"/>
                      <w:szCs w:val="21"/>
                      <w:highlight w:val="none"/>
                      <w:lang w:val="en-US" w:eastAsia="zh-CN"/>
                    </w:rPr>
                    <w:t>″</w:t>
                  </w:r>
                </w:p>
              </w:tc>
              <w:tc>
                <w:tcPr>
                  <w:tcW w:w="752" w:type="pct"/>
                  <w:noWrap w:val="0"/>
                  <w:vAlign w:val="center"/>
                </w:tcPr>
                <w:p w14:paraId="47CFF62B">
                  <w:pPr>
                    <w:autoSpaceDE w:val="0"/>
                    <w:autoSpaceDN w:val="0"/>
                    <w:adjustRightInd w:val="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北纬</w:t>
                  </w:r>
                  <w:r>
                    <w:rPr>
                      <w:rFonts w:hint="default" w:ascii="Times New Roman" w:hAnsi="Times New Roman" w:eastAsia="宋体" w:cs="Times New Roman"/>
                      <w:color w:val="auto"/>
                      <w:szCs w:val="21"/>
                      <w:highlight w:val="none"/>
                      <w:lang w:val="en-US" w:eastAsia="zh-CN"/>
                    </w:rPr>
                    <w:t>30°44′</w:t>
                  </w:r>
                  <w:r>
                    <w:rPr>
                      <w:rFonts w:hint="eastAsia" w:ascii="Times New Roman" w:hAnsi="Times New Roman" w:eastAsia="宋体" w:cs="Times New Roman"/>
                      <w:color w:val="auto"/>
                      <w:szCs w:val="21"/>
                      <w:highlight w:val="none"/>
                      <w:lang w:val="en-US" w:eastAsia="zh-CN"/>
                    </w:rPr>
                    <w:t>33.054</w:t>
                  </w:r>
                  <w:r>
                    <w:rPr>
                      <w:rFonts w:hint="default" w:ascii="Times New Roman" w:hAnsi="Times New Roman" w:eastAsia="宋体" w:cs="Times New Roman"/>
                      <w:color w:val="auto"/>
                      <w:szCs w:val="21"/>
                      <w:highlight w:val="none"/>
                      <w:lang w:val="en-US" w:eastAsia="zh-CN"/>
                    </w:rPr>
                    <w:t>″</w:t>
                  </w:r>
                </w:p>
              </w:tc>
              <w:tc>
                <w:tcPr>
                  <w:tcW w:w="264" w:type="pct"/>
                  <w:noWrap w:val="0"/>
                  <w:vAlign w:val="center"/>
                </w:tcPr>
                <w:p w14:paraId="0FC5FE34">
                  <w:pPr>
                    <w:autoSpaceDE w:val="0"/>
                    <w:autoSpaceDN w:val="0"/>
                    <w:adjustRightInd w:val="0"/>
                    <w:jc w:val="center"/>
                    <w:textAlignment w:val="baseline"/>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15</w:t>
                  </w:r>
                </w:p>
              </w:tc>
              <w:tc>
                <w:tcPr>
                  <w:tcW w:w="309" w:type="pct"/>
                  <w:noWrap w:val="0"/>
                  <w:vAlign w:val="center"/>
                </w:tcPr>
                <w:p w14:paraId="576F4820">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0.5</w:t>
                  </w:r>
                </w:p>
              </w:tc>
              <w:tc>
                <w:tcPr>
                  <w:tcW w:w="276" w:type="pct"/>
                  <w:noWrap w:val="0"/>
                  <w:vAlign w:val="center"/>
                </w:tcPr>
                <w:p w14:paraId="68C1D6D4">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25</w:t>
                  </w:r>
                </w:p>
              </w:tc>
              <w:tc>
                <w:tcPr>
                  <w:tcW w:w="240" w:type="pct"/>
                  <w:vMerge w:val="restart"/>
                  <w:noWrap w:val="0"/>
                  <w:vAlign w:val="center"/>
                </w:tcPr>
                <w:p w14:paraId="2FF7AB31">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一般排放口</w:t>
                  </w:r>
                </w:p>
              </w:tc>
              <w:tc>
                <w:tcPr>
                  <w:tcW w:w="1039" w:type="pct"/>
                  <w:vMerge w:val="restart"/>
                  <w:noWrap w:val="0"/>
                  <w:vAlign w:val="center"/>
                </w:tcPr>
                <w:p w14:paraId="243C8007">
                  <w:pPr>
                    <w:autoSpaceDE w:val="0"/>
                    <w:autoSpaceDN w:val="0"/>
                    <w:adjustRightInd w:val="0"/>
                    <w:jc w:val="center"/>
                    <w:textAlignment w:val="baseline"/>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二甲苯、乙苯、苯乙烯、</w:t>
                  </w:r>
                  <w:r>
                    <w:rPr>
                      <w:rFonts w:hint="default" w:ascii="Times New Roman" w:hAnsi="Times New Roman" w:cs="Times New Roman"/>
                      <w:szCs w:val="21"/>
                    </w:rPr>
                    <w:t>VOCs执行《四川省固定污染源大气挥发性有机污染物排放标准》（DB51/2377 —2017）中相应浓度限值</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颗粒物</w:t>
                  </w:r>
                  <w:r>
                    <w:rPr>
                      <w:rFonts w:hint="default" w:ascii="Times New Roman" w:hAnsi="Times New Roman" w:cs="Times New Roman"/>
                      <w:szCs w:val="21"/>
                    </w:rPr>
                    <w:t>执行《大气污染物综合排放标准》（GB1297-1996）中二级标准排放限值要求</w:t>
                  </w:r>
                </w:p>
              </w:tc>
            </w:tr>
            <w:tr w14:paraId="03DE7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240" w:type="pct"/>
                  <w:noWrap w:val="0"/>
                  <w:vAlign w:val="center"/>
                </w:tcPr>
                <w:p w14:paraId="5ABF65E7">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2</w:t>
                  </w:r>
                </w:p>
              </w:tc>
              <w:tc>
                <w:tcPr>
                  <w:tcW w:w="411" w:type="pct"/>
                  <w:noWrap w:val="0"/>
                  <w:vAlign w:val="center"/>
                </w:tcPr>
                <w:p w14:paraId="144F4754">
                  <w:pPr>
                    <w:autoSpaceDE w:val="0"/>
                    <w:autoSpaceDN w:val="0"/>
                    <w:adjustRightInd w:val="0"/>
                    <w:jc w:val="center"/>
                    <w:textAlignment w:val="baseline"/>
                    <w:rPr>
                      <w:rFonts w:hint="default" w:ascii="Times New Roman" w:hAnsi="Times New Roman" w:cs="Times New Roman"/>
                      <w:kern w:val="2"/>
                      <w:sz w:val="21"/>
                      <w:szCs w:val="21"/>
                      <w:lang w:val="en-US" w:eastAsia="zh-CN" w:bidi="ar-SA"/>
                    </w:rPr>
                  </w:pPr>
                  <w:r>
                    <w:rPr>
                      <w:rFonts w:hint="default" w:ascii="Times New Roman" w:hAnsi="Times New Roman" w:cs="Times New Roman"/>
                      <w:szCs w:val="21"/>
                      <w:lang w:eastAsia="zh-CN"/>
                    </w:rPr>
                    <w:t>DA00</w:t>
                  </w:r>
                  <w:r>
                    <w:rPr>
                      <w:rFonts w:hint="eastAsia" w:ascii="Times New Roman" w:hAnsi="Times New Roman" w:cs="Times New Roman"/>
                      <w:szCs w:val="21"/>
                      <w:lang w:val="en-US" w:eastAsia="zh-CN"/>
                    </w:rPr>
                    <w:t>2</w:t>
                  </w:r>
                </w:p>
              </w:tc>
              <w:tc>
                <w:tcPr>
                  <w:tcW w:w="597" w:type="pct"/>
                  <w:noWrap w:val="0"/>
                  <w:vAlign w:val="center"/>
                </w:tcPr>
                <w:p w14:paraId="6DA23902">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VOCs、二甲苯、乙苯、颗粒</w:t>
                  </w:r>
                </w:p>
              </w:tc>
              <w:tc>
                <w:tcPr>
                  <w:tcW w:w="1535" w:type="dxa"/>
                  <w:noWrap w:val="0"/>
                  <w:vAlign w:val="center"/>
                </w:tcPr>
                <w:p w14:paraId="03138D92">
                  <w:pPr>
                    <w:autoSpaceDE w:val="0"/>
                    <w:autoSpaceDN w:val="0"/>
                    <w:adjustRightInd w:val="0"/>
                    <w:jc w:val="center"/>
                    <w:textAlignment w:val="baseline"/>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东经</w:t>
                  </w:r>
                  <w:r>
                    <w:rPr>
                      <w:rFonts w:hint="default" w:ascii="Times New Roman" w:hAnsi="Times New Roman" w:eastAsia="宋体" w:cs="Times New Roman"/>
                      <w:color w:val="auto"/>
                      <w:szCs w:val="21"/>
                      <w:highlight w:val="none"/>
                      <w:lang w:val="en-US" w:eastAsia="zh-CN"/>
                    </w:rPr>
                    <w:t>105°40′</w:t>
                  </w:r>
                  <w:r>
                    <w:rPr>
                      <w:rFonts w:hint="eastAsia" w:ascii="Times New Roman" w:hAnsi="Times New Roman" w:eastAsia="宋体" w:cs="Times New Roman"/>
                      <w:color w:val="auto"/>
                      <w:szCs w:val="21"/>
                      <w:highlight w:val="none"/>
                      <w:lang w:val="en-US" w:eastAsia="zh-CN"/>
                    </w:rPr>
                    <w:t>40.902</w:t>
                  </w:r>
                  <w:r>
                    <w:rPr>
                      <w:rFonts w:hint="default" w:ascii="Times New Roman" w:hAnsi="Times New Roman" w:eastAsia="宋体" w:cs="Times New Roman"/>
                      <w:color w:val="auto"/>
                      <w:szCs w:val="21"/>
                      <w:highlight w:val="none"/>
                      <w:lang w:val="en-US" w:eastAsia="zh-CN"/>
                    </w:rPr>
                    <w:t>″</w:t>
                  </w:r>
                </w:p>
              </w:tc>
              <w:tc>
                <w:tcPr>
                  <w:tcW w:w="1332" w:type="dxa"/>
                  <w:noWrap w:val="0"/>
                  <w:vAlign w:val="center"/>
                </w:tcPr>
                <w:p w14:paraId="1D7AD0FF">
                  <w:pPr>
                    <w:autoSpaceDE w:val="0"/>
                    <w:autoSpaceDN w:val="0"/>
                    <w:adjustRightInd w:val="0"/>
                    <w:jc w:val="center"/>
                    <w:textAlignment w:val="baseline"/>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北纬</w:t>
                  </w:r>
                  <w:r>
                    <w:rPr>
                      <w:rFonts w:hint="default" w:ascii="Times New Roman" w:hAnsi="Times New Roman" w:eastAsia="宋体" w:cs="Times New Roman"/>
                      <w:color w:val="auto"/>
                      <w:szCs w:val="21"/>
                      <w:highlight w:val="none"/>
                      <w:lang w:val="en-US" w:eastAsia="zh-CN"/>
                    </w:rPr>
                    <w:t>30°44′</w:t>
                  </w:r>
                  <w:r>
                    <w:rPr>
                      <w:rFonts w:hint="eastAsia" w:ascii="Times New Roman" w:hAnsi="Times New Roman" w:eastAsia="宋体" w:cs="Times New Roman"/>
                      <w:color w:val="auto"/>
                      <w:szCs w:val="21"/>
                      <w:highlight w:val="none"/>
                      <w:lang w:val="en-US" w:eastAsia="zh-CN"/>
                    </w:rPr>
                    <w:t>40.586</w:t>
                  </w:r>
                  <w:r>
                    <w:rPr>
                      <w:rFonts w:hint="default" w:ascii="Times New Roman" w:hAnsi="Times New Roman" w:eastAsia="宋体" w:cs="Times New Roman"/>
                      <w:color w:val="auto"/>
                      <w:szCs w:val="21"/>
                      <w:highlight w:val="none"/>
                      <w:lang w:val="en-US" w:eastAsia="zh-CN"/>
                    </w:rPr>
                    <w:t>″</w:t>
                  </w:r>
                </w:p>
              </w:tc>
              <w:tc>
                <w:tcPr>
                  <w:tcW w:w="264" w:type="pct"/>
                  <w:noWrap w:val="0"/>
                  <w:vAlign w:val="center"/>
                </w:tcPr>
                <w:p w14:paraId="17213DA1">
                  <w:pPr>
                    <w:autoSpaceDE w:val="0"/>
                    <w:autoSpaceDN w:val="0"/>
                    <w:adjustRightInd w:val="0"/>
                    <w:jc w:val="center"/>
                    <w:textAlignment w:val="baseline"/>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15</w:t>
                  </w:r>
                </w:p>
              </w:tc>
              <w:tc>
                <w:tcPr>
                  <w:tcW w:w="309" w:type="pct"/>
                  <w:noWrap w:val="0"/>
                  <w:vAlign w:val="center"/>
                </w:tcPr>
                <w:p w14:paraId="741B1111">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0.5</w:t>
                  </w:r>
                </w:p>
              </w:tc>
              <w:tc>
                <w:tcPr>
                  <w:tcW w:w="276" w:type="pct"/>
                  <w:noWrap w:val="0"/>
                  <w:vAlign w:val="center"/>
                </w:tcPr>
                <w:p w14:paraId="69420EE2">
                  <w:pPr>
                    <w:autoSpaceDE w:val="0"/>
                    <w:autoSpaceDN w:val="0"/>
                    <w:adjustRightInd w:val="0"/>
                    <w:jc w:val="center"/>
                    <w:textAlignment w:val="baseline"/>
                    <w:rPr>
                      <w:rFonts w:hint="default" w:ascii="Times New Roman" w:hAnsi="Times New Roman" w:cs="Times New Roman"/>
                      <w:lang w:val="en-US" w:eastAsia="zh-CN"/>
                    </w:rPr>
                  </w:pPr>
                  <w:r>
                    <w:rPr>
                      <w:rFonts w:hint="default" w:ascii="Times New Roman" w:hAnsi="Times New Roman" w:cs="Times New Roman"/>
                      <w:szCs w:val="21"/>
                    </w:rPr>
                    <w:t>25</w:t>
                  </w:r>
                </w:p>
              </w:tc>
              <w:tc>
                <w:tcPr>
                  <w:tcW w:w="240" w:type="pct"/>
                  <w:vMerge w:val="continue"/>
                  <w:noWrap w:val="0"/>
                  <w:vAlign w:val="center"/>
                </w:tcPr>
                <w:p w14:paraId="317A2D72">
                  <w:pPr>
                    <w:autoSpaceDE w:val="0"/>
                    <w:autoSpaceDN w:val="0"/>
                    <w:adjustRightInd w:val="0"/>
                    <w:jc w:val="center"/>
                    <w:textAlignment w:val="baseline"/>
                    <w:rPr>
                      <w:rFonts w:hint="default" w:ascii="Times New Roman" w:hAnsi="Times New Roman" w:cs="Times New Roman"/>
                      <w:szCs w:val="21"/>
                    </w:rPr>
                  </w:pPr>
                </w:p>
              </w:tc>
              <w:tc>
                <w:tcPr>
                  <w:tcW w:w="1039" w:type="pct"/>
                  <w:vMerge w:val="continue"/>
                  <w:noWrap w:val="0"/>
                  <w:vAlign w:val="center"/>
                </w:tcPr>
                <w:p w14:paraId="602DF1F9">
                  <w:pPr>
                    <w:autoSpaceDE w:val="0"/>
                    <w:autoSpaceDN w:val="0"/>
                    <w:adjustRightInd w:val="0"/>
                    <w:jc w:val="center"/>
                    <w:textAlignment w:val="baseline"/>
                    <w:rPr>
                      <w:rFonts w:hint="eastAsia" w:ascii="Times New Roman" w:hAnsi="Times New Roman" w:cs="Times New Roman"/>
                      <w:szCs w:val="21"/>
                      <w:lang w:val="en-US" w:eastAsia="zh-CN"/>
                    </w:rPr>
                  </w:pPr>
                </w:p>
              </w:tc>
            </w:tr>
            <w:tr w14:paraId="3EB8E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40" w:type="pct"/>
                  <w:noWrap w:val="0"/>
                  <w:vAlign w:val="center"/>
                </w:tcPr>
                <w:p w14:paraId="20BC2854">
                  <w:pPr>
                    <w:autoSpaceDE w:val="0"/>
                    <w:autoSpaceDN w:val="0"/>
                    <w:adjustRightInd w:val="0"/>
                    <w:jc w:val="center"/>
                    <w:textAlignment w:val="baseline"/>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3</w:t>
                  </w:r>
                </w:p>
              </w:tc>
              <w:tc>
                <w:tcPr>
                  <w:tcW w:w="411" w:type="pct"/>
                  <w:noWrap w:val="0"/>
                  <w:vAlign w:val="center"/>
                </w:tcPr>
                <w:p w14:paraId="6B20FD2D">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DA003</w:t>
                  </w:r>
                </w:p>
              </w:tc>
              <w:tc>
                <w:tcPr>
                  <w:tcW w:w="597" w:type="pct"/>
                  <w:noWrap w:val="0"/>
                  <w:vAlign w:val="center"/>
                </w:tcPr>
                <w:p w14:paraId="0BBAA4E5">
                  <w:pPr>
                    <w:autoSpaceDE w:val="0"/>
                    <w:autoSpaceDN w:val="0"/>
                    <w:adjustRightInd w:val="0"/>
                    <w:jc w:val="center"/>
                    <w:textAlignment w:val="baseline"/>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VOCs、二甲苯、乙苯、颗粒</w:t>
                  </w:r>
                </w:p>
              </w:tc>
              <w:tc>
                <w:tcPr>
                  <w:tcW w:w="1535" w:type="dxa"/>
                  <w:noWrap w:val="0"/>
                  <w:vAlign w:val="center"/>
                </w:tcPr>
                <w:p w14:paraId="03240F07">
                  <w:pPr>
                    <w:autoSpaceDE w:val="0"/>
                    <w:autoSpaceDN w:val="0"/>
                    <w:adjustRightInd w:val="0"/>
                    <w:jc w:val="center"/>
                    <w:textAlignment w:val="baseline"/>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东经</w:t>
                  </w:r>
                  <w:r>
                    <w:rPr>
                      <w:rFonts w:hint="default" w:ascii="Times New Roman" w:hAnsi="Times New Roman" w:cs="Times New Roman"/>
                      <w:color w:val="auto"/>
                      <w:szCs w:val="21"/>
                      <w:highlight w:val="none"/>
                      <w:lang w:val="en-US" w:eastAsia="zh-CN"/>
                    </w:rPr>
                    <w:t>105°40′</w:t>
                  </w:r>
                  <w:r>
                    <w:rPr>
                      <w:rFonts w:hint="eastAsia" w:ascii="Times New Roman" w:hAnsi="Times New Roman" w:cs="Times New Roman"/>
                      <w:color w:val="auto"/>
                      <w:szCs w:val="21"/>
                      <w:highlight w:val="none"/>
                      <w:lang w:val="en-US" w:eastAsia="zh-CN"/>
                    </w:rPr>
                    <w:t>40.439</w:t>
                  </w:r>
                  <w:r>
                    <w:rPr>
                      <w:rFonts w:hint="default" w:ascii="Times New Roman" w:hAnsi="Times New Roman" w:cs="Times New Roman"/>
                      <w:color w:val="auto"/>
                      <w:szCs w:val="21"/>
                      <w:highlight w:val="none"/>
                      <w:lang w:val="en-US" w:eastAsia="zh-CN"/>
                    </w:rPr>
                    <w:t>″</w:t>
                  </w:r>
                </w:p>
              </w:tc>
              <w:tc>
                <w:tcPr>
                  <w:tcW w:w="1332" w:type="dxa"/>
                  <w:noWrap w:val="0"/>
                  <w:vAlign w:val="center"/>
                </w:tcPr>
                <w:p w14:paraId="7657E956">
                  <w:pPr>
                    <w:autoSpaceDE w:val="0"/>
                    <w:autoSpaceDN w:val="0"/>
                    <w:adjustRightInd w:val="0"/>
                    <w:jc w:val="center"/>
                    <w:textAlignment w:val="baseline"/>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北纬</w:t>
                  </w:r>
                  <w:r>
                    <w:rPr>
                      <w:rFonts w:hint="default" w:ascii="Times New Roman" w:hAnsi="Times New Roman" w:cs="Times New Roman"/>
                      <w:color w:val="auto"/>
                      <w:szCs w:val="21"/>
                      <w:highlight w:val="none"/>
                      <w:lang w:val="en-US" w:eastAsia="zh-CN"/>
                    </w:rPr>
                    <w:t>30°44′</w:t>
                  </w:r>
                  <w:r>
                    <w:rPr>
                      <w:rFonts w:hint="eastAsia" w:ascii="Times New Roman" w:hAnsi="Times New Roman" w:cs="Times New Roman"/>
                      <w:color w:val="auto"/>
                      <w:szCs w:val="21"/>
                      <w:highlight w:val="none"/>
                      <w:lang w:val="en-US" w:eastAsia="zh-CN"/>
                    </w:rPr>
                    <w:t>41.976</w:t>
                  </w:r>
                  <w:r>
                    <w:rPr>
                      <w:rFonts w:hint="default" w:ascii="Times New Roman" w:hAnsi="Times New Roman" w:cs="Times New Roman"/>
                      <w:color w:val="auto"/>
                      <w:szCs w:val="21"/>
                      <w:highlight w:val="none"/>
                      <w:lang w:val="en-US" w:eastAsia="zh-CN"/>
                    </w:rPr>
                    <w:t>″</w:t>
                  </w:r>
                </w:p>
              </w:tc>
              <w:tc>
                <w:tcPr>
                  <w:tcW w:w="264" w:type="pct"/>
                  <w:noWrap w:val="0"/>
                  <w:vAlign w:val="center"/>
                </w:tcPr>
                <w:p w14:paraId="53561727">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15</w:t>
                  </w:r>
                </w:p>
              </w:tc>
              <w:tc>
                <w:tcPr>
                  <w:tcW w:w="309" w:type="pct"/>
                  <w:noWrap w:val="0"/>
                  <w:vAlign w:val="center"/>
                </w:tcPr>
                <w:p w14:paraId="23B58C9B">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0.5</w:t>
                  </w:r>
                </w:p>
              </w:tc>
              <w:tc>
                <w:tcPr>
                  <w:tcW w:w="276" w:type="pct"/>
                  <w:noWrap w:val="0"/>
                  <w:vAlign w:val="center"/>
                </w:tcPr>
                <w:p w14:paraId="7CE689CB">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25</w:t>
                  </w:r>
                </w:p>
              </w:tc>
              <w:tc>
                <w:tcPr>
                  <w:tcW w:w="240" w:type="pct"/>
                  <w:vMerge w:val="continue"/>
                  <w:noWrap w:val="0"/>
                  <w:vAlign w:val="center"/>
                </w:tcPr>
                <w:p w14:paraId="710E5369">
                  <w:pPr>
                    <w:autoSpaceDE w:val="0"/>
                    <w:autoSpaceDN w:val="0"/>
                    <w:adjustRightInd w:val="0"/>
                    <w:jc w:val="center"/>
                    <w:textAlignment w:val="baseline"/>
                    <w:rPr>
                      <w:rFonts w:hint="default" w:ascii="Times New Roman" w:hAnsi="Times New Roman" w:cs="Times New Roman"/>
                      <w:szCs w:val="21"/>
                    </w:rPr>
                  </w:pPr>
                </w:p>
              </w:tc>
              <w:tc>
                <w:tcPr>
                  <w:tcW w:w="1039" w:type="pct"/>
                  <w:vMerge w:val="continue"/>
                  <w:noWrap w:val="0"/>
                  <w:vAlign w:val="center"/>
                </w:tcPr>
                <w:p w14:paraId="65EC4B8A">
                  <w:pPr>
                    <w:autoSpaceDE w:val="0"/>
                    <w:autoSpaceDN w:val="0"/>
                    <w:adjustRightInd w:val="0"/>
                    <w:jc w:val="center"/>
                    <w:textAlignment w:val="baseline"/>
                    <w:rPr>
                      <w:rFonts w:hint="eastAsia" w:ascii="Times New Roman" w:hAnsi="Times New Roman" w:cs="Times New Roman"/>
                      <w:szCs w:val="21"/>
                      <w:lang w:val="en-US" w:eastAsia="zh-CN"/>
                    </w:rPr>
                  </w:pPr>
                </w:p>
              </w:tc>
            </w:tr>
            <w:tr w14:paraId="372A1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240" w:type="pct"/>
                  <w:noWrap w:val="0"/>
                  <w:vAlign w:val="center"/>
                </w:tcPr>
                <w:p w14:paraId="0A814FCB">
                  <w:pPr>
                    <w:autoSpaceDE w:val="0"/>
                    <w:autoSpaceDN w:val="0"/>
                    <w:adjustRightInd w:val="0"/>
                    <w:jc w:val="center"/>
                    <w:textAlignment w:val="baseline"/>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4</w:t>
                  </w:r>
                </w:p>
              </w:tc>
              <w:tc>
                <w:tcPr>
                  <w:tcW w:w="411" w:type="pct"/>
                  <w:noWrap w:val="0"/>
                  <w:vAlign w:val="center"/>
                </w:tcPr>
                <w:p w14:paraId="2A0C6BF1">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DA004</w:t>
                  </w:r>
                </w:p>
              </w:tc>
              <w:tc>
                <w:tcPr>
                  <w:tcW w:w="597" w:type="pct"/>
                  <w:noWrap w:val="0"/>
                  <w:vAlign w:val="center"/>
                </w:tcPr>
                <w:p w14:paraId="149C9863">
                  <w:pPr>
                    <w:autoSpaceDE w:val="0"/>
                    <w:autoSpaceDN w:val="0"/>
                    <w:adjustRightInd w:val="0"/>
                    <w:jc w:val="center"/>
                    <w:textAlignment w:val="baseline"/>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VOCs、二甲苯、乙苯、颗粒</w:t>
                  </w:r>
                </w:p>
              </w:tc>
              <w:tc>
                <w:tcPr>
                  <w:tcW w:w="1535" w:type="dxa"/>
                  <w:noWrap w:val="0"/>
                  <w:vAlign w:val="center"/>
                </w:tcPr>
                <w:p w14:paraId="1EBDB758">
                  <w:pPr>
                    <w:autoSpaceDE w:val="0"/>
                    <w:autoSpaceDN w:val="0"/>
                    <w:adjustRightInd w:val="0"/>
                    <w:jc w:val="center"/>
                    <w:textAlignment w:val="baseline"/>
                    <w:rPr>
                      <w:rFonts w:hint="eastAsia" w:ascii="Times New Roman" w:hAnsi="Times New Roman"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东经</w:t>
                  </w:r>
                  <w:r>
                    <w:rPr>
                      <w:rFonts w:hint="default" w:ascii="Times New Roman" w:hAnsi="Times New Roman" w:eastAsia="宋体" w:cs="Times New Roman"/>
                      <w:color w:val="auto"/>
                      <w:szCs w:val="21"/>
                      <w:highlight w:val="none"/>
                      <w:lang w:val="en-US" w:eastAsia="zh-CN"/>
                    </w:rPr>
                    <w:t>105°40′</w:t>
                  </w:r>
                  <w:r>
                    <w:rPr>
                      <w:rFonts w:hint="eastAsia" w:ascii="Times New Roman" w:hAnsi="Times New Roman" w:eastAsia="宋体" w:cs="Times New Roman"/>
                      <w:color w:val="auto"/>
                      <w:szCs w:val="21"/>
                      <w:highlight w:val="none"/>
                      <w:lang w:val="en-US" w:eastAsia="zh-CN"/>
                    </w:rPr>
                    <w:t>40.091</w:t>
                  </w:r>
                  <w:r>
                    <w:rPr>
                      <w:rFonts w:hint="default" w:ascii="Times New Roman" w:hAnsi="Times New Roman" w:eastAsia="宋体" w:cs="Times New Roman"/>
                      <w:color w:val="auto"/>
                      <w:szCs w:val="21"/>
                      <w:highlight w:val="none"/>
                      <w:lang w:val="en-US" w:eastAsia="zh-CN"/>
                    </w:rPr>
                    <w:t>″</w:t>
                  </w:r>
                </w:p>
              </w:tc>
              <w:tc>
                <w:tcPr>
                  <w:tcW w:w="1332" w:type="dxa"/>
                  <w:noWrap w:val="0"/>
                  <w:vAlign w:val="center"/>
                </w:tcPr>
                <w:p w14:paraId="05EFF312">
                  <w:pPr>
                    <w:autoSpaceDE w:val="0"/>
                    <w:autoSpaceDN w:val="0"/>
                    <w:adjustRightInd w:val="0"/>
                    <w:jc w:val="center"/>
                    <w:textAlignment w:val="baseline"/>
                    <w:rPr>
                      <w:rFonts w:hint="eastAsia" w:ascii="Times New Roman" w:hAnsi="Times New Roman"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北纬</w:t>
                  </w:r>
                  <w:r>
                    <w:rPr>
                      <w:rFonts w:hint="default" w:ascii="Times New Roman" w:hAnsi="Times New Roman" w:eastAsia="宋体" w:cs="Times New Roman"/>
                      <w:color w:val="auto"/>
                      <w:szCs w:val="21"/>
                      <w:highlight w:val="none"/>
                      <w:lang w:val="en-US" w:eastAsia="zh-CN"/>
                    </w:rPr>
                    <w:t>30°44′</w:t>
                  </w:r>
                  <w:r>
                    <w:rPr>
                      <w:rFonts w:hint="eastAsia" w:ascii="Times New Roman" w:hAnsi="Times New Roman" w:eastAsia="宋体" w:cs="Times New Roman"/>
                      <w:color w:val="auto"/>
                      <w:szCs w:val="21"/>
                      <w:highlight w:val="none"/>
                      <w:lang w:val="en-US" w:eastAsia="zh-CN"/>
                    </w:rPr>
                    <w:t>42.826</w:t>
                  </w:r>
                  <w:r>
                    <w:rPr>
                      <w:rFonts w:hint="default" w:ascii="Times New Roman" w:hAnsi="Times New Roman" w:eastAsia="宋体" w:cs="Times New Roman"/>
                      <w:color w:val="auto"/>
                      <w:szCs w:val="21"/>
                      <w:highlight w:val="none"/>
                      <w:lang w:val="en-US" w:eastAsia="zh-CN"/>
                    </w:rPr>
                    <w:t>″</w:t>
                  </w:r>
                </w:p>
              </w:tc>
              <w:tc>
                <w:tcPr>
                  <w:tcW w:w="264" w:type="pct"/>
                  <w:noWrap w:val="0"/>
                  <w:vAlign w:val="center"/>
                </w:tcPr>
                <w:p w14:paraId="6536825A">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15</w:t>
                  </w:r>
                </w:p>
              </w:tc>
              <w:tc>
                <w:tcPr>
                  <w:tcW w:w="309" w:type="pct"/>
                  <w:noWrap w:val="0"/>
                  <w:vAlign w:val="center"/>
                </w:tcPr>
                <w:p w14:paraId="3FC70D0C">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0.5</w:t>
                  </w:r>
                </w:p>
              </w:tc>
              <w:tc>
                <w:tcPr>
                  <w:tcW w:w="276" w:type="pct"/>
                  <w:noWrap w:val="0"/>
                  <w:vAlign w:val="center"/>
                </w:tcPr>
                <w:p w14:paraId="446A6413">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25</w:t>
                  </w:r>
                </w:p>
              </w:tc>
              <w:tc>
                <w:tcPr>
                  <w:tcW w:w="240" w:type="pct"/>
                  <w:vMerge w:val="continue"/>
                  <w:noWrap w:val="0"/>
                  <w:vAlign w:val="center"/>
                </w:tcPr>
                <w:p w14:paraId="018191F5">
                  <w:pPr>
                    <w:autoSpaceDE w:val="0"/>
                    <w:autoSpaceDN w:val="0"/>
                    <w:adjustRightInd w:val="0"/>
                    <w:jc w:val="center"/>
                    <w:textAlignment w:val="baseline"/>
                    <w:rPr>
                      <w:rFonts w:hint="default" w:ascii="Times New Roman" w:hAnsi="Times New Roman" w:cs="Times New Roman"/>
                      <w:szCs w:val="21"/>
                    </w:rPr>
                  </w:pPr>
                </w:p>
              </w:tc>
              <w:tc>
                <w:tcPr>
                  <w:tcW w:w="1039" w:type="pct"/>
                  <w:vMerge w:val="continue"/>
                  <w:noWrap w:val="0"/>
                  <w:vAlign w:val="center"/>
                </w:tcPr>
                <w:p w14:paraId="3D17FDB2">
                  <w:pPr>
                    <w:autoSpaceDE w:val="0"/>
                    <w:autoSpaceDN w:val="0"/>
                    <w:adjustRightInd w:val="0"/>
                    <w:jc w:val="center"/>
                    <w:textAlignment w:val="baseline"/>
                    <w:rPr>
                      <w:rFonts w:hint="eastAsia" w:ascii="Times New Roman" w:hAnsi="Times New Roman" w:cs="Times New Roman"/>
                      <w:szCs w:val="21"/>
                      <w:lang w:val="en-US" w:eastAsia="zh-CN"/>
                    </w:rPr>
                  </w:pPr>
                </w:p>
              </w:tc>
            </w:tr>
            <w:tr w14:paraId="0661F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40" w:type="pct"/>
                  <w:noWrap w:val="0"/>
                  <w:vAlign w:val="center"/>
                </w:tcPr>
                <w:p w14:paraId="61A472F0">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w:t>
                  </w:r>
                </w:p>
              </w:tc>
              <w:tc>
                <w:tcPr>
                  <w:tcW w:w="411" w:type="pct"/>
                  <w:noWrap w:val="0"/>
                  <w:vAlign w:val="center"/>
                </w:tcPr>
                <w:p w14:paraId="0500B211">
                  <w:pPr>
                    <w:autoSpaceDE w:val="0"/>
                    <w:autoSpaceDN w:val="0"/>
                    <w:adjustRightInd w:val="0"/>
                    <w:jc w:val="center"/>
                    <w:textAlignment w:val="baseline"/>
                    <w:rPr>
                      <w:rFonts w:hint="default" w:ascii="Times New Roman" w:hAnsi="Times New Roman" w:cs="Times New Roman"/>
                      <w:kern w:val="2"/>
                      <w:sz w:val="21"/>
                      <w:szCs w:val="21"/>
                      <w:lang w:val="en-US" w:eastAsia="zh-CN" w:bidi="ar-SA"/>
                    </w:rPr>
                  </w:pPr>
                  <w:r>
                    <w:rPr>
                      <w:rFonts w:hint="default" w:ascii="Times New Roman" w:hAnsi="Times New Roman" w:cs="Times New Roman"/>
                      <w:szCs w:val="21"/>
                      <w:lang w:eastAsia="zh-CN"/>
                    </w:rPr>
                    <w:t>DA00</w:t>
                  </w:r>
                  <w:r>
                    <w:rPr>
                      <w:rFonts w:hint="eastAsia" w:ascii="Times New Roman" w:hAnsi="Times New Roman" w:cs="Times New Roman"/>
                      <w:szCs w:val="21"/>
                      <w:lang w:val="en-US" w:eastAsia="zh-CN"/>
                    </w:rPr>
                    <w:t>5</w:t>
                  </w:r>
                </w:p>
              </w:tc>
              <w:tc>
                <w:tcPr>
                  <w:tcW w:w="597" w:type="pct"/>
                  <w:noWrap w:val="0"/>
                  <w:vAlign w:val="center"/>
                </w:tcPr>
                <w:p w14:paraId="710118A6">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VOCs、二甲苯、乙苯、颗粒</w:t>
                  </w:r>
                </w:p>
              </w:tc>
              <w:tc>
                <w:tcPr>
                  <w:tcW w:w="1535" w:type="dxa"/>
                  <w:noWrap w:val="0"/>
                  <w:vAlign w:val="center"/>
                </w:tcPr>
                <w:p w14:paraId="33F02448">
                  <w:pPr>
                    <w:autoSpaceDE w:val="0"/>
                    <w:autoSpaceDN w:val="0"/>
                    <w:adjustRightInd w:val="0"/>
                    <w:jc w:val="center"/>
                    <w:textAlignment w:val="baseline"/>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东经</w:t>
                  </w:r>
                  <w:r>
                    <w:rPr>
                      <w:rFonts w:hint="default" w:ascii="Times New Roman" w:hAnsi="Times New Roman" w:eastAsia="宋体" w:cs="Times New Roman"/>
                      <w:color w:val="auto"/>
                      <w:szCs w:val="21"/>
                      <w:highlight w:val="none"/>
                      <w:lang w:val="en-US" w:eastAsia="zh-CN"/>
                    </w:rPr>
                    <w:t>105°40′</w:t>
                  </w:r>
                  <w:r>
                    <w:rPr>
                      <w:rFonts w:hint="eastAsia" w:ascii="Times New Roman" w:hAnsi="Times New Roman" w:eastAsia="宋体" w:cs="Times New Roman"/>
                      <w:color w:val="auto"/>
                      <w:szCs w:val="21"/>
                      <w:highlight w:val="none"/>
                      <w:lang w:val="en-US" w:eastAsia="zh-CN"/>
                    </w:rPr>
                    <w:t>4</w:t>
                  </w:r>
                  <w:r>
                    <w:rPr>
                      <w:rFonts w:hint="eastAsia" w:cs="Times New Roman"/>
                      <w:color w:val="auto"/>
                      <w:szCs w:val="21"/>
                      <w:highlight w:val="none"/>
                      <w:lang w:val="en-US" w:eastAsia="zh-CN"/>
                    </w:rPr>
                    <w:t>1.250</w:t>
                  </w:r>
                  <w:r>
                    <w:rPr>
                      <w:rFonts w:hint="default" w:ascii="Times New Roman" w:hAnsi="Times New Roman" w:eastAsia="宋体" w:cs="Times New Roman"/>
                      <w:color w:val="auto"/>
                      <w:szCs w:val="21"/>
                      <w:highlight w:val="none"/>
                      <w:lang w:val="en-US" w:eastAsia="zh-CN"/>
                    </w:rPr>
                    <w:t>″</w:t>
                  </w:r>
                </w:p>
              </w:tc>
              <w:tc>
                <w:tcPr>
                  <w:tcW w:w="1332" w:type="dxa"/>
                  <w:noWrap w:val="0"/>
                  <w:vAlign w:val="center"/>
                </w:tcPr>
                <w:p w14:paraId="69DDA889">
                  <w:pPr>
                    <w:autoSpaceDE w:val="0"/>
                    <w:autoSpaceDN w:val="0"/>
                    <w:adjustRightInd w:val="0"/>
                    <w:jc w:val="center"/>
                    <w:textAlignment w:val="baseline"/>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北纬</w:t>
                  </w:r>
                  <w:r>
                    <w:rPr>
                      <w:rFonts w:hint="default" w:ascii="Times New Roman" w:hAnsi="Times New Roman" w:eastAsia="宋体" w:cs="Times New Roman"/>
                      <w:color w:val="auto"/>
                      <w:szCs w:val="21"/>
                      <w:highlight w:val="none"/>
                      <w:lang w:val="en-US" w:eastAsia="zh-CN"/>
                    </w:rPr>
                    <w:t>30°44′</w:t>
                  </w:r>
                  <w:r>
                    <w:rPr>
                      <w:rFonts w:hint="eastAsia" w:ascii="Times New Roman" w:hAnsi="Times New Roman" w:eastAsia="宋体" w:cs="Times New Roman"/>
                      <w:color w:val="auto"/>
                      <w:szCs w:val="21"/>
                      <w:highlight w:val="none"/>
                      <w:lang w:val="en-US" w:eastAsia="zh-CN"/>
                    </w:rPr>
                    <w:t>42.</w:t>
                  </w:r>
                  <w:r>
                    <w:rPr>
                      <w:rFonts w:hint="eastAsia" w:cs="Times New Roman"/>
                      <w:color w:val="auto"/>
                      <w:szCs w:val="21"/>
                      <w:highlight w:val="none"/>
                      <w:lang w:val="en-US" w:eastAsia="zh-CN"/>
                    </w:rPr>
                    <w:t>285</w:t>
                  </w:r>
                  <w:r>
                    <w:rPr>
                      <w:rFonts w:hint="default" w:ascii="Times New Roman" w:hAnsi="Times New Roman" w:eastAsia="宋体" w:cs="Times New Roman"/>
                      <w:color w:val="auto"/>
                      <w:szCs w:val="21"/>
                      <w:highlight w:val="none"/>
                      <w:lang w:val="en-US" w:eastAsia="zh-CN"/>
                    </w:rPr>
                    <w:t>″</w:t>
                  </w:r>
                </w:p>
              </w:tc>
              <w:tc>
                <w:tcPr>
                  <w:tcW w:w="264" w:type="pct"/>
                  <w:noWrap w:val="0"/>
                  <w:vAlign w:val="center"/>
                </w:tcPr>
                <w:p w14:paraId="1FC45CA3">
                  <w:pPr>
                    <w:autoSpaceDE w:val="0"/>
                    <w:autoSpaceDN w:val="0"/>
                    <w:adjustRightInd w:val="0"/>
                    <w:jc w:val="center"/>
                    <w:textAlignment w:val="baseline"/>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15</w:t>
                  </w:r>
                </w:p>
              </w:tc>
              <w:tc>
                <w:tcPr>
                  <w:tcW w:w="309" w:type="pct"/>
                  <w:noWrap w:val="0"/>
                  <w:vAlign w:val="center"/>
                </w:tcPr>
                <w:p w14:paraId="1EAFED6A">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0.5</w:t>
                  </w:r>
                </w:p>
              </w:tc>
              <w:tc>
                <w:tcPr>
                  <w:tcW w:w="276" w:type="pct"/>
                  <w:noWrap w:val="0"/>
                  <w:vAlign w:val="center"/>
                </w:tcPr>
                <w:p w14:paraId="67CBB31A">
                  <w:pPr>
                    <w:autoSpaceDE w:val="0"/>
                    <w:autoSpaceDN w:val="0"/>
                    <w:adjustRightInd w:val="0"/>
                    <w:jc w:val="center"/>
                    <w:textAlignment w:val="baseline"/>
                    <w:rPr>
                      <w:rFonts w:hint="default" w:ascii="Times New Roman" w:hAnsi="Times New Roman" w:cs="Times New Roman"/>
                      <w:lang w:val="en-US" w:eastAsia="zh-CN"/>
                    </w:rPr>
                  </w:pPr>
                  <w:r>
                    <w:rPr>
                      <w:rFonts w:hint="default" w:ascii="Times New Roman" w:hAnsi="Times New Roman" w:cs="Times New Roman"/>
                      <w:szCs w:val="21"/>
                    </w:rPr>
                    <w:t>25</w:t>
                  </w:r>
                </w:p>
              </w:tc>
              <w:tc>
                <w:tcPr>
                  <w:tcW w:w="240" w:type="pct"/>
                  <w:vMerge w:val="continue"/>
                  <w:noWrap w:val="0"/>
                  <w:vAlign w:val="center"/>
                </w:tcPr>
                <w:p w14:paraId="26A2972C">
                  <w:pPr>
                    <w:autoSpaceDE w:val="0"/>
                    <w:autoSpaceDN w:val="0"/>
                    <w:adjustRightInd w:val="0"/>
                    <w:jc w:val="center"/>
                    <w:textAlignment w:val="baseline"/>
                    <w:rPr>
                      <w:rFonts w:hint="default" w:ascii="Times New Roman" w:hAnsi="Times New Roman" w:cs="Times New Roman"/>
                      <w:szCs w:val="21"/>
                    </w:rPr>
                  </w:pPr>
                </w:p>
              </w:tc>
              <w:tc>
                <w:tcPr>
                  <w:tcW w:w="1039" w:type="pct"/>
                  <w:vMerge w:val="continue"/>
                  <w:noWrap w:val="0"/>
                  <w:vAlign w:val="center"/>
                </w:tcPr>
                <w:p w14:paraId="7D603BDA">
                  <w:pPr>
                    <w:autoSpaceDE w:val="0"/>
                    <w:autoSpaceDN w:val="0"/>
                    <w:adjustRightInd w:val="0"/>
                    <w:jc w:val="center"/>
                    <w:textAlignment w:val="baseline"/>
                    <w:rPr>
                      <w:rFonts w:hint="eastAsia" w:ascii="Times New Roman" w:hAnsi="Times New Roman" w:cs="Times New Roman"/>
                      <w:szCs w:val="21"/>
                      <w:lang w:val="en-US" w:eastAsia="zh-CN"/>
                    </w:rPr>
                  </w:pPr>
                </w:p>
              </w:tc>
            </w:tr>
            <w:tr w14:paraId="7AF76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240" w:type="pct"/>
                  <w:noWrap w:val="0"/>
                  <w:vAlign w:val="center"/>
                </w:tcPr>
                <w:p w14:paraId="590D1BAA">
                  <w:pPr>
                    <w:autoSpaceDE w:val="0"/>
                    <w:autoSpaceDN w:val="0"/>
                    <w:adjustRightInd w:val="0"/>
                    <w:jc w:val="center"/>
                    <w:textAlignment w:val="baseline"/>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6</w:t>
                  </w:r>
                </w:p>
              </w:tc>
              <w:tc>
                <w:tcPr>
                  <w:tcW w:w="411" w:type="pct"/>
                  <w:noWrap w:val="0"/>
                  <w:vAlign w:val="center"/>
                </w:tcPr>
                <w:p w14:paraId="2E9CFA61">
                  <w:pPr>
                    <w:autoSpaceDE w:val="0"/>
                    <w:autoSpaceDN w:val="0"/>
                    <w:adjustRightInd w:val="0"/>
                    <w:jc w:val="center"/>
                    <w:textAlignment w:val="baseline"/>
                    <w:rPr>
                      <w:rFonts w:hint="default" w:ascii="Times New Roman" w:hAnsi="Times New Roman" w:eastAsia="宋体" w:cs="Times New Roman"/>
                      <w:szCs w:val="21"/>
                      <w:lang w:val="en-US" w:eastAsia="zh-CN"/>
                    </w:rPr>
                  </w:pPr>
                  <w:r>
                    <w:rPr>
                      <w:rFonts w:hint="default" w:ascii="Times New Roman" w:hAnsi="Times New Roman" w:cs="Times New Roman"/>
                      <w:szCs w:val="21"/>
                      <w:lang w:eastAsia="zh-CN"/>
                    </w:rPr>
                    <w:t>DA00</w:t>
                  </w:r>
                  <w:r>
                    <w:rPr>
                      <w:rFonts w:hint="eastAsia" w:ascii="Times New Roman" w:hAnsi="Times New Roman" w:cs="Times New Roman"/>
                      <w:szCs w:val="21"/>
                      <w:lang w:val="en-US" w:eastAsia="zh-CN"/>
                    </w:rPr>
                    <w:t>6</w:t>
                  </w:r>
                </w:p>
              </w:tc>
              <w:tc>
                <w:tcPr>
                  <w:tcW w:w="597" w:type="pct"/>
                  <w:noWrap w:val="0"/>
                  <w:vAlign w:val="center"/>
                </w:tcPr>
                <w:p w14:paraId="592C689D">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VOCs、二甲苯、乙苯、颗粒</w:t>
                  </w:r>
                </w:p>
              </w:tc>
              <w:tc>
                <w:tcPr>
                  <w:tcW w:w="1535" w:type="dxa"/>
                  <w:noWrap w:val="0"/>
                  <w:vAlign w:val="center"/>
                </w:tcPr>
                <w:p w14:paraId="52557C54">
                  <w:pPr>
                    <w:autoSpaceDE w:val="0"/>
                    <w:autoSpaceDN w:val="0"/>
                    <w:adjustRightInd w:val="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东经</w:t>
                  </w:r>
                  <w:r>
                    <w:rPr>
                      <w:rFonts w:hint="default" w:ascii="Times New Roman" w:hAnsi="Times New Roman" w:eastAsia="宋体" w:cs="Times New Roman"/>
                      <w:color w:val="auto"/>
                      <w:szCs w:val="21"/>
                      <w:highlight w:val="none"/>
                      <w:lang w:val="en-US" w:eastAsia="zh-CN"/>
                    </w:rPr>
                    <w:t>105°40′</w:t>
                  </w:r>
                  <w:r>
                    <w:rPr>
                      <w:rFonts w:hint="eastAsia" w:ascii="Times New Roman" w:hAnsi="Times New Roman" w:eastAsia="宋体" w:cs="Times New Roman"/>
                      <w:color w:val="auto"/>
                      <w:szCs w:val="21"/>
                      <w:highlight w:val="none"/>
                      <w:lang w:val="en-US" w:eastAsia="zh-CN"/>
                    </w:rPr>
                    <w:t>41.481</w:t>
                  </w:r>
                  <w:r>
                    <w:rPr>
                      <w:rFonts w:hint="default" w:ascii="Times New Roman" w:hAnsi="Times New Roman" w:eastAsia="宋体" w:cs="Times New Roman"/>
                      <w:color w:val="auto"/>
                      <w:szCs w:val="21"/>
                      <w:highlight w:val="none"/>
                      <w:lang w:val="en-US" w:eastAsia="zh-CN"/>
                    </w:rPr>
                    <w:t>″</w:t>
                  </w:r>
                </w:p>
              </w:tc>
              <w:tc>
                <w:tcPr>
                  <w:tcW w:w="1332" w:type="dxa"/>
                  <w:noWrap w:val="0"/>
                  <w:vAlign w:val="center"/>
                </w:tcPr>
                <w:p w14:paraId="19A11FEB">
                  <w:pPr>
                    <w:autoSpaceDE w:val="0"/>
                    <w:autoSpaceDN w:val="0"/>
                    <w:adjustRightInd w:val="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北纬</w:t>
                  </w:r>
                  <w:r>
                    <w:rPr>
                      <w:rFonts w:hint="default" w:ascii="Times New Roman" w:hAnsi="Times New Roman" w:eastAsia="宋体" w:cs="Times New Roman"/>
                      <w:color w:val="auto"/>
                      <w:szCs w:val="21"/>
                      <w:highlight w:val="none"/>
                      <w:lang w:val="en-US" w:eastAsia="zh-CN"/>
                    </w:rPr>
                    <w:t>30°44′</w:t>
                  </w:r>
                  <w:r>
                    <w:rPr>
                      <w:rFonts w:hint="eastAsia" w:ascii="Times New Roman" w:hAnsi="Times New Roman" w:eastAsia="宋体" w:cs="Times New Roman"/>
                      <w:color w:val="auto"/>
                      <w:szCs w:val="21"/>
                      <w:highlight w:val="none"/>
                      <w:lang w:val="en-US" w:eastAsia="zh-CN"/>
                    </w:rPr>
                    <w:t>43.212</w:t>
                  </w:r>
                  <w:r>
                    <w:rPr>
                      <w:rFonts w:hint="default" w:ascii="Times New Roman" w:hAnsi="Times New Roman" w:eastAsia="宋体" w:cs="Times New Roman"/>
                      <w:color w:val="auto"/>
                      <w:szCs w:val="21"/>
                      <w:highlight w:val="none"/>
                      <w:lang w:val="en-US" w:eastAsia="zh-CN"/>
                    </w:rPr>
                    <w:t>″</w:t>
                  </w:r>
                </w:p>
              </w:tc>
              <w:tc>
                <w:tcPr>
                  <w:tcW w:w="264" w:type="pct"/>
                  <w:noWrap w:val="0"/>
                  <w:vAlign w:val="center"/>
                </w:tcPr>
                <w:p w14:paraId="122CA96D">
                  <w:pPr>
                    <w:autoSpaceDE w:val="0"/>
                    <w:autoSpaceDN w:val="0"/>
                    <w:adjustRightInd w:val="0"/>
                    <w:jc w:val="center"/>
                    <w:textAlignment w:val="baseline"/>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15</w:t>
                  </w:r>
                </w:p>
              </w:tc>
              <w:tc>
                <w:tcPr>
                  <w:tcW w:w="309" w:type="pct"/>
                  <w:noWrap w:val="0"/>
                  <w:vAlign w:val="center"/>
                </w:tcPr>
                <w:p w14:paraId="33EF9597">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0.5</w:t>
                  </w:r>
                </w:p>
              </w:tc>
              <w:tc>
                <w:tcPr>
                  <w:tcW w:w="276" w:type="pct"/>
                  <w:noWrap w:val="0"/>
                  <w:vAlign w:val="center"/>
                </w:tcPr>
                <w:p w14:paraId="538A2887">
                  <w:pPr>
                    <w:autoSpaceDE w:val="0"/>
                    <w:autoSpaceDN w:val="0"/>
                    <w:adjustRightInd w:val="0"/>
                    <w:jc w:val="center"/>
                    <w:textAlignment w:val="baseline"/>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25</w:t>
                  </w:r>
                </w:p>
              </w:tc>
              <w:tc>
                <w:tcPr>
                  <w:tcW w:w="240" w:type="pct"/>
                  <w:vMerge w:val="continue"/>
                  <w:noWrap w:val="0"/>
                  <w:vAlign w:val="center"/>
                </w:tcPr>
                <w:p w14:paraId="770E1415">
                  <w:pPr>
                    <w:autoSpaceDE w:val="0"/>
                    <w:autoSpaceDN w:val="0"/>
                    <w:adjustRightInd w:val="0"/>
                    <w:jc w:val="center"/>
                    <w:textAlignment w:val="baseline"/>
                    <w:rPr>
                      <w:rFonts w:hint="default" w:ascii="Times New Roman" w:hAnsi="Times New Roman" w:cs="Times New Roman"/>
                      <w:szCs w:val="21"/>
                    </w:rPr>
                  </w:pPr>
                </w:p>
              </w:tc>
              <w:tc>
                <w:tcPr>
                  <w:tcW w:w="1039" w:type="pct"/>
                  <w:vMerge w:val="continue"/>
                  <w:noWrap w:val="0"/>
                  <w:vAlign w:val="center"/>
                </w:tcPr>
                <w:p w14:paraId="30ACFE66">
                  <w:pPr>
                    <w:autoSpaceDE w:val="0"/>
                    <w:autoSpaceDN w:val="0"/>
                    <w:adjustRightInd w:val="0"/>
                    <w:jc w:val="center"/>
                    <w:textAlignment w:val="baseline"/>
                    <w:rPr>
                      <w:rFonts w:hint="default" w:ascii="Times New Roman" w:hAnsi="Times New Roman" w:cs="Times New Roman"/>
                      <w:szCs w:val="21"/>
                    </w:rPr>
                  </w:pPr>
                </w:p>
              </w:tc>
            </w:tr>
            <w:tr w14:paraId="71305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240" w:type="pct"/>
                  <w:noWrap w:val="0"/>
                  <w:vAlign w:val="center"/>
                </w:tcPr>
                <w:p w14:paraId="407B5807">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w:t>
                  </w:r>
                </w:p>
              </w:tc>
              <w:tc>
                <w:tcPr>
                  <w:tcW w:w="411" w:type="pct"/>
                  <w:noWrap w:val="0"/>
                  <w:vAlign w:val="center"/>
                </w:tcPr>
                <w:p w14:paraId="0A3041F6">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DA007</w:t>
                  </w:r>
                </w:p>
              </w:tc>
              <w:tc>
                <w:tcPr>
                  <w:tcW w:w="597" w:type="pct"/>
                  <w:noWrap w:val="0"/>
                  <w:vAlign w:val="center"/>
                </w:tcPr>
                <w:p w14:paraId="202446EC">
                  <w:pPr>
                    <w:autoSpaceDE w:val="0"/>
                    <w:autoSpaceDN w:val="0"/>
                    <w:adjustRightInd w:val="0"/>
                    <w:jc w:val="center"/>
                    <w:textAlignment w:val="baseline"/>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VOCs、二甲苯、乙苯、颗粒</w:t>
                  </w:r>
                </w:p>
              </w:tc>
              <w:tc>
                <w:tcPr>
                  <w:tcW w:w="1535" w:type="dxa"/>
                  <w:noWrap w:val="0"/>
                  <w:vAlign w:val="center"/>
                </w:tcPr>
                <w:p w14:paraId="4FFA702F">
                  <w:pPr>
                    <w:autoSpaceDE w:val="0"/>
                    <w:autoSpaceDN w:val="0"/>
                    <w:adjustRightInd w:val="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东经</w:t>
                  </w:r>
                  <w:r>
                    <w:rPr>
                      <w:rFonts w:hint="default" w:ascii="Times New Roman" w:hAnsi="Times New Roman" w:eastAsia="宋体" w:cs="Times New Roman"/>
                      <w:color w:val="auto"/>
                      <w:szCs w:val="21"/>
                      <w:highlight w:val="none"/>
                      <w:lang w:val="en-US" w:eastAsia="zh-CN"/>
                    </w:rPr>
                    <w:t>105°40′</w:t>
                  </w:r>
                  <w:r>
                    <w:rPr>
                      <w:rFonts w:hint="eastAsia" w:ascii="Times New Roman" w:hAnsi="Times New Roman" w:eastAsia="宋体" w:cs="Times New Roman"/>
                      <w:color w:val="auto"/>
                      <w:szCs w:val="21"/>
                      <w:highlight w:val="none"/>
                      <w:lang w:val="en-US" w:eastAsia="zh-CN"/>
                    </w:rPr>
                    <w:t>42.640</w:t>
                  </w:r>
                  <w:r>
                    <w:rPr>
                      <w:rFonts w:hint="default" w:ascii="Times New Roman" w:hAnsi="Times New Roman" w:eastAsia="宋体" w:cs="Times New Roman"/>
                      <w:color w:val="auto"/>
                      <w:szCs w:val="21"/>
                      <w:highlight w:val="none"/>
                      <w:lang w:val="en-US" w:eastAsia="zh-CN"/>
                    </w:rPr>
                    <w:t>″</w:t>
                  </w:r>
                </w:p>
              </w:tc>
              <w:tc>
                <w:tcPr>
                  <w:tcW w:w="1332" w:type="dxa"/>
                  <w:noWrap w:val="0"/>
                  <w:vAlign w:val="center"/>
                </w:tcPr>
                <w:p w14:paraId="45E1AF7D">
                  <w:pPr>
                    <w:autoSpaceDE w:val="0"/>
                    <w:autoSpaceDN w:val="0"/>
                    <w:adjustRightInd w:val="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北纬</w:t>
                  </w:r>
                  <w:r>
                    <w:rPr>
                      <w:rFonts w:hint="default" w:ascii="Times New Roman" w:hAnsi="Times New Roman" w:eastAsia="宋体" w:cs="Times New Roman"/>
                      <w:color w:val="auto"/>
                      <w:szCs w:val="21"/>
                      <w:highlight w:val="none"/>
                      <w:lang w:val="en-US" w:eastAsia="zh-CN"/>
                    </w:rPr>
                    <w:t>30°44′</w:t>
                  </w:r>
                  <w:r>
                    <w:rPr>
                      <w:rFonts w:hint="eastAsia" w:ascii="Times New Roman" w:hAnsi="Times New Roman" w:eastAsia="宋体" w:cs="Times New Roman"/>
                      <w:color w:val="auto"/>
                      <w:szCs w:val="21"/>
                      <w:highlight w:val="none"/>
                      <w:lang w:val="en-US" w:eastAsia="zh-CN"/>
                    </w:rPr>
                    <w:t>42.594</w:t>
                  </w:r>
                  <w:r>
                    <w:rPr>
                      <w:rFonts w:hint="default" w:ascii="Times New Roman" w:hAnsi="Times New Roman" w:eastAsia="宋体" w:cs="Times New Roman"/>
                      <w:color w:val="auto"/>
                      <w:szCs w:val="21"/>
                      <w:highlight w:val="none"/>
                      <w:lang w:val="en-US" w:eastAsia="zh-CN"/>
                    </w:rPr>
                    <w:t>″</w:t>
                  </w:r>
                </w:p>
              </w:tc>
              <w:tc>
                <w:tcPr>
                  <w:tcW w:w="264" w:type="pct"/>
                  <w:noWrap w:val="0"/>
                  <w:vAlign w:val="center"/>
                </w:tcPr>
                <w:p w14:paraId="3FA916EA">
                  <w:pPr>
                    <w:autoSpaceDE w:val="0"/>
                    <w:autoSpaceDN w:val="0"/>
                    <w:adjustRightInd w:val="0"/>
                    <w:jc w:val="center"/>
                    <w:textAlignment w:val="baseline"/>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15</w:t>
                  </w:r>
                </w:p>
              </w:tc>
              <w:tc>
                <w:tcPr>
                  <w:tcW w:w="309" w:type="pct"/>
                  <w:noWrap w:val="0"/>
                  <w:vAlign w:val="center"/>
                </w:tcPr>
                <w:p w14:paraId="06E4B835">
                  <w:pPr>
                    <w:autoSpaceDE w:val="0"/>
                    <w:autoSpaceDN w:val="0"/>
                    <w:adjustRightInd w:val="0"/>
                    <w:jc w:val="center"/>
                    <w:textAlignment w:val="baseline"/>
                    <w:rPr>
                      <w:rFonts w:hint="default" w:ascii="Times New Roman" w:hAnsi="Times New Roman" w:cs="Times New Roman"/>
                      <w:szCs w:val="21"/>
                    </w:rPr>
                  </w:pPr>
                  <w:r>
                    <w:rPr>
                      <w:rFonts w:hint="default" w:ascii="Times New Roman" w:hAnsi="Times New Roman" w:cs="Times New Roman"/>
                      <w:szCs w:val="21"/>
                    </w:rPr>
                    <w:t>0.5</w:t>
                  </w:r>
                </w:p>
              </w:tc>
              <w:tc>
                <w:tcPr>
                  <w:tcW w:w="276" w:type="pct"/>
                  <w:noWrap w:val="0"/>
                  <w:vAlign w:val="center"/>
                </w:tcPr>
                <w:p w14:paraId="68467A53">
                  <w:pPr>
                    <w:autoSpaceDE w:val="0"/>
                    <w:autoSpaceDN w:val="0"/>
                    <w:adjustRightInd w:val="0"/>
                    <w:jc w:val="center"/>
                    <w:textAlignment w:val="baseline"/>
                    <w:rPr>
                      <w:rFonts w:hint="default" w:ascii="Times New Roman" w:hAnsi="Times New Roman" w:cs="Times New Roman"/>
                      <w:lang w:val="en-US" w:eastAsia="zh-CN"/>
                    </w:rPr>
                  </w:pPr>
                  <w:r>
                    <w:rPr>
                      <w:rFonts w:hint="default" w:ascii="Times New Roman" w:hAnsi="Times New Roman" w:cs="Times New Roman"/>
                      <w:szCs w:val="21"/>
                    </w:rPr>
                    <w:t>25</w:t>
                  </w:r>
                </w:p>
              </w:tc>
              <w:tc>
                <w:tcPr>
                  <w:tcW w:w="240" w:type="pct"/>
                  <w:vMerge w:val="continue"/>
                  <w:noWrap w:val="0"/>
                  <w:vAlign w:val="center"/>
                </w:tcPr>
                <w:p w14:paraId="60800526">
                  <w:pPr>
                    <w:autoSpaceDE w:val="0"/>
                    <w:autoSpaceDN w:val="0"/>
                    <w:adjustRightInd w:val="0"/>
                    <w:jc w:val="center"/>
                    <w:textAlignment w:val="baseline"/>
                    <w:rPr>
                      <w:rFonts w:hint="default" w:ascii="Times New Roman" w:hAnsi="Times New Roman" w:cs="Times New Roman"/>
                      <w:szCs w:val="21"/>
                    </w:rPr>
                  </w:pPr>
                </w:p>
              </w:tc>
              <w:tc>
                <w:tcPr>
                  <w:tcW w:w="1039" w:type="pct"/>
                  <w:vMerge w:val="continue"/>
                  <w:noWrap w:val="0"/>
                  <w:vAlign w:val="center"/>
                </w:tcPr>
                <w:p w14:paraId="59F511F7">
                  <w:pPr>
                    <w:autoSpaceDE w:val="0"/>
                    <w:autoSpaceDN w:val="0"/>
                    <w:adjustRightInd w:val="0"/>
                    <w:jc w:val="center"/>
                    <w:textAlignment w:val="baseline"/>
                    <w:rPr>
                      <w:rFonts w:hint="default" w:ascii="Times New Roman" w:hAnsi="Times New Roman" w:cs="Times New Roman"/>
                      <w:szCs w:val="21"/>
                    </w:rPr>
                  </w:pPr>
                </w:p>
              </w:tc>
            </w:tr>
          </w:tbl>
          <w:p w14:paraId="7C157506">
            <w:pPr>
              <w:pStyle w:val="5"/>
              <w:ind w:left="0" w:leftChars="0" w:firstLine="0" w:firstLineChars="0"/>
              <w:outlineLvl w:val="9"/>
              <w:rPr>
                <w:rFonts w:hint="eastAsia" w:eastAsia="宋体"/>
                <w:lang w:eastAsia="zh-CN"/>
              </w:rPr>
            </w:pPr>
          </w:p>
          <w:p w14:paraId="7FC7D807">
            <w:pPr>
              <w:tabs>
                <w:tab w:val="left" w:pos="397"/>
              </w:tabs>
              <w:spacing w:line="360" w:lineRule="auto"/>
              <w:rPr>
                <w:rFonts w:hint="default" w:ascii="Times New Roman" w:hAnsi="Times New Roman" w:cs="Times New Roman"/>
                <w:b/>
                <w:bCs/>
                <w:sz w:val="21"/>
                <w:szCs w:val="21"/>
                <w:highlight w:val="none"/>
              </w:rPr>
            </w:pPr>
            <w:r>
              <w:rPr>
                <w:rFonts w:hint="eastAsia" w:ascii="Times New Roman" w:hAnsi="Times New Roman" w:cs="Times New Roman"/>
                <w:b/>
                <w:bCs/>
                <w:sz w:val="21"/>
                <w:szCs w:val="21"/>
                <w:highlight w:val="none"/>
                <w:lang w:val="en-US" w:eastAsia="zh-CN"/>
              </w:rPr>
              <w:t>二</w:t>
            </w:r>
            <w:r>
              <w:rPr>
                <w:rFonts w:hint="default" w:ascii="Times New Roman" w:hAnsi="Times New Roman" w:cs="Times New Roman"/>
                <w:b/>
                <w:bCs/>
                <w:sz w:val="21"/>
                <w:szCs w:val="21"/>
                <w:highlight w:val="none"/>
              </w:rPr>
              <w:t>、废水排放及处理措施</w:t>
            </w:r>
          </w:p>
          <w:p w14:paraId="3F6EE218">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本项目运营期废水</w:t>
            </w:r>
            <w:r>
              <w:rPr>
                <w:rFonts w:hint="default" w:ascii="Times New Roman" w:hAnsi="Times New Roman" w:cs="Times New Roman"/>
                <w:sz w:val="21"/>
                <w:szCs w:val="21"/>
                <w:lang w:val="en-US" w:eastAsia="zh-CN"/>
              </w:rPr>
              <w:t>为</w:t>
            </w:r>
            <w:r>
              <w:rPr>
                <w:rFonts w:hint="default" w:ascii="Times New Roman" w:hAnsi="Times New Roman" w:cs="Times New Roman"/>
                <w:sz w:val="21"/>
                <w:szCs w:val="21"/>
              </w:rPr>
              <w:t>生活</w:t>
            </w:r>
            <w:r>
              <w:rPr>
                <w:rFonts w:hint="default" w:ascii="Times New Roman" w:hAnsi="Times New Roman" w:cs="Times New Roman"/>
                <w:sz w:val="21"/>
                <w:szCs w:val="21"/>
                <w:lang w:val="en-US" w:eastAsia="zh-CN"/>
              </w:rPr>
              <w:t>污水</w:t>
            </w:r>
            <w:r>
              <w:rPr>
                <w:rFonts w:hint="eastAsia" w:cs="Times New Roman"/>
                <w:sz w:val="21"/>
                <w:szCs w:val="21"/>
                <w:lang w:val="en-US" w:eastAsia="zh-CN"/>
              </w:rPr>
              <w:t>、</w:t>
            </w:r>
            <w:r>
              <w:rPr>
                <w:rFonts w:hint="default" w:ascii="Times New Roman" w:hAnsi="Times New Roman" w:cs="Times New Roman"/>
                <w:sz w:val="21"/>
                <w:szCs w:val="21"/>
                <w:lang w:val="en-US" w:eastAsia="zh-CN"/>
              </w:rPr>
              <w:t>生产循环冷却水排水</w:t>
            </w:r>
            <w:r>
              <w:rPr>
                <w:rFonts w:hint="eastAsia" w:cs="Times New Roman"/>
                <w:sz w:val="21"/>
                <w:szCs w:val="21"/>
                <w:lang w:val="en-US" w:eastAsia="zh-CN"/>
              </w:rPr>
              <w:t>、地面清洗废水、喷漆用水</w:t>
            </w:r>
            <w:r>
              <w:rPr>
                <w:rFonts w:hint="default" w:ascii="Times New Roman" w:hAnsi="Times New Roman" w:cs="Times New Roman"/>
                <w:sz w:val="21"/>
                <w:szCs w:val="21"/>
              </w:rPr>
              <w:t>。</w:t>
            </w:r>
          </w:p>
          <w:p w14:paraId="44F59B73">
            <w:pPr>
              <w:spacing w:line="360" w:lineRule="auto"/>
              <w:ind w:firstLine="422" w:firstLineChars="200"/>
              <w:rPr>
                <w:rFonts w:hint="eastAsia" w:cs="Times New Roman"/>
                <w:b/>
                <w:bCs/>
                <w:sz w:val="21"/>
                <w:szCs w:val="21"/>
                <w:lang w:val="en-US" w:eastAsia="zh-CN"/>
              </w:rPr>
            </w:pPr>
            <w:r>
              <w:rPr>
                <w:rFonts w:hint="eastAsia" w:cs="Times New Roman"/>
                <w:b/>
                <w:bCs/>
                <w:sz w:val="21"/>
                <w:szCs w:val="21"/>
                <w:lang w:eastAsia="zh-CN"/>
              </w:rPr>
              <w:t>（</w:t>
            </w:r>
            <w:r>
              <w:rPr>
                <w:rFonts w:hint="eastAsia" w:cs="Times New Roman"/>
                <w:b/>
                <w:bCs/>
                <w:sz w:val="21"/>
                <w:szCs w:val="21"/>
                <w:lang w:val="en-US" w:eastAsia="zh-CN"/>
              </w:rPr>
              <w:t>1</w:t>
            </w:r>
            <w:r>
              <w:rPr>
                <w:rFonts w:hint="eastAsia" w:cs="Times New Roman"/>
                <w:b/>
                <w:bCs/>
                <w:sz w:val="21"/>
                <w:szCs w:val="21"/>
                <w:lang w:eastAsia="zh-CN"/>
              </w:rPr>
              <w:t>）</w:t>
            </w:r>
            <w:r>
              <w:rPr>
                <w:rFonts w:hint="eastAsia" w:cs="Times New Roman"/>
                <w:b/>
                <w:bCs/>
                <w:sz w:val="21"/>
                <w:szCs w:val="21"/>
                <w:lang w:val="en-US" w:eastAsia="zh-CN"/>
              </w:rPr>
              <w:t>给水</w:t>
            </w:r>
          </w:p>
          <w:p w14:paraId="65C9887D">
            <w:pPr>
              <w:wordWrap/>
              <w:autoSpaceDE w:val="0"/>
              <w:autoSpaceDN w:val="0"/>
              <w:adjustRightInd/>
              <w:snapToGrid/>
              <w:spacing w:line="360" w:lineRule="auto"/>
              <w:ind w:firstLine="422" w:firstLineChars="200"/>
              <w:outlineLvl w:val="9"/>
              <w:rPr>
                <w:rFonts w:ascii="Times New Roman" w:hAnsi="Times New Roman" w:eastAsia="宋体"/>
                <w:b/>
                <w:color w:val="auto"/>
                <w:sz w:val="21"/>
                <w:szCs w:val="21"/>
              </w:rPr>
            </w:pPr>
            <w:r>
              <w:rPr>
                <w:rFonts w:hint="eastAsia" w:ascii="Times New Roman" w:hAnsi="Times New Roman" w:eastAsia="宋体"/>
                <w:b/>
                <w:color w:val="auto"/>
                <w:sz w:val="21"/>
                <w:szCs w:val="21"/>
              </w:rPr>
              <w:t>①生活用水</w:t>
            </w:r>
          </w:p>
          <w:p w14:paraId="12E83A0A">
            <w:pPr>
              <w:keepNext w:val="0"/>
              <w:keepLines w:val="0"/>
              <w:widowControl/>
              <w:suppressLineNumbers w:val="0"/>
              <w:spacing w:line="360" w:lineRule="auto"/>
              <w:ind w:firstLine="420" w:firstLineChars="200"/>
              <w:jc w:val="left"/>
              <w:rPr>
                <w:rFonts w:ascii="Times New Roman" w:hAnsi="Times New Roman" w:eastAsia="宋体"/>
                <w:b w:val="0"/>
                <w:color w:val="auto"/>
                <w:sz w:val="21"/>
                <w:szCs w:val="21"/>
              </w:rPr>
            </w:pPr>
            <w:r>
              <w:rPr>
                <w:rFonts w:hint="eastAsia" w:ascii="Times New Roman" w:hAnsi="Times New Roman" w:eastAsia="宋体"/>
                <w:b w:val="0"/>
                <w:color w:val="auto"/>
                <w:sz w:val="21"/>
                <w:szCs w:val="21"/>
              </w:rPr>
              <w:t>本项目劳动定员</w:t>
            </w:r>
            <w:r>
              <w:rPr>
                <w:rFonts w:hint="eastAsia" w:ascii="Times New Roman" w:hAnsi="Times New Roman" w:eastAsia="宋体"/>
                <w:b w:val="0"/>
                <w:color w:val="auto"/>
                <w:sz w:val="21"/>
                <w:szCs w:val="21"/>
                <w:lang w:val="en-US" w:eastAsia="zh-CN"/>
              </w:rPr>
              <w:t>40</w:t>
            </w:r>
            <w:r>
              <w:rPr>
                <w:rFonts w:hint="eastAsia" w:ascii="Times New Roman" w:hAnsi="Times New Roman" w:eastAsia="宋体"/>
                <w:b w:val="0"/>
                <w:color w:val="auto"/>
                <w:sz w:val="21"/>
                <w:szCs w:val="21"/>
              </w:rPr>
              <w:t>人</w:t>
            </w:r>
            <w:r>
              <w:rPr>
                <w:rFonts w:hint="eastAsia" w:ascii="Times New Roman" w:hAnsi="Times New Roman" w:eastAsia="宋体"/>
                <w:b w:val="0"/>
                <w:color w:val="auto"/>
                <w:sz w:val="21"/>
                <w:szCs w:val="21"/>
                <w:lang w:eastAsia="zh-CN"/>
              </w:rPr>
              <w:t>，</w:t>
            </w:r>
            <w:r>
              <w:rPr>
                <w:rFonts w:hint="eastAsia"/>
                <w:b w:val="0"/>
                <w:color w:val="auto"/>
                <w:sz w:val="21"/>
                <w:szCs w:val="21"/>
                <w:lang w:val="en-US" w:eastAsia="zh-CN"/>
              </w:rPr>
              <w:t>不设食堂和宿舍，</w:t>
            </w:r>
            <w:r>
              <w:rPr>
                <w:rFonts w:hint="eastAsia" w:ascii="Times New Roman" w:hAnsi="Times New Roman" w:eastAsia="宋体"/>
                <w:b w:val="0"/>
                <w:color w:val="auto"/>
                <w:sz w:val="21"/>
                <w:szCs w:val="21"/>
              </w:rPr>
              <w:t>根据</w:t>
            </w:r>
            <w:r>
              <w:rPr>
                <w:rFonts w:hint="eastAsia" w:ascii="宋体" w:hAnsi="宋体" w:eastAsia="宋体" w:cs="宋体"/>
                <w:color w:val="000000"/>
                <w:kern w:val="0"/>
                <w:sz w:val="21"/>
                <w:szCs w:val="21"/>
                <w:lang w:val="en-US" w:eastAsia="zh-CN" w:bidi="ar"/>
              </w:rPr>
              <w:t>《四川省用水定额》（川府函〔</w:t>
            </w:r>
            <w:r>
              <w:rPr>
                <w:rFonts w:hint="default" w:ascii="Times New Roman" w:hAnsi="Times New Roman" w:eastAsia="宋体" w:cs="Times New Roman"/>
                <w:color w:val="000000"/>
                <w:kern w:val="0"/>
                <w:sz w:val="21"/>
                <w:szCs w:val="21"/>
                <w:lang w:val="en-US" w:eastAsia="zh-CN" w:bidi="ar"/>
              </w:rPr>
              <w:t>2021</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号）和</w:t>
            </w:r>
            <w:r>
              <w:rPr>
                <w:rFonts w:hint="eastAsia" w:ascii="Times New Roman" w:hAnsi="Times New Roman" w:eastAsia="宋体"/>
                <w:b w:val="0"/>
                <w:color w:val="auto"/>
                <w:sz w:val="21"/>
                <w:szCs w:val="21"/>
              </w:rPr>
              <w:t>《建筑给水排水设计标准(2019年版)》(GB50015-2019)</w:t>
            </w:r>
            <w:r>
              <w:rPr>
                <w:rFonts w:ascii="Times New Roman" w:hAnsi="Times New Roman" w:eastAsia="宋体"/>
                <w:b w:val="0"/>
                <w:color w:val="auto"/>
                <w:sz w:val="21"/>
                <w:szCs w:val="21"/>
              </w:rPr>
              <w:t>用水定额按</w:t>
            </w:r>
            <w:r>
              <w:rPr>
                <w:rFonts w:hint="eastAsia" w:ascii="Times New Roman" w:hAnsi="Times New Roman" w:eastAsia="宋体"/>
                <w:b w:val="0"/>
                <w:color w:val="auto"/>
                <w:sz w:val="21"/>
                <w:szCs w:val="21"/>
              </w:rPr>
              <w:t>50L/人.d计，</w:t>
            </w:r>
            <w:r>
              <w:rPr>
                <w:rFonts w:hint="eastAsia" w:ascii="Times New Roman" w:hAnsi="Times New Roman" w:eastAsia="宋体"/>
                <w:b w:val="0"/>
                <w:color w:val="auto"/>
                <w:sz w:val="21"/>
                <w:szCs w:val="21"/>
                <w:lang w:val="en-US" w:eastAsia="zh-CN"/>
              </w:rPr>
              <w:t>项目建成后，</w:t>
            </w:r>
            <w:r>
              <w:rPr>
                <w:rFonts w:ascii="Times New Roman" w:hAnsi="Times New Roman" w:eastAsia="宋体"/>
                <w:b w:val="0"/>
                <w:color w:val="auto"/>
                <w:sz w:val="21"/>
                <w:szCs w:val="21"/>
              </w:rPr>
              <w:t>员工生活用水</w:t>
            </w:r>
            <w:r>
              <w:rPr>
                <w:rFonts w:hint="eastAsia" w:ascii="Times New Roman" w:hAnsi="Times New Roman" w:eastAsia="宋体"/>
                <w:b w:val="0"/>
                <w:color w:val="auto"/>
                <w:sz w:val="21"/>
                <w:szCs w:val="21"/>
                <w:lang w:val="en-US" w:eastAsia="zh-CN"/>
              </w:rPr>
              <w:t>2</w:t>
            </w:r>
            <w:r>
              <w:rPr>
                <w:rFonts w:ascii="Times New Roman" w:hAnsi="Times New Roman" w:eastAsia="宋体"/>
                <w:b w:val="0"/>
                <w:color w:val="auto"/>
                <w:sz w:val="21"/>
                <w:szCs w:val="21"/>
              </w:rPr>
              <w:t>m</w:t>
            </w:r>
            <w:r>
              <w:rPr>
                <w:rFonts w:ascii="Times New Roman" w:hAnsi="Times New Roman" w:eastAsia="宋体"/>
                <w:b w:val="0"/>
                <w:color w:val="auto"/>
                <w:sz w:val="21"/>
                <w:szCs w:val="21"/>
                <w:vertAlign w:val="superscript"/>
              </w:rPr>
              <w:t>3</w:t>
            </w:r>
            <w:r>
              <w:rPr>
                <w:rFonts w:ascii="Times New Roman" w:hAnsi="Times New Roman" w:eastAsia="宋体"/>
                <w:b w:val="0"/>
                <w:color w:val="auto"/>
                <w:sz w:val="21"/>
                <w:szCs w:val="21"/>
              </w:rPr>
              <w:t>/</w:t>
            </w:r>
            <w:r>
              <w:rPr>
                <w:rFonts w:hint="eastAsia" w:ascii="Times New Roman" w:hAnsi="Times New Roman" w:eastAsia="宋体"/>
                <w:b w:val="0"/>
                <w:color w:val="auto"/>
                <w:sz w:val="21"/>
                <w:szCs w:val="21"/>
              </w:rPr>
              <w:t>d，</w:t>
            </w:r>
            <w:r>
              <w:rPr>
                <w:rFonts w:hint="eastAsia" w:ascii="Times New Roman" w:hAnsi="Times New Roman" w:eastAsia="宋体"/>
                <w:b w:val="0"/>
                <w:color w:val="auto"/>
                <w:sz w:val="21"/>
                <w:szCs w:val="21"/>
                <w:lang w:val="en-US" w:eastAsia="zh-CN"/>
              </w:rPr>
              <w:t>600</w:t>
            </w:r>
            <w:r>
              <w:rPr>
                <w:rFonts w:ascii="Times New Roman" w:hAnsi="Times New Roman" w:eastAsia="宋体"/>
                <w:b w:val="0"/>
                <w:color w:val="auto"/>
                <w:sz w:val="21"/>
                <w:szCs w:val="21"/>
              </w:rPr>
              <w:t>m</w:t>
            </w:r>
            <w:r>
              <w:rPr>
                <w:rFonts w:ascii="Times New Roman" w:hAnsi="Times New Roman" w:eastAsia="宋体"/>
                <w:b w:val="0"/>
                <w:color w:val="auto"/>
                <w:sz w:val="21"/>
                <w:szCs w:val="21"/>
                <w:vertAlign w:val="superscript"/>
              </w:rPr>
              <w:t>3</w:t>
            </w:r>
            <w:r>
              <w:rPr>
                <w:rFonts w:ascii="Times New Roman" w:hAnsi="Times New Roman" w:eastAsia="宋体"/>
                <w:b w:val="0"/>
                <w:color w:val="auto"/>
                <w:sz w:val="21"/>
                <w:szCs w:val="21"/>
              </w:rPr>
              <w:t>/</w:t>
            </w:r>
            <w:r>
              <w:rPr>
                <w:rFonts w:hint="eastAsia" w:ascii="Times New Roman" w:hAnsi="Times New Roman" w:eastAsia="宋体"/>
                <w:b w:val="0"/>
                <w:color w:val="auto"/>
                <w:sz w:val="21"/>
                <w:szCs w:val="21"/>
              </w:rPr>
              <w:t>a。污水排水量按</w:t>
            </w:r>
            <w:r>
              <w:rPr>
                <w:rFonts w:ascii="Times New Roman" w:hAnsi="Times New Roman" w:eastAsia="宋体"/>
                <w:b w:val="0"/>
                <w:color w:val="auto"/>
                <w:sz w:val="21"/>
                <w:szCs w:val="21"/>
              </w:rPr>
              <w:t>85%</w:t>
            </w:r>
            <w:r>
              <w:rPr>
                <w:rFonts w:hint="eastAsia" w:ascii="Times New Roman" w:hAnsi="Times New Roman" w:eastAsia="宋体"/>
                <w:b w:val="0"/>
                <w:color w:val="auto"/>
                <w:sz w:val="21"/>
                <w:szCs w:val="21"/>
              </w:rPr>
              <w:t>计，则每天产生生活污水</w:t>
            </w:r>
            <w:r>
              <w:rPr>
                <w:rFonts w:hint="eastAsia" w:ascii="Times New Roman" w:hAnsi="Times New Roman" w:eastAsia="宋体"/>
                <w:b w:val="0"/>
                <w:color w:val="auto"/>
                <w:sz w:val="21"/>
                <w:szCs w:val="21"/>
                <w:lang w:val="en-US" w:eastAsia="zh-CN"/>
              </w:rPr>
              <w:t>1.7</w:t>
            </w:r>
            <w:r>
              <w:rPr>
                <w:rFonts w:ascii="Times New Roman" w:hAnsi="Times New Roman" w:eastAsia="宋体"/>
                <w:b w:val="0"/>
                <w:color w:val="auto"/>
                <w:sz w:val="21"/>
                <w:szCs w:val="21"/>
              </w:rPr>
              <w:t>m</w:t>
            </w:r>
            <w:r>
              <w:rPr>
                <w:rFonts w:ascii="Times New Roman" w:hAnsi="Times New Roman" w:eastAsia="宋体"/>
                <w:b w:val="0"/>
                <w:color w:val="auto"/>
                <w:sz w:val="21"/>
                <w:szCs w:val="21"/>
                <w:vertAlign w:val="superscript"/>
              </w:rPr>
              <w:t>3</w:t>
            </w:r>
            <w:r>
              <w:rPr>
                <w:rFonts w:ascii="Times New Roman" w:hAnsi="Times New Roman" w:eastAsia="宋体"/>
                <w:b w:val="0"/>
                <w:color w:val="auto"/>
                <w:sz w:val="21"/>
                <w:szCs w:val="21"/>
              </w:rPr>
              <w:t>/</w:t>
            </w:r>
            <w:r>
              <w:rPr>
                <w:rFonts w:hint="eastAsia" w:ascii="Times New Roman" w:hAnsi="Times New Roman" w:eastAsia="宋体"/>
                <w:b w:val="0"/>
                <w:color w:val="auto"/>
                <w:sz w:val="21"/>
                <w:szCs w:val="21"/>
              </w:rPr>
              <w:t>d，年排放量</w:t>
            </w:r>
            <w:r>
              <w:rPr>
                <w:rFonts w:hint="eastAsia" w:ascii="Times New Roman" w:hAnsi="Times New Roman" w:eastAsia="宋体"/>
                <w:b w:val="0"/>
                <w:color w:val="auto"/>
                <w:sz w:val="21"/>
                <w:szCs w:val="21"/>
                <w:lang w:val="en-US" w:eastAsia="zh-CN"/>
              </w:rPr>
              <w:t>510</w:t>
            </w:r>
            <w:r>
              <w:rPr>
                <w:rFonts w:ascii="Times New Roman" w:hAnsi="Times New Roman" w:eastAsia="宋体"/>
                <w:b w:val="0"/>
                <w:color w:val="auto"/>
                <w:sz w:val="21"/>
                <w:szCs w:val="21"/>
              </w:rPr>
              <w:t>m</w:t>
            </w:r>
            <w:r>
              <w:rPr>
                <w:rFonts w:ascii="Times New Roman" w:hAnsi="Times New Roman" w:eastAsia="宋体"/>
                <w:b w:val="0"/>
                <w:color w:val="auto"/>
                <w:sz w:val="21"/>
                <w:szCs w:val="21"/>
                <w:vertAlign w:val="superscript"/>
              </w:rPr>
              <w:t>3</w:t>
            </w:r>
            <w:r>
              <w:rPr>
                <w:rFonts w:ascii="Times New Roman" w:hAnsi="Times New Roman" w:eastAsia="宋体"/>
                <w:b w:val="0"/>
                <w:color w:val="auto"/>
                <w:sz w:val="21"/>
                <w:szCs w:val="21"/>
              </w:rPr>
              <w:t>。</w:t>
            </w:r>
          </w:p>
          <w:p w14:paraId="14317A7B">
            <w:pPr>
              <w:wordWrap/>
              <w:autoSpaceDE w:val="0"/>
              <w:autoSpaceDN w:val="0"/>
              <w:adjustRightInd/>
              <w:snapToGrid/>
              <w:spacing w:line="360" w:lineRule="auto"/>
              <w:ind w:firstLine="422" w:firstLineChars="200"/>
              <w:outlineLvl w:val="9"/>
              <w:rPr>
                <w:rFonts w:ascii="Times New Roman" w:hAnsi="Times New Roman" w:eastAsia="宋体"/>
                <w:b/>
                <w:color w:val="auto"/>
                <w:sz w:val="21"/>
                <w:szCs w:val="21"/>
                <w:highlight w:val="none"/>
              </w:rPr>
            </w:pPr>
            <w:r>
              <w:rPr>
                <w:rFonts w:hint="eastAsia" w:ascii="Times New Roman" w:hAnsi="Times New Roman" w:eastAsia="宋体"/>
                <w:b/>
                <w:color w:val="auto"/>
                <w:sz w:val="21"/>
                <w:szCs w:val="21"/>
                <w:highlight w:val="none"/>
              </w:rPr>
              <w:t>②</w:t>
            </w:r>
            <w:r>
              <w:rPr>
                <w:rFonts w:hint="eastAsia" w:ascii="Times New Roman" w:hAnsi="Times New Roman" w:eastAsia="宋体"/>
                <w:b/>
                <w:color w:val="auto"/>
                <w:sz w:val="21"/>
                <w:szCs w:val="21"/>
                <w:highlight w:val="none"/>
                <w:lang w:val="en-US" w:eastAsia="zh-CN"/>
              </w:rPr>
              <w:t>注塑循环冷却</w:t>
            </w:r>
            <w:r>
              <w:rPr>
                <w:rFonts w:hint="eastAsia" w:ascii="Times New Roman" w:hAnsi="Times New Roman" w:eastAsia="宋体"/>
                <w:b/>
                <w:color w:val="auto"/>
                <w:sz w:val="21"/>
                <w:szCs w:val="21"/>
                <w:highlight w:val="none"/>
              </w:rPr>
              <w:t>水</w:t>
            </w:r>
          </w:p>
          <w:p w14:paraId="6B4AE35E">
            <w:pPr>
              <w:keepNext w:val="0"/>
              <w:keepLines w:val="0"/>
              <w:widowControl/>
              <w:suppressLineNumbers w:val="0"/>
              <w:spacing w:line="360" w:lineRule="auto"/>
              <w:ind w:firstLine="420" w:firstLineChars="200"/>
              <w:jc w:val="left"/>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项目在塑料热熔注塑时需要用冷却水将产品进行冷却成型。</w:t>
            </w:r>
            <w:r>
              <w:rPr>
                <w:rFonts w:hint="eastAsia" w:ascii="宋体" w:hAnsi="宋体" w:eastAsia="宋体" w:cs="宋体"/>
                <w:color w:val="auto"/>
                <w:kern w:val="0"/>
                <w:sz w:val="21"/>
                <w:szCs w:val="21"/>
                <w:highlight w:val="none"/>
                <w:lang w:val="en-US" w:eastAsia="zh-CN" w:bidi="ar"/>
              </w:rPr>
              <w:t>注塑循环冷却用水循环使用，需定期</w:t>
            </w:r>
            <w:r>
              <w:rPr>
                <w:rFonts w:hint="eastAsia" w:ascii="宋体" w:hAnsi="宋体" w:cs="宋体"/>
                <w:color w:val="auto"/>
                <w:kern w:val="0"/>
                <w:sz w:val="21"/>
                <w:szCs w:val="21"/>
                <w:highlight w:val="none"/>
                <w:lang w:val="en-US" w:eastAsia="zh-CN" w:bidi="ar"/>
              </w:rPr>
              <w:t>注入新水</w:t>
            </w:r>
            <w:r>
              <w:rPr>
                <w:rFonts w:hint="eastAsia" w:ascii="宋体" w:hAnsi="宋体" w:eastAsia="宋体" w:cs="宋体"/>
                <w:color w:val="auto"/>
                <w:kern w:val="0"/>
                <w:sz w:val="21"/>
                <w:szCs w:val="21"/>
                <w:highlight w:val="none"/>
                <w:lang w:val="en-US" w:eastAsia="zh-CN" w:bidi="ar"/>
              </w:rPr>
              <w:t>，预计每两个月更</w:t>
            </w:r>
            <w:r>
              <w:rPr>
                <w:rFonts w:hint="eastAsia" w:ascii="宋体" w:hAnsi="宋体" w:cs="宋体"/>
                <w:color w:val="auto"/>
                <w:kern w:val="0"/>
                <w:sz w:val="21"/>
                <w:szCs w:val="21"/>
                <w:highlight w:val="none"/>
                <w:lang w:val="en-US" w:eastAsia="zh-CN" w:bidi="ar"/>
              </w:rPr>
              <w:t>新</w:t>
            </w:r>
            <w:r>
              <w:rPr>
                <w:rFonts w:hint="eastAsia" w:ascii="宋体" w:hAnsi="宋体" w:eastAsia="宋体" w:cs="宋体"/>
                <w:color w:val="auto"/>
                <w:kern w:val="0"/>
                <w:sz w:val="21"/>
                <w:szCs w:val="21"/>
                <w:highlight w:val="none"/>
                <w:lang w:val="en-US" w:eastAsia="zh-CN" w:bidi="ar"/>
              </w:rPr>
              <w:t>一次。根据建设单位提供的资料，</w:t>
            </w:r>
            <w:r>
              <w:rPr>
                <w:rFonts w:hint="eastAsia" w:ascii="Times New Roman" w:hAnsi="Times New Roman" w:eastAsia="宋体" w:cs="Times New Roman"/>
                <w:color w:val="auto"/>
                <w:kern w:val="0"/>
                <w:sz w:val="21"/>
                <w:szCs w:val="21"/>
                <w:highlight w:val="none"/>
                <w:lang w:val="en-US" w:eastAsia="zh-CN" w:bidi="ar"/>
              </w:rPr>
              <w:t>项目</w:t>
            </w:r>
            <w:r>
              <w:rPr>
                <w:rFonts w:hint="eastAsia" w:ascii="宋体" w:hAnsi="宋体" w:eastAsia="宋体" w:cs="宋体"/>
                <w:color w:val="auto"/>
                <w:kern w:val="0"/>
                <w:sz w:val="21"/>
                <w:szCs w:val="21"/>
                <w:highlight w:val="none"/>
                <w:lang w:val="en-US" w:eastAsia="zh-CN" w:bidi="ar"/>
              </w:rPr>
              <w:t>注塑循环冷却用水约</w:t>
            </w:r>
            <w:r>
              <w:rPr>
                <w:rFonts w:hint="default" w:ascii="Times New Roman" w:hAnsi="Times New Roman" w:eastAsia="宋体" w:cs="Times New Roman"/>
                <w:color w:val="auto"/>
                <w:kern w:val="0"/>
                <w:sz w:val="21"/>
                <w:szCs w:val="21"/>
                <w:highlight w:val="none"/>
                <w:lang w:val="en-US" w:eastAsia="zh-CN" w:bidi="ar"/>
              </w:rPr>
              <w:t>0.08m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/d（</w:t>
            </w:r>
            <w:r>
              <w:rPr>
                <w:rFonts w:hint="eastAsia" w:ascii="Times New Roman" w:hAnsi="Times New Roman" w:eastAsia="宋体" w:cs="Times New Roman"/>
                <w:color w:val="auto"/>
                <w:kern w:val="0"/>
                <w:sz w:val="21"/>
                <w:szCs w:val="21"/>
                <w:highlight w:val="none"/>
                <w:lang w:val="en-US" w:eastAsia="zh-CN" w:bidi="ar"/>
              </w:rPr>
              <w:t>24</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/a），产污系数按0.85计，则注塑循环冷却废水产生量约</w:t>
            </w:r>
            <w:r>
              <w:rPr>
                <w:rFonts w:hint="default" w:ascii="Times New Roman" w:hAnsi="Times New Roman" w:cs="Times New Roman"/>
                <w:color w:val="auto"/>
                <w:kern w:val="0"/>
                <w:sz w:val="21"/>
                <w:szCs w:val="21"/>
                <w:highlight w:val="none"/>
                <w:lang w:val="en-US" w:eastAsia="zh-CN" w:bidi="ar"/>
              </w:rPr>
              <w:t>0.068</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/d（</w:t>
            </w:r>
            <w:r>
              <w:rPr>
                <w:rFonts w:hint="default" w:ascii="Times New Roman" w:hAnsi="Times New Roman" w:cs="Times New Roman"/>
                <w:color w:val="auto"/>
                <w:kern w:val="0"/>
                <w:sz w:val="21"/>
                <w:szCs w:val="21"/>
                <w:highlight w:val="none"/>
                <w:lang w:val="en-US" w:eastAsia="zh-CN" w:bidi="ar"/>
              </w:rPr>
              <w:t>20.4</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/a）。新水为园区供水管网接入的自来水</w:t>
            </w:r>
            <w:r>
              <w:rPr>
                <w:rFonts w:hint="default" w:ascii="Times New Roman" w:hAnsi="Times New Roman" w:eastAsia="宋体" w:cs="Times New Roman"/>
                <w:b w:val="0"/>
                <w:color w:val="auto"/>
                <w:sz w:val="21"/>
                <w:szCs w:val="21"/>
                <w:highlight w:val="none"/>
              </w:rPr>
              <w:t>。</w:t>
            </w:r>
          </w:p>
          <w:p w14:paraId="44C0DA28">
            <w:pPr>
              <w:wordWrap/>
              <w:autoSpaceDE w:val="0"/>
              <w:autoSpaceDN w:val="0"/>
              <w:adjustRightInd/>
              <w:snapToGrid/>
              <w:spacing w:line="360" w:lineRule="auto"/>
              <w:ind w:firstLine="422" w:firstLineChars="200"/>
              <w:outlineLvl w:val="9"/>
              <w:rPr>
                <w:rFonts w:ascii="Times New Roman" w:hAnsi="Times New Roman" w:eastAsia="宋体"/>
                <w:b/>
                <w:color w:val="auto"/>
                <w:sz w:val="21"/>
                <w:szCs w:val="21"/>
              </w:rPr>
            </w:pPr>
            <w:r>
              <w:rPr>
                <w:rFonts w:hint="eastAsia" w:ascii="Times New Roman" w:hAnsi="Times New Roman" w:eastAsia="宋体"/>
                <w:b/>
                <w:color w:val="auto"/>
                <w:sz w:val="21"/>
                <w:szCs w:val="21"/>
              </w:rPr>
              <w:t>③地面清洗用水</w:t>
            </w:r>
          </w:p>
          <w:p w14:paraId="651DA927">
            <w:pPr>
              <w:bidi w:val="0"/>
              <w:spacing w:line="360" w:lineRule="auto"/>
              <w:ind w:firstLine="420" w:firstLineChars="200"/>
              <w:rPr>
                <w:rFonts w:hint="eastAsia" w:ascii="Times New Roman" w:hAnsi="Times New Roman" w:eastAsia="宋体"/>
                <w:b w:val="0"/>
                <w:color w:val="auto"/>
                <w:sz w:val="21"/>
                <w:szCs w:val="21"/>
              </w:rPr>
            </w:pPr>
            <w:r>
              <w:rPr>
                <w:rFonts w:hint="eastAsia" w:ascii="Times New Roman" w:hAnsi="Times New Roman" w:eastAsia="宋体"/>
                <w:b w:val="0"/>
                <w:color w:val="auto"/>
                <w:sz w:val="21"/>
                <w:szCs w:val="21"/>
              </w:rPr>
              <w:t>根据《建筑给水排水设计标准（2019版）》(GB50015-2019)，地面清洗用水每次以2L/</w:t>
            </w:r>
            <w:r>
              <w:rPr>
                <w:rFonts w:ascii="Times New Roman" w:hAnsi="Times New Roman" w:eastAsia="宋体"/>
                <w:b w:val="0"/>
                <w:color w:val="auto"/>
                <w:sz w:val="21"/>
                <w:szCs w:val="21"/>
              </w:rPr>
              <w:t>m</w:t>
            </w:r>
            <w:r>
              <w:rPr>
                <w:rFonts w:hint="eastAsia" w:ascii="Times New Roman" w:hAnsi="Times New Roman" w:eastAsia="宋体"/>
                <w:b w:val="0"/>
                <w:color w:val="auto"/>
                <w:sz w:val="21"/>
                <w:szCs w:val="21"/>
                <w:vertAlign w:val="superscript"/>
              </w:rPr>
              <w:t>2</w:t>
            </w:r>
            <w:r>
              <w:rPr>
                <w:rFonts w:hint="eastAsia" w:ascii="Times New Roman" w:hAnsi="Times New Roman" w:eastAsia="宋体"/>
                <w:b w:val="0"/>
                <w:color w:val="auto"/>
                <w:sz w:val="21"/>
                <w:szCs w:val="21"/>
              </w:rPr>
              <w:t>.次计，频次为1次/</w:t>
            </w:r>
            <w:r>
              <w:rPr>
                <w:rFonts w:hint="eastAsia"/>
                <w:b w:val="0"/>
                <w:color w:val="auto"/>
                <w:sz w:val="21"/>
                <w:szCs w:val="21"/>
                <w:lang w:val="en-US" w:eastAsia="zh-CN"/>
              </w:rPr>
              <w:t>10</w:t>
            </w:r>
            <w:r>
              <w:rPr>
                <w:rFonts w:hint="eastAsia" w:ascii="Times New Roman" w:hAnsi="Times New Roman" w:eastAsia="宋体"/>
                <w:b w:val="0"/>
                <w:color w:val="auto"/>
                <w:sz w:val="21"/>
                <w:szCs w:val="21"/>
              </w:rPr>
              <w:t>d。项目总建筑面积</w:t>
            </w:r>
            <w:r>
              <w:rPr>
                <w:rFonts w:hint="eastAsia"/>
                <w:b w:val="0"/>
                <w:color w:val="auto"/>
                <w:sz w:val="21"/>
                <w:szCs w:val="21"/>
                <w:lang w:val="en-US" w:eastAsia="zh-CN"/>
              </w:rPr>
              <w:t>9</w:t>
            </w:r>
            <w:r>
              <w:rPr>
                <w:rFonts w:hint="eastAsia" w:ascii="Times New Roman" w:hAnsi="Times New Roman" w:eastAsia="宋体"/>
                <w:b w:val="0"/>
                <w:color w:val="auto"/>
                <w:sz w:val="21"/>
                <w:szCs w:val="21"/>
                <w:lang w:val="en-US" w:eastAsia="zh-CN"/>
              </w:rPr>
              <w:t>320</w:t>
            </w:r>
            <w:r>
              <w:rPr>
                <w:rFonts w:hint="eastAsia" w:ascii="Times New Roman" w:hAnsi="Times New Roman" w:eastAsia="宋体"/>
                <w:b w:val="0"/>
                <w:color w:val="auto"/>
                <w:sz w:val="21"/>
                <w:szCs w:val="21"/>
                <w:shd w:val="clear" w:color="auto" w:fill="FFFFFF"/>
              </w:rPr>
              <w:t>m</w:t>
            </w:r>
            <w:r>
              <w:rPr>
                <w:rFonts w:hint="eastAsia" w:ascii="Times New Roman" w:hAnsi="Times New Roman" w:eastAsia="宋体"/>
                <w:b w:val="0"/>
                <w:color w:val="auto"/>
                <w:sz w:val="21"/>
                <w:szCs w:val="21"/>
                <w:shd w:val="clear" w:color="auto" w:fill="FFFFFF"/>
                <w:vertAlign w:val="superscript"/>
              </w:rPr>
              <w:t>2</w:t>
            </w:r>
            <w:r>
              <w:rPr>
                <w:rFonts w:hint="eastAsia" w:ascii="Times New Roman" w:hAnsi="Times New Roman" w:eastAsia="宋体"/>
                <w:b w:val="0"/>
                <w:color w:val="auto"/>
                <w:sz w:val="21"/>
                <w:szCs w:val="21"/>
              </w:rPr>
              <w:t>，保洁区域按总面积的70%计，则地面清洗最大用水量为</w:t>
            </w:r>
            <w:r>
              <w:rPr>
                <w:rFonts w:hint="eastAsia" w:ascii="Times New Roman" w:hAnsi="Times New Roman" w:eastAsia="宋体"/>
                <w:b w:val="0"/>
                <w:color w:val="auto"/>
                <w:sz w:val="21"/>
                <w:szCs w:val="21"/>
                <w:lang w:val="en-US" w:eastAsia="zh-CN"/>
              </w:rPr>
              <w:t>1</w:t>
            </w:r>
            <w:r>
              <w:rPr>
                <w:rFonts w:hint="eastAsia"/>
                <w:b w:val="0"/>
                <w:color w:val="auto"/>
                <w:sz w:val="21"/>
                <w:szCs w:val="21"/>
                <w:lang w:val="en-US" w:eastAsia="zh-CN"/>
              </w:rPr>
              <w:t>3.048</w:t>
            </w:r>
            <w:r>
              <w:rPr>
                <w:rFonts w:hint="eastAsia" w:ascii="Times New Roman" w:hAnsi="Times New Roman" w:eastAsia="宋体"/>
                <w:b w:val="0"/>
                <w:color w:val="auto"/>
                <w:sz w:val="21"/>
                <w:szCs w:val="21"/>
                <w:shd w:val="clear" w:color="auto" w:fill="FFFFFF"/>
              </w:rPr>
              <w:t>m</w:t>
            </w:r>
            <w:r>
              <w:rPr>
                <w:rFonts w:hint="eastAsia" w:ascii="Times New Roman" w:hAnsi="Times New Roman" w:eastAsia="宋体"/>
                <w:b w:val="0"/>
                <w:color w:val="auto"/>
                <w:sz w:val="21"/>
                <w:szCs w:val="21"/>
                <w:shd w:val="clear" w:color="auto" w:fill="FFFFFF"/>
                <w:vertAlign w:val="superscript"/>
              </w:rPr>
              <w:t>3</w:t>
            </w:r>
            <w:r>
              <w:rPr>
                <w:rFonts w:hint="eastAsia" w:ascii="Times New Roman" w:hAnsi="Times New Roman" w:eastAsia="宋体"/>
                <w:b w:val="0"/>
                <w:color w:val="auto"/>
                <w:sz w:val="21"/>
                <w:szCs w:val="21"/>
                <w:shd w:val="clear" w:color="auto" w:fill="FFFFFF"/>
              </w:rPr>
              <w:t>/次，</w:t>
            </w:r>
            <w:r>
              <w:rPr>
                <w:rFonts w:hint="eastAsia" w:ascii="Times New Roman" w:hAnsi="Times New Roman" w:eastAsia="宋体"/>
                <w:b w:val="0"/>
                <w:color w:val="auto"/>
                <w:sz w:val="21"/>
                <w:szCs w:val="21"/>
              </w:rPr>
              <w:t>平均折算日用水量为</w:t>
            </w:r>
            <w:r>
              <w:rPr>
                <w:rFonts w:hint="eastAsia"/>
                <w:b w:val="0"/>
                <w:color w:val="auto"/>
                <w:sz w:val="21"/>
                <w:szCs w:val="21"/>
                <w:lang w:val="en-US" w:eastAsia="zh-CN"/>
              </w:rPr>
              <w:t>1.305</w:t>
            </w:r>
            <w:r>
              <w:rPr>
                <w:rFonts w:ascii="Times New Roman" w:hAnsi="Times New Roman" w:eastAsia="宋体"/>
                <w:b w:val="0"/>
                <w:color w:val="auto"/>
                <w:sz w:val="21"/>
                <w:szCs w:val="21"/>
              </w:rPr>
              <w:t>m</w:t>
            </w:r>
            <w:r>
              <w:rPr>
                <w:rFonts w:hint="eastAsia" w:ascii="Times New Roman" w:hAnsi="Times New Roman" w:eastAsia="宋体"/>
                <w:b w:val="0"/>
                <w:color w:val="auto"/>
                <w:sz w:val="21"/>
                <w:szCs w:val="21"/>
                <w:vertAlign w:val="superscript"/>
              </w:rPr>
              <w:t>3</w:t>
            </w:r>
            <w:r>
              <w:rPr>
                <w:rFonts w:hint="eastAsia" w:ascii="Times New Roman" w:hAnsi="Times New Roman" w:eastAsia="宋体"/>
                <w:b w:val="0"/>
                <w:color w:val="auto"/>
                <w:sz w:val="21"/>
                <w:szCs w:val="21"/>
              </w:rPr>
              <w:t>/d，</w:t>
            </w:r>
            <w:r>
              <w:rPr>
                <w:rFonts w:hint="eastAsia"/>
                <w:b w:val="0"/>
                <w:color w:val="auto"/>
                <w:sz w:val="21"/>
                <w:szCs w:val="21"/>
                <w:lang w:val="en-US" w:eastAsia="zh-CN"/>
              </w:rPr>
              <w:t>391.44</w:t>
            </w:r>
            <w:r>
              <w:rPr>
                <w:rFonts w:ascii="Times New Roman" w:hAnsi="Times New Roman" w:eastAsia="宋体"/>
                <w:b w:val="0"/>
                <w:color w:val="auto"/>
                <w:sz w:val="21"/>
                <w:szCs w:val="21"/>
              </w:rPr>
              <w:t>m</w:t>
            </w:r>
            <w:r>
              <w:rPr>
                <w:rFonts w:hint="eastAsia" w:ascii="Times New Roman" w:hAnsi="Times New Roman" w:eastAsia="宋体"/>
                <w:b w:val="0"/>
                <w:color w:val="auto"/>
                <w:sz w:val="21"/>
                <w:szCs w:val="21"/>
                <w:vertAlign w:val="superscript"/>
              </w:rPr>
              <w:t>3</w:t>
            </w:r>
            <w:r>
              <w:rPr>
                <w:rFonts w:hint="eastAsia" w:ascii="Times New Roman" w:hAnsi="Times New Roman" w:eastAsia="宋体"/>
                <w:b w:val="0"/>
                <w:color w:val="auto"/>
                <w:sz w:val="21"/>
                <w:szCs w:val="21"/>
              </w:rPr>
              <w:t>/a。</w:t>
            </w:r>
            <w:r>
              <w:rPr>
                <w:rFonts w:ascii="Times New Roman" w:hAnsi="Times New Roman" w:eastAsia="宋体"/>
                <w:b w:val="0"/>
                <w:color w:val="auto"/>
                <w:sz w:val="21"/>
                <w:szCs w:val="21"/>
              </w:rPr>
              <w:t>废水排放量按用水量的85%计，则地面清洗废水排放量</w:t>
            </w:r>
            <w:r>
              <w:rPr>
                <w:rFonts w:hint="eastAsia" w:ascii="Times New Roman" w:hAnsi="Times New Roman" w:eastAsia="宋体"/>
                <w:b w:val="0"/>
                <w:color w:val="auto"/>
                <w:sz w:val="21"/>
                <w:szCs w:val="21"/>
                <w:lang w:val="en-US" w:eastAsia="zh-CN"/>
              </w:rPr>
              <w:t>1.</w:t>
            </w:r>
            <w:r>
              <w:rPr>
                <w:rFonts w:hint="eastAsia"/>
                <w:b w:val="0"/>
                <w:color w:val="auto"/>
                <w:sz w:val="21"/>
                <w:szCs w:val="21"/>
                <w:lang w:val="en-US" w:eastAsia="zh-CN"/>
              </w:rPr>
              <w:t>1</w:t>
            </w:r>
            <w:r>
              <w:rPr>
                <w:rFonts w:hint="eastAsia" w:ascii="Times New Roman" w:hAnsi="Times New Roman" w:eastAsia="宋体"/>
                <w:b w:val="0"/>
                <w:color w:val="auto"/>
                <w:sz w:val="21"/>
                <w:szCs w:val="21"/>
                <w:lang w:val="en-US" w:eastAsia="zh-CN"/>
              </w:rPr>
              <w:t>1</w:t>
            </w:r>
            <w:r>
              <w:rPr>
                <w:rFonts w:ascii="Times New Roman" w:hAnsi="Times New Roman" w:eastAsia="宋体"/>
                <w:b w:val="0"/>
                <w:color w:val="auto"/>
                <w:sz w:val="21"/>
                <w:szCs w:val="21"/>
              </w:rPr>
              <w:t>m</w:t>
            </w:r>
            <w:r>
              <w:rPr>
                <w:rFonts w:hint="eastAsia" w:ascii="Times New Roman" w:hAnsi="Times New Roman" w:eastAsia="宋体"/>
                <w:b w:val="0"/>
                <w:color w:val="auto"/>
                <w:sz w:val="21"/>
                <w:szCs w:val="21"/>
                <w:vertAlign w:val="superscript"/>
              </w:rPr>
              <w:t>3</w:t>
            </w:r>
            <w:r>
              <w:rPr>
                <w:rFonts w:hint="eastAsia" w:ascii="Times New Roman" w:hAnsi="Times New Roman" w:eastAsia="宋体"/>
                <w:b w:val="0"/>
                <w:color w:val="auto"/>
                <w:sz w:val="21"/>
                <w:szCs w:val="21"/>
              </w:rPr>
              <w:t>/d，</w:t>
            </w:r>
            <w:r>
              <w:rPr>
                <w:rFonts w:hint="eastAsia"/>
                <w:b w:val="0"/>
                <w:color w:val="auto"/>
                <w:sz w:val="21"/>
                <w:szCs w:val="21"/>
                <w:lang w:val="en-US" w:eastAsia="zh-CN"/>
              </w:rPr>
              <w:t>332.72</w:t>
            </w:r>
            <w:r>
              <w:rPr>
                <w:rFonts w:ascii="Times New Roman" w:hAnsi="Times New Roman" w:eastAsia="宋体"/>
                <w:b w:val="0"/>
                <w:color w:val="auto"/>
                <w:sz w:val="21"/>
                <w:szCs w:val="21"/>
              </w:rPr>
              <w:t>m</w:t>
            </w:r>
            <w:r>
              <w:rPr>
                <w:rFonts w:hint="eastAsia" w:ascii="Times New Roman" w:hAnsi="Times New Roman" w:eastAsia="宋体"/>
                <w:b w:val="0"/>
                <w:color w:val="auto"/>
                <w:sz w:val="21"/>
                <w:szCs w:val="21"/>
                <w:vertAlign w:val="superscript"/>
              </w:rPr>
              <w:t>3</w:t>
            </w:r>
            <w:r>
              <w:rPr>
                <w:rFonts w:hint="eastAsia" w:ascii="Times New Roman" w:hAnsi="Times New Roman" w:eastAsia="宋体"/>
                <w:b w:val="0"/>
                <w:color w:val="auto"/>
                <w:sz w:val="21"/>
                <w:szCs w:val="21"/>
              </w:rPr>
              <w:t>/a。</w:t>
            </w:r>
          </w:p>
          <w:p w14:paraId="086FE581">
            <w:pPr>
              <w:pStyle w:val="5"/>
              <w:tabs>
                <w:tab w:val="left" w:pos="914"/>
              </w:tabs>
              <w:spacing w:line="360" w:lineRule="auto"/>
              <w:ind w:left="0" w:leftChars="0" w:firstLine="422" w:firstLineChars="200"/>
              <w:rPr>
                <w:rFonts w:hint="eastAsia"/>
                <w:color w:val="auto"/>
                <w:sz w:val="21"/>
                <w:szCs w:val="21"/>
                <w:highlight w:val="none"/>
                <w:lang w:val="en-US" w:eastAsia="zh-CN"/>
              </w:rPr>
            </w:pPr>
            <w:r>
              <w:rPr>
                <w:rFonts w:hint="eastAsia"/>
                <w:color w:val="auto"/>
                <w:sz w:val="21"/>
                <w:szCs w:val="21"/>
                <w:highlight w:val="none"/>
                <w:lang w:val="en-US" w:eastAsia="zh-CN"/>
              </w:rPr>
              <w:t>④喷漆用水</w:t>
            </w:r>
          </w:p>
          <w:p w14:paraId="4569A335">
            <w:pPr>
              <w:keepNext w:val="0"/>
              <w:keepLines w:val="0"/>
              <w:widowControl/>
              <w:suppressLineNumbers w:val="0"/>
              <w:spacing w:line="360" w:lineRule="auto"/>
              <w:ind w:firstLine="420" w:firstLineChars="200"/>
              <w:jc w:val="left"/>
              <w:rPr>
                <w:rFonts w:hint="default"/>
                <w:lang w:val="en-US"/>
              </w:rPr>
            </w:pPr>
            <w:r>
              <w:rPr>
                <w:rFonts w:hint="default" w:ascii="Times New Roman" w:hAnsi="Times New Roman" w:cs="Times New Roman"/>
                <w:color w:val="auto"/>
                <w:kern w:val="0"/>
                <w:sz w:val="21"/>
                <w:szCs w:val="21"/>
                <w:lang w:val="en-US" w:eastAsia="zh-CN" w:bidi="ar"/>
              </w:rPr>
              <w:t>项目使用水帘喷漆房，漆房为上送风下抽风式，将喷漆作业中产生的含有漆雾的废气迅速引至地板格栅以下的水旋器内，将其中的大部分漆雾带到水中，喷漆房下方设有循环过滤池，喷漆废水在过滤池内絮凝沉淀（加絮凝剂）处理后循环使用（每个漆房循环水量1.5m</w:t>
            </w:r>
            <w:r>
              <w:rPr>
                <w:rFonts w:hint="default" w:ascii="Times New Roman" w:hAnsi="Times New Roman" w:cs="Times New Roman"/>
                <w:color w:val="auto"/>
                <w:kern w:val="0"/>
                <w:sz w:val="21"/>
                <w:szCs w:val="21"/>
                <w:vertAlign w:val="superscript"/>
                <w:lang w:val="en-US" w:eastAsia="zh-CN" w:bidi="ar"/>
              </w:rPr>
              <w:t>3</w:t>
            </w:r>
            <w:r>
              <w:rPr>
                <w:rFonts w:hint="default" w:ascii="Times New Roman" w:hAnsi="Times New Roman" w:cs="Times New Roman"/>
                <w:color w:val="auto"/>
                <w:kern w:val="0"/>
                <w:sz w:val="21"/>
                <w:szCs w:val="21"/>
                <w:lang w:val="en-US" w:eastAsia="zh-CN" w:bidi="ar"/>
              </w:rPr>
              <w:t>），需定期更换，预计每三个月更换一次，更换下的喷漆废水为危废，暂存危废间，由有资质的公司处置。根据建设单位提供的资料，项目每个过滤池循环水量预计20天完全换新一次，项目10个水帘喷房过滤池循环水年用水量为0.75m</w:t>
            </w:r>
            <w:r>
              <w:rPr>
                <w:rFonts w:hint="default" w:ascii="Times New Roman" w:hAnsi="Times New Roman" w:cs="Times New Roman"/>
                <w:color w:val="auto"/>
                <w:kern w:val="0"/>
                <w:sz w:val="21"/>
                <w:szCs w:val="21"/>
                <w:vertAlign w:val="superscript"/>
                <w:lang w:val="en-US" w:eastAsia="zh-CN" w:bidi="ar"/>
              </w:rPr>
              <w:t>3</w:t>
            </w:r>
            <w:r>
              <w:rPr>
                <w:rFonts w:hint="default" w:ascii="Times New Roman" w:hAnsi="Times New Roman" w:cs="Times New Roman"/>
                <w:color w:val="auto"/>
                <w:kern w:val="0"/>
                <w:sz w:val="21"/>
                <w:szCs w:val="21"/>
                <w:lang w:val="en-US" w:eastAsia="zh-CN" w:bidi="ar"/>
              </w:rPr>
              <w:t>/d（225t/a），根据更换频率，产污系数按循环水量的0.8计，喷漆废水产生量约为0.16m</w:t>
            </w:r>
            <w:r>
              <w:rPr>
                <w:rFonts w:hint="default" w:ascii="Times New Roman" w:hAnsi="Times New Roman" w:cs="Times New Roman"/>
                <w:color w:val="auto"/>
                <w:kern w:val="0"/>
                <w:sz w:val="21"/>
                <w:szCs w:val="21"/>
                <w:vertAlign w:val="superscript"/>
                <w:lang w:val="en-US" w:eastAsia="zh-CN" w:bidi="ar"/>
              </w:rPr>
              <w:t>3</w:t>
            </w:r>
            <w:r>
              <w:rPr>
                <w:rFonts w:hint="default" w:ascii="Times New Roman" w:hAnsi="Times New Roman" w:cs="Times New Roman"/>
                <w:color w:val="auto"/>
                <w:kern w:val="0"/>
                <w:sz w:val="21"/>
                <w:szCs w:val="21"/>
                <w:lang w:val="en-US" w:eastAsia="zh-CN" w:bidi="ar"/>
              </w:rPr>
              <w:t>/d（48t/a）</w:t>
            </w:r>
            <w:r>
              <w:rPr>
                <w:rFonts w:hint="eastAsia" w:ascii="Times New Roman" w:hAnsi="Times New Roman" w:cs="Times New Roman"/>
                <w:color w:val="auto"/>
                <w:kern w:val="0"/>
                <w:sz w:val="21"/>
                <w:szCs w:val="21"/>
                <w:lang w:val="en-US" w:eastAsia="zh-CN" w:bidi="ar"/>
              </w:rPr>
              <w:t>。</w:t>
            </w:r>
          </w:p>
          <w:p w14:paraId="38D5FBE3">
            <w:pPr>
              <w:wordWrap/>
              <w:autoSpaceDE w:val="0"/>
              <w:autoSpaceDN w:val="0"/>
              <w:adjustRightInd w:val="0"/>
              <w:snapToGrid w:val="0"/>
              <w:spacing w:line="360" w:lineRule="auto"/>
              <w:ind w:firstLine="422" w:firstLineChars="200"/>
              <w:outlineLvl w:val="9"/>
              <w:rPr>
                <w:rFonts w:ascii="Times New Roman" w:hAnsi="Times New Roman" w:eastAsia="宋体"/>
                <w:b/>
                <w:bCs/>
                <w:color w:val="auto"/>
                <w:sz w:val="21"/>
                <w:szCs w:val="21"/>
              </w:rPr>
            </w:pPr>
            <w:r>
              <w:rPr>
                <w:rFonts w:hint="eastAsia" w:ascii="宋体" w:hAnsi="宋体" w:eastAsia="宋体"/>
                <w:b/>
                <w:bCs/>
                <w:color w:val="auto"/>
                <w:sz w:val="21"/>
                <w:szCs w:val="21"/>
              </w:rPr>
              <w:t>（2）</w:t>
            </w:r>
            <w:r>
              <w:rPr>
                <w:rFonts w:hint="eastAsia" w:ascii="Times New Roman" w:hAnsi="Times New Roman" w:eastAsia="宋体"/>
                <w:b/>
                <w:bCs/>
                <w:color w:val="auto"/>
                <w:sz w:val="21"/>
                <w:szCs w:val="21"/>
              </w:rPr>
              <w:t>排水</w:t>
            </w:r>
          </w:p>
          <w:p w14:paraId="42BDA234">
            <w:pPr>
              <w:bidi w:val="0"/>
              <w:spacing w:line="360" w:lineRule="auto"/>
              <w:ind w:firstLine="420" w:firstLineChars="200"/>
              <w:rPr>
                <w:rFonts w:hint="default" w:eastAsia="宋体"/>
                <w:lang w:val="en-US" w:eastAsia="zh-CN"/>
              </w:rPr>
            </w:pPr>
            <w:r>
              <w:rPr>
                <w:rFonts w:hint="eastAsia"/>
              </w:rPr>
              <w:t>本项目排水实行雨污分流，</w:t>
            </w:r>
            <w:r>
              <w:rPr>
                <w:rFonts w:hint="eastAsia"/>
                <w:lang w:val="en-US" w:eastAsia="zh-CN"/>
              </w:rPr>
              <w:t>注塑循环冷却废水、</w:t>
            </w:r>
            <w:r>
              <w:t>生活污水</w:t>
            </w:r>
            <w:r>
              <w:rPr>
                <w:rFonts w:hint="eastAsia"/>
                <w:lang w:eastAsia="zh-CN"/>
              </w:rPr>
              <w:t>、</w:t>
            </w:r>
            <w:r>
              <w:rPr>
                <w:rFonts w:hint="eastAsia"/>
                <w:lang w:val="en-US" w:eastAsia="zh-CN"/>
              </w:rPr>
              <w:t>地面清洗废水</w:t>
            </w:r>
            <w:r>
              <w:t>经厂区已建预处理池收集处理后，进入市政污水管网</w:t>
            </w:r>
            <w:r>
              <w:rPr>
                <w:rFonts w:hint="eastAsia"/>
              </w:rPr>
              <w:t>，</w:t>
            </w:r>
            <w:r>
              <w:t>最终由蓬溪经开区污水处理厂处理达到</w:t>
            </w:r>
            <w:r>
              <w:rPr>
                <w:rFonts w:hint="eastAsia"/>
                <w:lang w:eastAsia="zh-CN"/>
              </w:rPr>
              <w:t>《城镇污水处理厂污染物排放标准》（</w:t>
            </w:r>
            <w:r>
              <w:rPr>
                <w:rFonts w:hint="default"/>
                <w:lang w:eastAsia="zh-CN"/>
              </w:rPr>
              <w:t>GB18918-2002）一级A</w:t>
            </w:r>
            <w:r>
              <w:rPr>
                <w:rFonts w:hint="eastAsia"/>
                <w:lang w:eastAsia="zh-CN"/>
              </w:rPr>
              <w:t>标准</w:t>
            </w:r>
            <w:r>
              <w:t>后排入</w:t>
            </w:r>
            <w:r>
              <w:rPr>
                <w:rFonts w:hint="eastAsia"/>
                <w:lang w:eastAsia="zh-CN"/>
              </w:rPr>
              <w:t>芝溪河</w:t>
            </w:r>
            <w:r>
              <w:t>。</w:t>
            </w:r>
            <w:r>
              <w:rPr>
                <w:rFonts w:hint="eastAsia"/>
                <w:lang w:val="en-US" w:eastAsia="zh-CN"/>
              </w:rPr>
              <w:t>喷漆废水暂存危废间，交由有资质的公司处置。</w:t>
            </w:r>
          </w:p>
          <w:p w14:paraId="323B3B94">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本项目</w:t>
            </w:r>
            <w:r>
              <w:rPr>
                <w:rFonts w:hint="default" w:ascii="Times New Roman" w:hAnsi="Times New Roman" w:cs="Times New Roman"/>
                <w:sz w:val="21"/>
                <w:szCs w:val="21"/>
                <w:lang w:val="en-US" w:eastAsia="zh-CN"/>
              </w:rPr>
              <w:t>废水排放汇总如表4-</w:t>
            </w:r>
            <w:r>
              <w:rPr>
                <w:rFonts w:hint="eastAsia" w:cs="Times New Roman"/>
                <w:sz w:val="21"/>
                <w:szCs w:val="21"/>
                <w:lang w:val="en-US" w:eastAsia="zh-CN"/>
              </w:rPr>
              <w:t>14</w:t>
            </w:r>
            <w:r>
              <w:rPr>
                <w:rFonts w:hint="default" w:ascii="Times New Roman" w:hAnsi="Times New Roman" w:cs="Times New Roman"/>
                <w:sz w:val="21"/>
                <w:szCs w:val="21"/>
                <w:lang w:val="en-US" w:eastAsia="zh-CN"/>
              </w:rPr>
              <w:t>所示，</w:t>
            </w:r>
            <w:r>
              <w:rPr>
                <w:rFonts w:hint="eastAsia" w:cs="Times New Roman"/>
                <w:sz w:val="21"/>
                <w:szCs w:val="21"/>
                <w:lang w:val="en-US" w:eastAsia="zh-CN"/>
              </w:rPr>
              <w:t>废水排放口基本</w:t>
            </w:r>
            <w:r>
              <w:rPr>
                <w:rFonts w:hint="default" w:ascii="Times New Roman" w:hAnsi="Times New Roman" w:cs="Times New Roman"/>
                <w:sz w:val="21"/>
                <w:szCs w:val="21"/>
              </w:rPr>
              <w:t>情况如表</w:t>
            </w:r>
            <w:r>
              <w:rPr>
                <w:rFonts w:hint="default" w:ascii="Times New Roman" w:hAnsi="Times New Roman" w:cs="Times New Roman"/>
                <w:sz w:val="21"/>
                <w:szCs w:val="21"/>
                <w:lang w:val="en-US" w:eastAsia="zh-CN"/>
              </w:rPr>
              <w:t>4-1</w:t>
            </w:r>
            <w:r>
              <w:rPr>
                <w:rFonts w:hint="eastAsia" w:cs="Times New Roman"/>
                <w:sz w:val="21"/>
                <w:szCs w:val="21"/>
                <w:lang w:val="en-US" w:eastAsia="zh-CN"/>
              </w:rPr>
              <w:t>5</w:t>
            </w:r>
            <w:r>
              <w:rPr>
                <w:rFonts w:hint="default" w:ascii="Times New Roman" w:hAnsi="Times New Roman" w:cs="Times New Roman"/>
                <w:sz w:val="21"/>
                <w:szCs w:val="21"/>
                <w:lang w:val="en-US" w:eastAsia="zh-CN"/>
              </w:rPr>
              <w:t>所示</w:t>
            </w:r>
            <w:r>
              <w:rPr>
                <w:rFonts w:hint="default" w:ascii="Times New Roman" w:hAnsi="Times New Roman" w:cs="Times New Roman"/>
                <w:sz w:val="21"/>
                <w:szCs w:val="21"/>
              </w:rPr>
              <w:t>：</w:t>
            </w:r>
          </w:p>
          <w:p w14:paraId="74494741">
            <w:pPr>
              <w:adjustRightInd w:val="0"/>
              <w:snapToGrid w:val="0"/>
              <w:spacing w:before="120" w:beforeLines="50"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表4-</w:t>
            </w:r>
            <w:r>
              <w:rPr>
                <w:rFonts w:hint="eastAsia" w:cs="Times New Roman"/>
                <w:b/>
                <w:sz w:val="21"/>
                <w:szCs w:val="21"/>
                <w:lang w:val="en-US" w:eastAsia="zh-CN"/>
              </w:rPr>
              <w:t>14</w:t>
            </w:r>
            <w:r>
              <w:rPr>
                <w:rFonts w:hint="default" w:ascii="Times New Roman" w:hAnsi="Times New Roman" w:cs="Times New Roman"/>
                <w:b/>
                <w:sz w:val="21"/>
                <w:szCs w:val="21"/>
              </w:rPr>
              <w:t>项目</w:t>
            </w:r>
            <w:r>
              <w:rPr>
                <w:rFonts w:hint="default" w:ascii="Times New Roman" w:hAnsi="Times New Roman" w:cs="Times New Roman"/>
                <w:b/>
                <w:sz w:val="21"/>
                <w:szCs w:val="21"/>
                <w:highlight w:val="none"/>
              </w:rPr>
              <w:t>废水排放情况</w:t>
            </w:r>
            <w:r>
              <w:rPr>
                <w:rFonts w:hint="default" w:ascii="Times New Roman" w:hAnsi="Times New Roman" w:cs="Times New Roman"/>
                <w:b/>
                <w:sz w:val="21"/>
                <w:szCs w:val="21"/>
              </w:rPr>
              <w:t>汇总表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93"/>
              <w:gridCol w:w="776"/>
              <w:gridCol w:w="927"/>
              <w:gridCol w:w="877"/>
              <w:gridCol w:w="1279"/>
              <w:gridCol w:w="835"/>
              <w:gridCol w:w="835"/>
              <w:gridCol w:w="835"/>
              <w:gridCol w:w="836"/>
              <w:gridCol w:w="847"/>
            </w:tblGrid>
            <w:tr w14:paraId="1DEC0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9" w:type="pct"/>
                  <w:vMerge w:val="restart"/>
                  <w:noWrap w:val="0"/>
                  <w:vAlign w:val="center"/>
                </w:tcPr>
                <w:p w14:paraId="7B472994">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污染源</w:t>
                  </w:r>
                </w:p>
              </w:tc>
              <w:tc>
                <w:tcPr>
                  <w:tcW w:w="439" w:type="pct"/>
                  <w:vMerge w:val="restart"/>
                  <w:noWrap w:val="0"/>
                  <w:vAlign w:val="center"/>
                </w:tcPr>
                <w:p w14:paraId="7E707089">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排放量</w:t>
                  </w:r>
                </w:p>
              </w:tc>
              <w:tc>
                <w:tcPr>
                  <w:tcW w:w="524" w:type="pct"/>
                  <w:vMerge w:val="restart"/>
                  <w:noWrap w:val="0"/>
                  <w:vAlign w:val="center"/>
                </w:tcPr>
                <w:p w14:paraId="22F5F6B0">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处理</w:t>
                  </w:r>
                </w:p>
                <w:p w14:paraId="0FC5605D">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措施</w:t>
                  </w:r>
                </w:p>
              </w:tc>
              <w:tc>
                <w:tcPr>
                  <w:tcW w:w="1217" w:type="pct"/>
                  <w:gridSpan w:val="2"/>
                  <w:vMerge w:val="restart"/>
                  <w:noWrap w:val="0"/>
                  <w:vAlign w:val="center"/>
                </w:tcPr>
                <w:p w14:paraId="5F983625">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处理情况</w:t>
                  </w:r>
                </w:p>
              </w:tc>
              <w:tc>
                <w:tcPr>
                  <w:tcW w:w="2368" w:type="pct"/>
                  <w:gridSpan w:val="5"/>
                  <w:noWrap w:val="0"/>
                  <w:vAlign w:val="center"/>
                </w:tcPr>
                <w:p w14:paraId="5DA2DDF7">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w:t>
                  </w:r>
                </w:p>
              </w:tc>
            </w:tr>
            <w:tr w14:paraId="6A45E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9" w:type="pct"/>
                  <w:vMerge w:val="continue"/>
                  <w:noWrap w:val="0"/>
                  <w:vAlign w:val="center"/>
                </w:tcPr>
                <w:p w14:paraId="38A5100B">
                  <w:pPr>
                    <w:jc w:val="center"/>
                    <w:rPr>
                      <w:rFonts w:hint="default" w:ascii="Times New Roman" w:hAnsi="Times New Roman" w:cs="Times New Roman"/>
                      <w:b/>
                      <w:color w:val="auto"/>
                      <w:szCs w:val="21"/>
                    </w:rPr>
                  </w:pPr>
                </w:p>
              </w:tc>
              <w:tc>
                <w:tcPr>
                  <w:tcW w:w="439" w:type="pct"/>
                  <w:vMerge w:val="continue"/>
                  <w:noWrap w:val="0"/>
                  <w:vAlign w:val="center"/>
                </w:tcPr>
                <w:p w14:paraId="18B42C4E">
                  <w:pPr>
                    <w:jc w:val="center"/>
                    <w:rPr>
                      <w:rFonts w:hint="default" w:ascii="Times New Roman" w:hAnsi="Times New Roman" w:cs="Times New Roman"/>
                      <w:b/>
                      <w:color w:val="auto"/>
                      <w:szCs w:val="21"/>
                    </w:rPr>
                  </w:pPr>
                </w:p>
              </w:tc>
              <w:tc>
                <w:tcPr>
                  <w:tcW w:w="524" w:type="pct"/>
                  <w:vMerge w:val="continue"/>
                  <w:noWrap w:val="0"/>
                  <w:vAlign w:val="center"/>
                </w:tcPr>
                <w:p w14:paraId="0452D173">
                  <w:pPr>
                    <w:jc w:val="center"/>
                    <w:rPr>
                      <w:rFonts w:hint="default" w:ascii="Times New Roman" w:hAnsi="Times New Roman" w:cs="Times New Roman"/>
                      <w:b/>
                      <w:color w:val="auto"/>
                      <w:szCs w:val="21"/>
                    </w:rPr>
                  </w:pPr>
                </w:p>
              </w:tc>
              <w:tc>
                <w:tcPr>
                  <w:tcW w:w="1217" w:type="pct"/>
                  <w:gridSpan w:val="2"/>
                  <w:vMerge w:val="continue"/>
                  <w:noWrap w:val="0"/>
                  <w:vAlign w:val="center"/>
                </w:tcPr>
                <w:p w14:paraId="0E4C3C50">
                  <w:pPr>
                    <w:jc w:val="center"/>
                    <w:rPr>
                      <w:rFonts w:hint="default" w:ascii="Times New Roman" w:hAnsi="Times New Roman" w:cs="Times New Roman"/>
                      <w:b/>
                      <w:color w:val="auto"/>
                      <w:szCs w:val="21"/>
                    </w:rPr>
                  </w:pPr>
                </w:p>
              </w:tc>
              <w:tc>
                <w:tcPr>
                  <w:tcW w:w="472" w:type="pct"/>
                  <w:noWrap w:val="0"/>
                  <w:vAlign w:val="center"/>
                </w:tcPr>
                <w:p w14:paraId="20B81304">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COD</w:t>
                  </w:r>
                </w:p>
              </w:tc>
              <w:tc>
                <w:tcPr>
                  <w:tcW w:w="472" w:type="pct"/>
                  <w:noWrap w:val="0"/>
                  <w:vAlign w:val="center"/>
                </w:tcPr>
                <w:p w14:paraId="1EA43B2B">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BOD</w:t>
                  </w:r>
                </w:p>
              </w:tc>
              <w:tc>
                <w:tcPr>
                  <w:tcW w:w="472" w:type="pct"/>
                  <w:noWrap w:val="0"/>
                  <w:vAlign w:val="center"/>
                </w:tcPr>
                <w:p w14:paraId="660D39C0">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SS</w:t>
                  </w:r>
                </w:p>
              </w:tc>
              <w:tc>
                <w:tcPr>
                  <w:tcW w:w="473" w:type="pct"/>
                  <w:noWrap w:val="0"/>
                  <w:vAlign w:val="center"/>
                </w:tcPr>
                <w:p w14:paraId="37D074D4">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氨氮</w:t>
                  </w:r>
                </w:p>
              </w:tc>
              <w:tc>
                <w:tcPr>
                  <w:tcW w:w="476" w:type="pct"/>
                  <w:noWrap w:val="0"/>
                  <w:vAlign w:val="center"/>
                </w:tcPr>
                <w:p w14:paraId="5AF62CBC">
                  <w:pPr>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eastAsia="zh-CN"/>
                    </w:rPr>
                    <w:t>总磷</w:t>
                  </w:r>
                </w:p>
              </w:tc>
            </w:tr>
            <w:tr w14:paraId="09F68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9" w:type="pct"/>
                  <w:vMerge w:val="restart"/>
                  <w:noWrap w:val="0"/>
                  <w:vAlign w:val="center"/>
                </w:tcPr>
                <w:p w14:paraId="232E5A70">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生活</w:t>
                  </w:r>
                </w:p>
                <w:p w14:paraId="259DC339">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污水</w:t>
                  </w:r>
                  <w:r>
                    <w:rPr>
                      <w:rFonts w:hint="eastAsia" w:ascii="Times New Roman" w:hAnsi="Times New Roman" w:cs="Times New Roman"/>
                      <w:bCs/>
                      <w:color w:val="auto"/>
                      <w:szCs w:val="21"/>
                      <w:lang w:val="en-US" w:eastAsia="zh-CN"/>
                    </w:rPr>
                    <w:t>+生产废水</w:t>
                  </w:r>
                </w:p>
              </w:tc>
              <w:tc>
                <w:tcPr>
                  <w:tcW w:w="439" w:type="pct"/>
                  <w:vMerge w:val="restart"/>
                  <w:noWrap w:val="0"/>
                  <w:vAlign w:val="center"/>
                </w:tcPr>
                <w:p w14:paraId="0EC37989">
                  <w:pPr>
                    <w:jc w:val="center"/>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863.12</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/a</w:t>
                  </w:r>
                </w:p>
              </w:tc>
              <w:tc>
                <w:tcPr>
                  <w:tcW w:w="524" w:type="pct"/>
                  <w:vMerge w:val="restart"/>
                  <w:noWrap w:val="0"/>
                  <w:vAlign w:val="center"/>
                </w:tcPr>
                <w:p w14:paraId="55BEF3DF">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污水预处理池</w:t>
                  </w:r>
                </w:p>
              </w:tc>
              <w:tc>
                <w:tcPr>
                  <w:tcW w:w="495" w:type="pct"/>
                  <w:vMerge w:val="restart"/>
                  <w:noWrap w:val="0"/>
                  <w:vAlign w:val="center"/>
                </w:tcPr>
                <w:p w14:paraId="15E65149">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处理前</w:t>
                  </w:r>
                </w:p>
              </w:tc>
              <w:tc>
                <w:tcPr>
                  <w:tcW w:w="722" w:type="pct"/>
                  <w:noWrap w:val="0"/>
                  <w:vAlign w:val="center"/>
                </w:tcPr>
                <w:p w14:paraId="492B9C05">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产生浓度 mg/L</w:t>
                  </w:r>
                </w:p>
              </w:tc>
              <w:tc>
                <w:tcPr>
                  <w:tcW w:w="472" w:type="pct"/>
                  <w:noWrap w:val="0"/>
                  <w:vAlign w:val="center"/>
                </w:tcPr>
                <w:p w14:paraId="31E4F28F">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500</w:t>
                  </w:r>
                </w:p>
              </w:tc>
              <w:tc>
                <w:tcPr>
                  <w:tcW w:w="472" w:type="pct"/>
                  <w:noWrap w:val="0"/>
                  <w:vAlign w:val="center"/>
                </w:tcPr>
                <w:p w14:paraId="07C5DE5D">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r>
                    <w:rPr>
                      <w:rFonts w:hint="eastAsia" w:ascii="Times New Roman" w:hAnsi="Times New Roman" w:cs="Times New Roman"/>
                      <w:bCs/>
                      <w:color w:val="auto"/>
                      <w:szCs w:val="21"/>
                      <w:lang w:val="en-US" w:eastAsia="zh-CN"/>
                    </w:rPr>
                    <w:t>5</w:t>
                  </w:r>
                  <w:r>
                    <w:rPr>
                      <w:rFonts w:hint="default" w:ascii="Times New Roman" w:hAnsi="Times New Roman" w:cs="Times New Roman"/>
                      <w:bCs/>
                      <w:color w:val="auto"/>
                      <w:szCs w:val="21"/>
                    </w:rPr>
                    <w:t>0</w:t>
                  </w:r>
                </w:p>
              </w:tc>
              <w:tc>
                <w:tcPr>
                  <w:tcW w:w="472" w:type="pct"/>
                  <w:noWrap w:val="0"/>
                  <w:vAlign w:val="center"/>
                </w:tcPr>
                <w:p w14:paraId="60678858">
                  <w:pPr>
                    <w:jc w:val="center"/>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4</w:t>
                  </w:r>
                  <w:r>
                    <w:rPr>
                      <w:rFonts w:hint="default" w:ascii="Times New Roman" w:hAnsi="Times New Roman" w:cs="Times New Roman"/>
                      <w:bCs/>
                      <w:color w:val="auto"/>
                      <w:szCs w:val="21"/>
                    </w:rPr>
                    <w:t>50</w:t>
                  </w:r>
                </w:p>
              </w:tc>
              <w:tc>
                <w:tcPr>
                  <w:tcW w:w="473" w:type="pct"/>
                  <w:noWrap w:val="0"/>
                  <w:vAlign w:val="center"/>
                </w:tcPr>
                <w:p w14:paraId="6BA2501C">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45</w:t>
                  </w:r>
                </w:p>
              </w:tc>
              <w:tc>
                <w:tcPr>
                  <w:tcW w:w="476" w:type="pct"/>
                  <w:noWrap w:val="0"/>
                  <w:vAlign w:val="center"/>
                </w:tcPr>
                <w:p w14:paraId="35A0F4B9">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10</w:t>
                  </w:r>
                </w:p>
              </w:tc>
            </w:tr>
            <w:tr w14:paraId="41F8D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9" w:type="pct"/>
                  <w:vMerge w:val="continue"/>
                  <w:noWrap w:val="0"/>
                  <w:vAlign w:val="center"/>
                </w:tcPr>
                <w:p w14:paraId="12995960">
                  <w:pPr>
                    <w:jc w:val="center"/>
                    <w:rPr>
                      <w:rFonts w:hint="default" w:ascii="Times New Roman" w:hAnsi="Times New Roman" w:cs="Times New Roman"/>
                      <w:bCs/>
                      <w:color w:val="auto"/>
                      <w:szCs w:val="21"/>
                    </w:rPr>
                  </w:pPr>
                </w:p>
              </w:tc>
              <w:tc>
                <w:tcPr>
                  <w:tcW w:w="439" w:type="pct"/>
                  <w:vMerge w:val="continue"/>
                  <w:noWrap w:val="0"/>
                  <w:vAlign w:val="center"/>
                </w:tcPr>
                <w:p w14:paraId="39ECF0D6">
                  <w:pPr>
                    <w:jc w:val="center"/>
                    <w:rPr>
                      <w:rFonts w:hint="default" w:ascii="Times New Roman" w:hAnsi="Times New Roman" w:cs="Times New Roman"/>
                      <w:bCs/>
                      <w:color w:val="auto"/>
                      <w:szCs w:val="21"/>
                    </w:rPr>
                  </w:pPr>
                </w:p>
              </w:tc>
              <w:tc>
                <w:tcPr>
                  <w:tcW w:w="524" w:type="pct"/>
                  <w:vMerge w:val="continue"/>
                  <w:noWrap w:val="0"/>
                  <w:vAlign w:val="center"/>
                </w:tcPr>
                <w:p w14:paraId="69BC01B8">
                  <w:pPr>
                    <w:jc w:val="center"/>
                    <w:rPr>
                      <w:rFonts w:hint="default" w:ascii="Times New Roman" w:hAnsi="Times New Roman" w:cs="Times New Roman"/>
                      <w:bCs/>
                      <w:color w:val="auto"/>
                      <w:szCs w:val="21"/>
                    </w:rPr>
                  </w:pPr>
                </w:p>
              </w:tc>
              <w:tc>
                <w:tcPr>
                  <w:tcW w:w="495" w:type="pct"/>
                  <w:vMerge w:val="continue"/>
                  <w:noWrap w:val="0"/>
                  <w:vAlign w:val="center"/>
                </w:tcPr>
                <w:p w14:paraId="2FDB7BA3">
                  <w:pPr>
                    <w:jc w:val="center"/>
                    <w:rPr>
                      <w:rFonts w:hint="default" w:ascii="Times New Roman" w:hAnsi="Times New Roman" w:cs="Times New Roman"/>
                      <w:bCs/>
                      <w:color w:val="auto"/>
                      <w:szCs w:val="21"/>
                    </w:rPr>
                  </w:pPr>
                </w:p>
              </w:tc>
              <w:tc>
                <w:tcPr>
                  <w:tcW w:w="722" w:type="pct"/>
                  <w:noWrap w:val="0"/>
                  <w:vAlign w:val="center"/>
                </w:tcPr>
                <w:p w14:paraId="34B5FD13">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产生量 t/a</w:t>
                  </w:r>
                </w:p>
              </w:tc>
              <w:tc>
                <w:tcPr>
                  <w:tcW w:w="472" w:type="pct"/>
                  <w:noWrap w:val="0"/>
                  <w:vAlign w:val="center"/>
                </w:tcPr>
                <w:p w14:paraId="672EA83C">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0.4316</w:t>
                  </w:r>
                </w:p>
              </w:tc>
              <w:tc>
                <w:tcPr>
                  <w:tcW w:w="472" w:type="pct"/>
                  <w:noWrap w:val="0"/>
                  <w:vAlign w:val="center"/>
                </w:tcPr>
                <w:p w14:paraId="0725454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0.3021</w:t>
                  </w:r>
                </w:p>
              </w:tc>
              <w:tc>
                <w:tcPr>
                  <w:tcW w:w="472" w:type="pct"/>
                  <w:noWrap w:val="0"/>
                  <w:vAlign w:val="center"/>
                </w:tcPr>
                <w:p w14:paraId="1064DBCC">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0.3884</w:t>
                  </w:r>
                </w:p>
              </w:tc>
              <w:tc>
                <w:tcPr>
                  <w:tcW w:w="473" w:type="pct"/>
                  <w:noWrap w:val="0"/>
                  <w:vAlign w:val="center"/>
                </w:tcPr>
                <w:p w14:paraId="4AB20C7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0.0388</w:t>
                  </w:r>
                </w:p>
              </w:tc>
              <w:tc>
                <w:tcPr>
                  <w:tcW w:w="476" w:type="pct"/>
                  <w:noWrap w:val="0"/>
                  <w:vAlign w:val="center"/>
                </w:tcPr>
                <w:p w14:paraId="332AB20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0.0086</w:t>
                  </w:r>
                </w:p>
              </w:tc>
            </w:tr>
            <w:tr w14:paraId="3BE53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9" w:type="pct"/>
                  <w:vMerge w:val="continue"/>
                  <w:noWrap w:val="0"/>
                  <w:vAlign w:val="center"/>
                </w:tcPr>
                <w:p w14:paraId="3DEA9155">
                  <w:pPr>
                    <w:jc w:val="center"/>
                    <w:rPr>
                      <w:rFonts w:hint="default" w:ascii="Times New Roman" w:hAnsi="Times New Roman" w:cs="Times New Roman"/>
                      <w:bCs/>
                      <w:color w:val="auto"/>
                      <w:szCs w:val="21"/>
                    </w:rPr>
                  </w:pPr>
                </w:p>
              </w:tc>
              <w:tc>
                <w:tcPr>
                  <w:tcW w:w="439" w:type="pct"/>
                  <w:vMerge w:val="continue"/>
                  <w:noWrap w:val="0"/>
                  <w:vAlign w:val="center"/>
                </w:tcPr>
                <w:p w14:paraId="3F83EEE1">
                  <w:pPr>
                    <w:jc w:val="center"/>
                    <w:rPr>
                      <w:rFonts w:hint="default" w:ascii="Times New Roman" w:hAnsi="Times New Roman" w:cs="Times New Roman"/>
                      <w:bCs/>
                      <w:color w:val="auto"/>
                      <w:szCs w:val="21"/>
                    </w:rPr>
                  </w:pPr>
                </w:p>
              </w:tc>
              <w:tc>
                <w:tcPr>
                  <w:tcW w:w="524" w:type="pct"/>
                  <w:vMerge w:val="continue"/>
                  <w:noWrap w:val="0"/>
                  <w:vAlign w:val="center"/>
                </w:tcPr>
                <w:p w14:paraId="225DBEEE">
                  <w:pPr>
                    <w:jc w:val="center"/>
                    <w:rPr>
                      <w:rFonts w:hint="default" w:ascii="Times New Roman" w:hAnsi="Times New Roman" w:cs="Times New Roman"/>
                      <w:bCs/>
                      <w:color w:val="auto"/>
                      <w:szCs w:val="21"/>
                    </w:rPr>
                  </w:pPr>
                </w:p>
              </w:tc>
              <w:tc>
                <w:tcPr>
                  <w:tcW w:w="495" w:type="pct"/>
                  <w:vMerge w:val="restart"/>
                  <w:noWrap w:val="0"/>
                  <w:vAlign w:val="center"/>
                </w:tcPr>
                <w:p w14:paraId="6A496032">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处理后</w:t>
                  </w:r>
                </w:p>
              </w:tc>
              <w:tc>
                <w:tcPr>
                  <w:tcW w:w="722" w:type="pct"/>
                  <w:noWrap w:val="0"/>
                  <w:vAlign w:val="center"/>
                </w:tcPr>
                <w:p w14:paraId="24068214">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排放浓度 mg/L</w:t>
                  </w:r>
                </w:p>
              </w:tc>
              <w:tc>
                <w:tcPr>
                  <w:tcW w:w="472" w:type="pct"/>
                  <w:noWrap w:val="0"/>
                  <w:vAlign w:val="center"/>
                </w:tcPr>
                <w:p w14:paraId="4B609BAB">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450</w:t>
                  </w:r>
                </w:p>
              </w:tc>
              <w:tc>
                <w:tcPr>
                  <w:tcW w:w="472" w:type="pct"/>
                  <w:noWrap w:val="0"/>
                  <w:vAlign w:val="center"/>
                </w:tcPr>
                <w:p w14:paraId="6C683B89">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300</w:t>
                  </w:r>
                </w:p>
              </w:tc>
              <w:tc>
                <w:tcPr>
                  <w:tcW w:w="472" w:type="pct"/>
                  <w:noWrap w:val="0"/>
                  <w:vAlign w:val="center"/>
                </w:tcPr>
                <w:p w14:paraId="1354BDC6">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400</w:t>
                  </w:r>
                </w:p>
              </w:tc>
              <w:tc>
                <w:tcPr>
                  <w:tcW w:w="473" w:type="pct"/>
                  <w:noWrap w:val="0"/>
                  <w:vAlign w:val="center"/>
                </w:tcPr>
                <w:p w14:paraId="24F530B0">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45</w:t>
                  </w:r>
                </w:p>
              </w:tc>
              <w:tc>
                <w:tcPr>
                  <w:tcW w:w="476" w:type="pct"/>
                  <w:noWrap w:val="0"/>
                  <w:vAlign w:val="center"/>
                </w:tcPr>
                <w:p w14:paraId="1ADC9073">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8</w:t>
                  </w:r>
                </w:p>
              </w:tc>
            </w:tr>
            <w:tr w14:paraId="1F280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9" w:type="pct"/>
                  <w:vMerge w:val="continue"/>
                  <w:noWrap w:val="0"/>
                  <w:vAlign w:val="center"/>
                </w:tcPr>
                <w:p w14:paraId="7BFD5C57">
                  <w:pPr>
                    <w:jc w:val="center"/>
                    <w:rPr>
                      <w:rFonts w:hint="default" w:ascii="Times New Roman" w:hAnsi="Times New Roman" w:cs="Times New Roman"/>
                      <w:bCs/>
                      <w:color w:val="auto"/>
                      <w:szCs w:val="21"/>
                    </w:rPr>
                  </w:pPr>
                </w:p>
              </w:tc>
              <w:tc>
                <w:tcPr>
                  <w:tcW w:w="439" w:type="pct"/>
                  <w:vMerge w:val="continue"/>
                  <w:noWrap w:val="0"/>
                  <w:vAlign w:val="center"/>
                </w:tcPr>
                <w:p w14:paraId="2DAC18EB">
                  <w:pPr>
                    <w:jc w:val="center"/>
                    <w:rPr>
                      <w:rFonts w:hint="default" w:ascii="Times New Roman" w:hAnsi="Times New Roman" w:cs="Times New Roman"/>
                      <w:bCs/>
                      <w:color w:val="auto"/>
                      <w:szCs w:val="21"/>
                    </w:rPr>
                  </w:pPr>
                </w:p>
              </w:tc>
              <w:tc>
                <w:tcPr>
                  <w:tcW w:w="524" w:type="pct"/>
                  <w:vMerge w:val="continue"/>
                  <w:noWrap w:val="0"/>
                  <w:vAlign w:val="center"/>
                </w:tcPr>
                <w:p w14:paraId="1E68F6E9">
                  <w:pPr>
                    <w:jc w:val="center"/>
                    <w:rPr>
                      <w:rFonts w:hint="default" w:ascii="Times New Roman" w:hAnsi="Times New Roman" w:cs="Times New Roman"/>
                      <w:bCs/>
                      <w:color w:val="auto"/>
                      <w:szCs w:val="21"/>
                    </w:rPr>
                  </w:pPr>
                </w:p>
              </w:tc>
              <w:tc>
                <w:tcPr>
                  <w:tcW w:w="495" w:type="pct"/>
                  <w:vMerge w:val="continue"/>
                  <w:noWrap w:val="0"/>
                  <w:vAlign w:val="center"/>
                </w:tcPr>
                <w:p w14:paraId="4A9B6420">
                  <w:pPr>
                    <w:jc w:val="center"/>
                    <w:rPr>
                      <w:rFonts w:hint="default" w:ascii="Times New Roman" w:hAnsi="Times New Roman" w:cs="Times New Roman"/>
                      <w:bCs/>
                      <w:color w:val="auto"/>
                      <w:szCs w:val="21"/>
                    </w:rPr>
                  </w:pPr>
                </w:p>
              </w:tc>
              <w:tc>
                <w:tcPr>
                  <w:tcW w:w="722" w:type="pct"/>
                  <w:noWrap w:val="0"/>
                  <w:vAlign w:val="center"/>
                </w:tcPr>
                <w:p w14:paraId="2AB5902B">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排放量 t/a</w:t>
                  </w:r>
                </w:p>
              </w:tc>
              <w:tc>
                <w:tcPr>
                  <w:tcW w:w="472" w:type="pct"/>
                  <w:noWrap w:val="0"/>
                  <w:vAlign w:val="center"/>
                </w:tcPr>
                <w:p w14:paraId="0CD024F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0.3884</w:t>
                  </w:r>
                </w:p>
              </w:tc>
              <w:tc>
                <w:tcPr>
                  <w:tcW w:w="472" w:type="pct"/>
                  <w:noWrap w:val="0"/>
                  <w:vAlign w:val="center"/>
                </w:tcPr>
                <w:p w14:paraId="4E2B9FC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0.0259</w:t>
                  </w:r>
                </w:p>
              </w:tc>
              <w:tc>
                <w:tcPr>
                  <w:tcW w:w="472" w:type="pct"/>
                  <w:noWrap w:val="0"/>
                  <w:vAlign w:val="center"/>
                </w:tcPr>
                <w:p w14:paraId="1DBD7C79">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0.3452</w:t>
                  </w:r>
                </w:p>
              </w:tc>
              <w:tc>
                <w:tcPr>
                  <w:tcW w:w="473" w:type="pct"/>
                  <w:noWrap w:val="0"/>
                  <w:vAlign w:val="center"/>
                </w:tcPr>
                <w:p w14:paraId="36AAAFB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0.0388</w:t>
                  </w:r>
                </w:p>
              </w:tc>
              <w:tc>
                <w:tcPr>
                  <w:tcW w:w="476" w:type="pct"/>
                  <w:noWrap w:val="0"/>
                  <w:vAlign w:val="center"/>
                </w:tcPr>
                <w:p w14:paraId="1951E1B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0.0069</w:t>
                  </w:r>
                </w:p>
              </w:tc>
            </w:tr>
            <w:tr w14:paraId="4644A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08" w:type="pct"/>
                  <w:gridSpan w:val="4"/>
                  <w:vMerge w:val="restart"/>
                  <w:noWrap w:val="0"/>
                  <w:vAlign w:val="center"/>
                </w:tcPr>
                <w:p w14:paraId="4691BD57">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蓬溪县经济开发区废水处理厂排口</w:t>
                  </w:r>
                </w:p>
              </w:tc>
              <w:tc>
                <w:tcPr>
                  <w:tcW w:w="722" w:type="pct"/>
                  <w:noWrap w:val="0"/>
                  <w:vAlign w:val="center"/>
                </w:tcPr>
                <w:p w14:paraId="741A5957">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排放浓度 mg/L</w:t>
                  </w:r>
                </w:p>
              </w:tc>
              <w:tc>
                <w:tcPr>
                  <w:tcW w:w="472" w:type="pct"/>
                  <w:noWrap w:val="0"/>
                  <w:vAlign w:val="center"/>
                </w:tcPr>
                <w:p w14:paraId="33258495">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w:t>
                  </w:r>
                </w:p>
              </w:tc>
              <w:tc>
                <w:tcPr>
                  <w:tcW w:w="472" w:type="pct"/>
                  <w:noWrap w:val="0"/>
                  <w:vAlign w:val="center"/>
                </w:tcPr>
                <w:p w14:paraId="70CB6357">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c>
                <w:tcPr>
                  <w:tcW w:w="472" w:type="pct"/>
                  <w:noWrap w:val="0"/>
                  <w:vAlign w:val="center"/>
                </w:tcPr>
                <w:p w14:paraId="742E67D1">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c>
                <w:tcPr>
                  <w:tcW w:w="473" w:type="pct"/>
                  <w:noWrap w:val="0"/>
                  <w:vAlign w:val="center"/>
                </w:tcPr>
                <w:p w14:paraId="4FB98C07">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w:t>
                  </w:r>
                </w:p>
              </w:tc>
              <w:tc>
                <w:tcPr>
                  <w:tcW w:w="476" w:type="pct"/>
                  <w:noWrap w:val="0"/>
                  <w:vAlign w:val="center"/>
                </w:tcPr>
                <w:p w14:paraId="37416FE5">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0.5</w:t>
                  </w:r>
                </w:p>
              </w:tc>
            </w:tr>
            <w:tr w14:paraId="3AFA3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08" w:type="pct"/>
                  <w:gridSpan w:val="4"/>
                  <w:vMerge w:val="continue"/>
                  <w:noWrap w:val="0"/>
                  <w:vAlign w:val="center"/>
                </w:tcPr>
                <w:p w14:paraId="6AA5BC53">
                  <w:pPr>
                    <w:jc w:val="center"/>
                    <w:rPr>
                      <w:rFonts w:hint="default" w:ascii="Times New Roman" w:hAnsi="Times New Roman" w:cs="Times New Roman"/>
                      <w:bCs/>
                      <w:color w:val="auto"/>
                      <w:szCs w:val="21"/>
                    </w:rPr>
                  </w:pPr>
                </w:p>
              </w:tc>
              <w:tc>
                <w:tcPr>
                  <w:tcW w:w="722" w:type="pct"/>
                  <w:noWrap w:val="0"/>
                  <w:vAlign w:val="center"/>
                </w:tcPr>
                <w:p w14:paraId="1256B233">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排放量 t/a</w:t>
                  </w:r>
                </w:p>
              </w:tc>
              <w:tc>
                <w:tcPr>
                  <w:tcW w:w="472" w:type="pct"/>
                  <w:noWrap w:val="0"/>
                  <w:vAlign w:val="center"/>
                </w:tcPr>
                <w:p w14:paraId="29F717D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0.0432</w:t>
                  </w:r>
                </w:p>
              </w:tc>
              <w:tc>
                <w:tcPr>
                  <w:tcW w:w="472" w:type="pct"/>
                  <w:noWrap w:val="0"/>
                  <w:vAlign w:val="center"/>
                </w:tcPr>
                <w:p w14:paraId="68269565">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0.0086</w:t>
                  </w:r>
                </w:p>
              </w:tc>
              <w:tc>
                <w:tcPr>
                  <w:tcW w:w="472" w:type="pct"/>
                  <w:noWrap w:val="0"/>
                  <w:vAlign w:val="center"/>
                </w:tcPr>
                <w:p w14:paraId="44BFDFCD">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0.086</w:t>
                  </w:r>
                </w:p>
              </w:tc>
              <w:tc>
                <w:tcPr>
                  <w:tcW w:w="473" w:type="pct"/>
                  <w:noWrap w:val="0"/>
                  <w:vAlign w:val="center"/>
                </w:tcPr>
                <w:p w14:paraId="18B6C99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0.0043</w:t>
                  </w:r>
                </w:p>
              </w:tc>
              <w:tc>
                <w:tcPr>
                  <w:tcW w:w="476" w:type="pct"/>
                  <w:noWrap w:val="0"/>
                  <w:vAlign w:val="center"/>
                </w:tcPr>
                <w:p w14:paraId="4622E8F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0.0004</w:t>
                  </w:r>
                </w:p>
              </w:tc>
            </w:tr>
            <w:tr w14:paraId="6A033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31" w:type="pct"/>
                  <w:gridSpan w:val="5"/>
                  <w:noWrap w:val="0"/>
                  <w:vAlign w:val="center"/>
                </w:tcPr>
                <w:p w14:paraId="56D763E0">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《污水综合排放标准》（GB8978-1996）中三级标准 m/L</w:t>
                  </w:r>
                </w:p>
              </w:tc>
              <w:tc>
                <w:tcPr>
                  <w:tcW w:w="472" w:type="pct"/>
                  <w:noWrap w:val="0"/>
                  <w:vAlign w:val="center"/>
                </w:tcPr>
                <w:p w14:paraId="7933B84A">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500</w:t>
                  </w:r>
                </w:p>
              </w:tc>
              <w:tc>
                <w:tcPr>
                  <w:tcW w:w="472" w:type="pct"/>
                  <w:noWrap w:val="0"/>
                  <w:vAlign w:val="center"/>
                </w:tcPr>
                <w:p w14:paraId="4A6E5CFA">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300</w:t>
                  </w:r>
                </w:p>
              </w:tc>
              <w:tc>
                <w:tcPr>
                  <w:tcW w:w="472" w:type="pct"/>
                  <w:noWrap w:val="0"/>
                  <w:vAlign w:val="center"/>
                </w:tcPr>
                <w:p w14:paraId="53CC897C">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400</w:t>
                  </w:r>
                </w:p>
              </w:tc>
              <w:tc>
                <w:tcPr>
                  <w:tcW w:w="473" w:type="pct"/>
                  <w:noWrap w:val="0"/>
                  <w:vAlign w:val="center"/>
                </w:tcPr>
                <w:p w14:paraId="5901A629">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45</w:t>
                  </w:r>
                </w:p>
              </w:tc>
              <w:tc>
                <w:tcPr>
                  <w:tcW w:w="476" w:type="pct"/>
                  <w:noWrap w:val="0"/>
                  <w:vAlign w:val="center"/>
                </w:tcPr>
                <w:p w14:paraId="75E61D39">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8</w:t>
                  </w:r>
                </w:p>
              </w:tc>
            </w:tr>
            <w:tr w14:paraId="2C1B6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31" w:type="pct"/>
                  <w:gridSpan w:val="5"/>
                  <w:noWrap w:val="0"/>
                  <w:vAlign w:val="center"/>
                </w:tcPr>
                <w:p w14:paraId="4B75723E">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《城镇污水处理厂污染物排放标准》（GB18918-2002）中一级A标 mg/L</w:t>
                  </w:r>
                </w:p>
              </w:tc>
              <w:tc>
                <w:tcPr>
                  <w:tcW w:w="472" w:type="pct"/>
                  <w:noWrap w:val="0"/>
                  <w:vAlign w:val="center"/>
                </w:tcPr>
                <w:p w14:paraId="1D8DCE55">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w:t>
                  </w:r>
                </w:p>
              </w:tc>
              <w:tc>
                <w:tcPr>
                  <w:tcW w:w="472" w:type="pct"/>
                  <w:noWrap w:val="0"/>
                  <w:vAlign w:val="center"/>
                </w:tcPr>
                <w:p w14:paraId="3805F378">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c>
                <w:tcPr>
                  <w:tcW w:w="472" w:type="pct"/>
                  <w:noWrap w:val="0"/>
                  <w:vAlign w:val="center"/>
                </w:tcPr>
                <w:p w14:paraId="2A08D389">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c>
                <w:tcPr>
                  <w:tcW w:w="473" w:type="pct"/>
                  <w:noWrap w:val="0"/>
                  <w:vAlign w:val="center"/>
                </w:tcPr>
                <w:p w14:paraId="21100F67">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w:t>
                  </w:r>
                </w:p>
              </w:tc>
              <w:tc>
                <w:tcPr>
                  <w:tcW w:w="476" w:type="pct"/>
                  <w:noWrap w:val="0"/>
                  <w:vAlign w:val="center"/>
                </w:tcPr>
                <w:p w14:paraId="14A54DC4">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0.5</w:t>
                  </w:r>
                </w:p>
              </w:tc>
            </w:tr>
          </w:tbl>
          <w:p w14:paraId="1518BB41">
            <w:pPr>
              <w:spacing w:line="420" w:lineRule="auto"/>
              <w:ind w:firstLine="480"/>
              <w:rPr>
                <w:rFonts w:hint="default" w:ascii="Times New Roman" w:hAnsi="Times New Roman" w:cs="Times New Roman"/>
                <w:b/>
                <w:bCs/>
                <w:sz w:val="21"/>
                <w:szCs w:val="21"/>
              </w:rPr>
            </w:pPr>
            <w:r>
              <w:rPr>
                <w:rFonts w:hint="eastAsia" w:cs="Times New Roman"/>
                <w:b/>
                <w:bCs/>
                <w:sz w:val="21"/>
                <w:szCs w:val="21"/>
                <w:lang w:eastAsia="zh-CN"/>
              </w:rPr>
              <w:t>（</w:t>
            </w:r>
            <w:r>
              <w:rPr>
                <w:rFonts w:hint="eastAsia" w:cs="Times New Roman"/>
                <w:b/>
                <w:bCs/>
                <w:sz w:val="21"/>
                <w:szCs w:val="21"/>
                <w:lang w:val="en-US" w:eastAsia="zh-CN"/>
              </w:rPr>
              <w:t>3</w:t>
            </w:r>
            <w:r>
              <w:rPr>
                <w:rFonts w:hint="eastAsia" w:cs="Times New Roman"/>
                <w:b/>
                <w:bCs/>
                <w:sz w:val="21"/>
                <w:szCs w:val="21"/>
                <w:lang w:eastAsia="zh-CN"/>
              </w:rPr>
              <w:t>）</w:t>
            </w:r>
            <w:r>
              <w:rPr>
                <w:rFonts w:hint="default" w:ascii="Times New Roman" w:hAnsi="Times New Roman" w:cs="Times New Roman"/>
                <w:b/>
                <w:bCs/>
                <w:sz w:val="21"/>
                <w:szCs w:val="21"/>
              </w:rPr>
              <w:t>废水治理措施可行性：</w:t>
            </w:r>
          </w:p>
          <w:p w14:paraId="5295118D">
            <w:pPr>
              <w:tabs>
                <w:tab w:val="left" w:pos="820"/>
              </w:tabs>
              <w:spacing w:line="42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本项目污水排放量为</w:t>
            </w:r>
            <w:r>
              <w:rPr>
                <w:rFonts w:hint="default" w:ascii="Times New Roman" w:hAnsi="Times New Roman" w:cs="Times New Roman"/>
                <w:sz w:val="21"/>
                <w:szCs w:val="21"/>
                <w:lang w:val="en-US" w:eastAsia="zh-CN"/>
              </w:rPr>
              <w:t>2.</w:t>
            </w:r>
            <w:r>
              <w:rPr>
                <w:rFonts w:hint="eastAsia" w:cs="Times New Roman"/>
                <w:sz w:val="21"/>
                <w:szCs w:val="21"/>
                <w:lang w:val="en-US" w:eastAsia="zh-CN"/>
              </w:rPr>
              <w:t>878</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/d，主要污染物为COD、BOD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-N、TP、TN。</w:t>
            </w:r>
            <w:r>
              <w:rPr>
                <w:rFonts w:hint="default" w:ascii="Times New Roman" w:hAnsi="Times New Roman" w:cs="Times New Roman"/>
                <w:sz w:val="21"/>
                <w:szCs w:val="21"/>
                <w:lang w:val="en-US" w:eastAsia="zh-CN"/>
              </w:rPr>
              <w:t>项目生产生活废水</w:t>
            </w:r>
            <w:r>
              <w:rPr>
                <w:rFonts w:hint="eastAsia" w:cs="Times New Roman"/>
                <w:sz w:val="21"/>
                <w:szCs w:val="21"/>
                <w:lang w:val="en-US" w:eastAsia="zh-CN"/>
              </w:rPr>
              <w:t>、</w:t>
            </w:r>
            <w:r>
              <w:rPr>
                <w:rFonts w:hint="eastAsia" w:ascii="宋体" w:hAnsi="宋体" w:eastAsia="宋体" w:cs="宋体"/>
                <w:color w:val="auto"/>
                <w:kern w:val="0"/>
                <w:sz w:val="21"/>
                <w:szCs w:val="21"/>
                <w:highlight w:val="none"/>
                <w:lang w:val="en-US" w:eastAsia="zh-CN" w:bidi="ar"/>
              </w:rPr>
              <w:t>注塑循环冷却</w:t>
            </w:r>
            <w:r>
              <w:rPr>
                <w:rFonts w:hint="eastAsia" w:ascii="宋体" w:hAnsi="宋体" w:cs="宋体"/>
                <w:color w:val="auto"/>
                <w:kern w:val="0"/>
                <w:sz w:val="21"/>
                <w:szCs w:val="21"/>
                <w:highlight w:val="none"/>
                <w:lang w:val="en-US" w:eastAsia="zh-CN" w:bidi="ar"/>
              </w:rPr>
              <w:t>废水、</w:t>
            </w:r>
            <w:r>
              <w:rPr>
                <w:rFonts w:ascii="Times New Roman" w:hAnsi="Times New Roman" w:eastAsia="宋体"/>
                <w:b w:val="0"/>
                <w:color w:val="auto"/>
                <w:sz w:val="21"/>
                <w:szCs w:val="21"/>
              </w:rPr>
              <w:t>地面清洗废水</w:t>
            </w:r>
            <w:r>
              <w:rPr>
                <w:rFonts w:hint="default" w:ascii="Times New Roman" w:hAnsi="Times New Roman" w:cs="Times New Roman"/>
                <w:sz w:val="21"/>
                <w:szCs w:val="21"/>
                <w:lang w:val="en-US" w:eastAsia="zh-CN"/>
              </w:rPr>
              <w:t>经化粪池预处理后排入</w:t>
            </w:r>
            <w:r>
              <w:rPr>
                <w:rFonts w:hint="default" w:ascii="Times New Roman" w:hAnsi="Times New Roman" w:cs="Times New Roman"/>
                <w:sz w:val="21"/>
                <w:szCs w:val="21"/>
              </w:rPr>
              <w:t>蓬溪县经开区污水处理厂处理，本项目废水处理措施可行性如下：</w:t>
            </w:r>
          </w:p>
          <w:p w14:paraId="32C72FE9">
            <w:pPr>
              <w:spacing w:line="444" w:lineRule="auto"/>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1）本项目废水水质简单，满足蓬溪县经开区污水处理厂的处理工艺需求；</w:t>
            </w:r>
          </w:p>
          <w:p w14:paraId="560AFCC9">
            <w:pPr>
              <w:spacing w:line="444" w:lineRule="auto"/>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2）本项目处于蓬溪县经开区污水处理厂的收水范围，污水管网已铺设到位；</w:t>
            </w:r>
          </w:p>
          <w:p w14:paraId="3ACD46B4">
            <w:pPr>
              <w:spacing w:line="444" w:lineRule="auto"/>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3）蓬溪县经开区污水处理厂采用“预处理+改良A</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/O+曝气生物滤池+纤维转盘滤池+紫外线消毒”的化处理工艺，日处理能力2000m³，目前蓬溪县经开区污水处理厂已正常运行</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还有剩余容量收纳本项目废水，</w:t>
            </w:r>
            <w:r>
              <w:rPr>
                <w:rFonts w:hint="default" w:ascii="Times New Roman" w:hAnsi="Times New Roman" w:cs="Times New Roman"/>
                <w:sz w:val="21"/>
                <w:szCs w:val="21"/>
              </w:rPr>
              <w:t>蓬溪县经开区污水处理厂</w:t>
            </w:r>
            <w:r>
              <w:rPr>
                <w:rFonts w:hint="default" w:ascii="Times New Roman" w:hAnsi="Times New Roman" w:cs="Times New Roman"/>
                <w:sz w:val="21"/>
                <w:szCs w:val="21"/>
                <w:lang w:eastAsia="zh-CN"/>
              </w:rPr>
              <w:t>尾水</w:t>
            </w:r>
            <w:r>
              <w:rPr>
                <w:rFonts w:hint="default" w:ascii="Times New Roman" w:hAnsi="Times New Roman" w:cs="Times New Roman"/>
                <w:sz w:val="21"/>
                <w:szCs w:val="21"/>
              </w:rPr>
              <w:t>能做到稳定达标排放。</w:t>
            </w:r>
          </w:p>
          <w:p w14:paraId="7B2A1152">
            <w:pPr>
              <w:pStyle w:val="87"/>
              <w:numPr>
                <w:ilvl w:val="0"/>
                <w:numId w:val="0"/>
              </w:numPr>
              <w:spacing w:line="240" w:lineRule="auto"/>
              <w:jc w:val="center"/>
              <w:rPr>
                <w:sz w:val="21"/>
                <w:szCs w:val="21"/>
              </w:rPr>
            </w:pPr>
            <w:r>
              <w:rPr>
                <w:rFonts w:hint="eastAsia"/>
                <w:sz w:val="21"/>
                <w:szCs w:val="21"/>
              </w:rPr>
              <w:t>表4-1</w:t>
            </w:r>
            <w:r>
              <w:rPr>
                <w:rFonts w:hint="eastAsia"/>
                <w:sz w:val="21"/>
                <w:szCs w:val="21"/>
                <w:lang w:val="en-US" w:eastAsia="zh-CN"/>
              </w:rPr>
              <w:t>5</w:t>
            </w:r>
            <w:r>
              <w:rPr>
                <w:rFonts w:hint="eastAsia"/>
                <w:sz w:val="21"/>
                <w:szCs w:val="21"/>
              </w:rPr>
              <w:t>废水排口基本情况</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84"/>
              <w:gridCol w:w="840"/>
              <w:gridCol w:w="864"/>
              <w:gridCol w:w="780"/>
              <w:gridCol w:w="696"/>
              <w:gridCol w:w="684"/>
              <w:gridCol w:w="672"/>
              <w:gridCol w:w="612"/>
              <w:gridCol w:w="1068"/>
              <w:gridCol w:w="1412"/>
            </w:tblGrid>
            <w:tr w14:paraId="3AA10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restart"/>
                  <w:vAlign w:val="center"/>
                </w:tcPr>
                <w:p w14:paraId="38A93839">
                  <w:pPr>
                    <w:pStyle w:val="87"/>
                    <w:numPr>
                      <w:ilvl w:val="0"/>
                      <w:numId w:val="0"/>
                    </w:numPr>
                    <w:spacing w:line="240" w:lineRule="auto"/>
                    <w:jc w:val="center"/>
                    <w:rPr>
                      <w:sz w:val="21"/>
                      <w:szCs w:val="21"/>
                    </w:rPr>
                  </w:pPr>
                  <w:r>
                    <w:rPr>
                      <w:rFonts w:hint="eastAsia"/>
                      <w:sz w:val="21"/>
                      <w:szCs w:val="21"/>
                    </w:rPr>
                    <w:t>序号</w:t>
                  </w:r>
                </w:p>
              </w:tc>
              <w:tc>
                <w:tcPr>
                  <w:tcW w:w="443" w:type="pct"/>
                  <w:vMerge w:val="restart"/>
                  <w:vAlign w:val="center"/>
                </w:tcPr>
                <w:p w14:paraId="1CA2B7EF">
                  <w:pPr>
                    <w:pStyle w:val="87"/>
                    <w:numPr>
                      <w:ilvl w:val="0"/>
                      <w:numId w:val="0"/>
                    </w:numPr>
                    <w:spacing w:line="240" w:lineRule="auto"/>
                    <w:jc w:val="center"/>
                    <w:rPr>
                      <w:sz w:val="21"/>
                      <w:szCs w:val="21"/>
                    </w:rPr>
                  </w:pPr>
                  <w:r>
                    <w:rPr>
                      <w:rFonts w:hint="eastAsia"/>
                      <w:sz w:val="21"/>
                      <w:szCs w:val="21"/>
                    </w:rPr>
                    <w:t>排放口编号</w:t>
                  </w:r>
                </w:p>
              </w:tc>
              <w:tc>
                <w:tcPr>
                  <w:tcW w:w="964" w:type="pct"/>
                  <w:gridSpan w:val="2"/>
                  <w:vAlign w:val="center"/>
                </w:tcPr>
                <w:p w14:paraId="1A994532">
                  <w:pPr>
                    <w:pStyle w:val="87"/>
                    <w:numPr>
                      <w:ilvl w:val="0"/>
                      <w:numId w:val="0"/>
                    </w:numPr>
                    <w:spacing w:line="240" w:lineRule="auto"/>
                    <w:jc w:val="center"/>
                    <w:rPr>
                      <w:sz w:val="21"/>
                      <w:szCs w:val="21"/>
                    </w:rPr>
                  </w:pPr>
                  <w:r>
                    <w:rPr>
                      <w:rFonts w:hint="eastAsia"/>
                      <w:sz w:val="21"/>
                      <w:szCs w:val="21"/>
                    </w:rPr>
                    <w:t>排放口地理坐标</w:t>
                  </w:r>
                </w:p>
              </w:tc>
              <w:tc>
                <w:tcPr>
                  <w:tcW w:w="441" w:type="pct"/>
                  <w:vMerge w:val="restart"/>
                  <w:vAlign w:val="center"/>
                </w:tcPr>
                <w:p w14:paraId="1608CDF6">
                  <w:pPr>
                    <w:pStyle w:val="87"/>
                    <w:numPr>
                      <w:ilvl w:val="0"/>
                      <w:numId w:val="0"/>
                    </w:numPr>
                    <w:spacing w:line="240" w:lineRule="auto"/>
                    <w:jc w:val="center"/>
                    <w:rPr>
                      <w:sz w:val="21"/>
                      <w:szCs w:val="21"/>
                    </w:rPr>
                  </w:pPr>
                  <w:r>
                    <w:rPr>
                      <w:rFonts w:hint="eastAsia"/>
                      <w:sz w:val="21"/>
                      <w:szCs w:val="21"/>
                    </w:rPr>
                    <w:t>废水排放量t/a</w:t>
                  </w:r>
                </w:p>
              </w:tc>
              <w:tc>
                <w:tcPr>
                  <w:tcW w:w="393" w:type="pct"/>
                  <w:vMerge w:val="restart"/>
                  <w:vAlign w:val="center"/>
                </w:tcPr>
                <w:p w14:paraId="465A0B32">
                  <w:pPr>
                    <w:pStyle w:val="87"/>
                    <w:numPr>
                      <w:ilvl w:val="0"/>
                      <w:numId w:val="0"/>
                    </w:numPr>
                    <w:spacing w:line="240" w:lineRule="auto"/>
                    <w:jc w:val="center"/>
                    <w:rPr>
                      <w:sz w:val="21"/>
                      <w:szCs w:val="21"/>
                    </w:rPr>
                  </w:pPr>
                  <w:r>
                    <w:rPr>
                      <w:rFonts w:hint="eastAsia"/>
                      <w:sz w:val="21"/>
                      <w:szCs w:val="21"/>
                    </w:rPr>
                    <w:t>排放去向</w:t>
                  </w:r>
                </w:p>
              </w:tc>
              <w:tc>
                <w:tcPr>
                  <w:tcW w:w="386" w:type="pct"/>
                  <w:vMerge w:val="restart"/>
                  <w:vAlign w:val="center"/>
                </w:tcPr>
                <w:p w14:paraId="5DAE840B">
                  <w:pPr>
                    <w:pStyle w:val="87"/>
                    <w:numPr>
                      <w:ilvl w:val="0"/>
                      <w:numId w:val="0"/>
                    </w:numPr>
                    <w:spacing w:line="240" w:lineRule="auto"/>
                    <w:jc w:val="center"/>
                    <w:rPr>
                      <w:sz w:val="21"/>
                      <w:szCs w:val="21"/>
                    </w:rPr>
                  </w:pPr>
                  <w:r>
                    <w:rPr>
                      <w:rFonts w:hint="eastAsia"/>
                      <w:sz w:val="21"/>
                      <w:szCs w:val="21"/>
                    </w:rPr>
                    <w:t>排放规律</w:t>
                  </w:r>
                </w:p>
              </w:tc>
              <w:tc>
                <w:tcPr>
                  <w:tcW w:w="380" w:type="pct"/>
                  <w:vMerge w:val="restart"/>
                  <w:vAlign w:val="center"/>
                </w:tcPr>
                <w:p w14:paraId="77D4E07F">
                  <w:pPr>
                    <w:pStyle w:val="87"/>
                    <w:numPr>
                      <w:ilvl w:val="0"/>
                      <w:numId w:val="0"/>
                    </w:numPr>
                    <w:spacing w:line="240" w:lineRule="auto"/>
                    <w:jc w:val="center"/>
                    <w:rPr>
                      <w:sz w:val="21"/>
                      <w:szCs w:val="21"/>
                    </w:rPr>
                  </w:pPr>
                  <w:r>
                    <w:rPr>
                      <w:rFonts w:hint="eastAsia"/>
                      <w:sz w:val="21"/>
                      <w:szCs w:val="21"/>
                    </w:rPr>
                    <w:t>间歇排放时段</w:t>
                  </w:r>
                </w:p>
              </w:tc>
              <w:tc>
                <w:tcPr>
                  <w:tcW w:w="1749" w:type="pct"/>
                  <w:gridSpan w:val="3"/>
                  <w:vAlign w:val="center"/>
                </w:tcPr>
                <w:p w14:paraId="1E2AC98C">
                  <w:pPr>
                    <w:pStyle w:val="87"/>
                    <w:numPr>
                      <w:ilvl w:val="0"/>
                      <w:numId w:val="0"/>
                    </w:numPr>
                    <w:spacing w:line="240" w:lineRule="auto"/>
                    <w:jc w:val="center"/>
                    <w:rPr>
                      <w:sz w:val="21"/>
                      <w:szCs w:val="21"/>
                    </w:rPr>
                  </w:pPr>
                  <w:r>
                    <w:rPr>
                      <w:rFonts w:hint="eastAsia"/>
                      <w:sz w:val="21"/>
                      <w:szCs w:val="21"/>
                    </w:rPr>
                    <w:t>受纳污水处理厂信息</w:t>
                  </w:r>
                </w:p>
              </w:tc>
            </w:tr>
            <w:tr w14:paraId="368CD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vAlign w:val="center"/>
                </w:tcPr>
                <w:p w14:paraId="54331028">
                  <w:pPr>
                    <w:pStyle w:val="87"/>
                    <w:numPr>
                      <w:ilvl w:val="0"/>
                      <w:numId w:val="0"/>
                    </w:numPr>
                    <w:spacing w:line="240" w:lineRule="auto"/>
                    <w:jc w:val="center"/>
                    <w:rPr>
                      <w:sz w:val="21"/>
                      <w:szCs w:val="21"/>
                    </w:rPr>
                  </w:pPr>
                </w:p>
              </w:tc>
              <w:tc>
                <w:tcPr>
                  <w:tcW w:w="443" w:type="pct"/>
                  <w:vMerge w:val="continue"/>
                  <w:vAlign w:val="center"/>
                </w:tcPr>
                <w:p w14:paraId="3FA64DF1">
                  <w:pPr>
                    <w:pStyle w:val="87"/>
                    <w:numPr>
                      <w:ilvl w:val="0"/>
                      <w:numId w:val="0"/>
                    </w:numPr>
                    <w:spacing w:line="240" w:lineRule="auto"/>
                    <w:jc w:val="center"/>
                    <w:rPr>
                      <w:sz w:val="21"/>
                      <w:szCs w:val="21"/>
                    </w:rPr>
                  </w:pPr>
                </w:p>
              </w:tc>
              <w:tc>
                <w:tcPr>
                  <w:tcW w:w="475" w:type="pct"/>
                  <w:vAlign w:val="center"/>
                </w:tcPr>
                <w:p w14:paraId="3E2174B7">
                  <w:pPr>
                    <w:pStyle w:val="87"/>
                    <w:numPr>
                      <w:ilvl w:val="0"/>
                      <w:numId w:val="0"/>
                    </w:numPr>
                    <w:spacing w:line="240" w:lineRule="auto"/>
                    <w:jc w:val="center"/>
                    <w:rPr>
                      <w:sz w:val="21"/>
                      <w:szCs w:val="21"/>
                    </w:rPr>
                  </w:pPr>
                  <w:r>
                    <w:rPr>
                      <w:rFonts w:hint="eastAsia"/>
                      <w:sz w:val="21"/>
                      <w:szCs w:val="21"/>
                    </w:rPr>
                    <w:t>经度</w:t>
                  </w:r>
                </w:p>
              </w:tc>
              <w:tc>
                <w:tcPr>
                  <w:tcW w:w="488" w:type="pct"/>
                  <w:vAlign w:val="center"/>
                </w:tcPr>
                <w:p w14:paraId="52249686">
                  <w:pPr>
                    <w:pStyle w:val="87"/>
                    <w:numPr>
                      <w:ilvl w:val="0"/>
                      <w:numId w:val="0"/>
                    </w:numPr>
                    <w:spacing w:line="240" w:lineRule="auto"/>
                    <w:jc w:val="center"/>
                    <w:rPr>
                      <w:sz w:val="21"/>
                      <w:szCs w:val="21"/>
                    </w:rPr>
                  </w:pPr>
                  <w:r>
                    <w:rPr>
                      <w:rFonts w:hint="eastAsia"/>
                      <w:sz w:val="21"/>
                      <w:szCs w:val="21"/>
                    </w:rPr>
                    <w:t>纬度</w:t>
                  </w:r>
                </w:p>
              </w:tc>
              <w:tc>
                <w:tcPr>
                  <w:tcW w:w="441" w:type="pct"/>
                  <w:vMerge w:val="continue"/>
                  <w:vAlign w:val="center"/>
                </w:tcPr>
                <w:p w14:paraId="1FB1458A">
                  <w:pPr>
                    <w:pStyle w:val="87"/>
                    <w:numPr>
                      <w:ilvl w:val="0"/>
                      <w:numId w:val="0"/>
                    </w:numPr>
                    <w:spacing w:line="240" w:lineRule="auto"/>
                    <w:jc w:val="center"/>
                    <w:rPr>
                      <w:sz w:val="21"/>
                      <w:szCs w:val="21"/>
                    </w:rPr>
                  </w:pPr>
                </w:p>
              </w:tc>
              <w:tc>
                <w:tcPr>
                  <w:tcW w:w="393" w:type="pct"/>
                  <w:vMerge w:val="continue"/>
                  <w:vAlign w:val="center"/>
                </w:tcPr>
                <w:p w14:paraId="3C28ADDE">
                  <w:pPr>
                    <w:pStyle w:val="87"/>
                    <w:numPr>
                      <w:ilvl w:val="0"/>
                      <w:numId w:val="0"/>
                    </w:numPr>
                    <w:spacing w:line="240" w:lineRule="auto"/>
                    <w:jc w:val="center"/>
                    <w:rPr>
                      <w:sz w:val="21"/>
                      <w:szCs w:val="21"/>
                    </w:rPr>
                  </w:pPr>
                </w:p>
              </w:tc>
              <w:tc>
                <w:tcPr>
                  <w:tcW w:w="386" w:type="pct"/>
                  <w:vMerge w:val="continue"/>
                  <w:vAlign w:val="center"/>
                </w:tcPr>
                <w:p w14:paraId="7F2E8F26">
                  <w:pPr>
                    <w:pStyle w:val="87"/>
                    <w:numPr>
                      <w:ilvl w:val="0"/>
                      <w:numId w:val="0"/>
                    </w:numPr>
                    <w:spacing w:line="240" w:lineRule="auto"/>
                    <w:jc w:val="center"/>
                    <w:rPr>
                      <w:sz w:val="21"/>
                      <w:szCs w:val="21"/>
                    </w:rPr>
                  </w:pPr>
                </w:p>
              </w:tc>
              <w:tc>
                <w:tcPr>
                  <w:tcW w:w="380" w:type="pct"/>
                  <w:vMerge w:val="continue"/>
                  <w:vAlign w:val="center"/>
                </w:tcPr>
                <w:p w14:paraId="4CCF5E32">
                  <w:pPr>
                    <w:pStyle w:val="87"/>
                    <w:numPr>
                      <w:ilvl w:val="0"/>
                      <w:numId w:val="0"/>
                    </w:numPr>
                    <w:spacing w:line="240" w:lineRule="auto"/>
                    <w:jc w:val="center"/>
                    <w:rPr>
                      <w:sz w:val="21"/>
                      <w:szCs w:val="21"/>
                    </w:rPr>
                  </w:pPr>
                </w:p>
              </w:tc>
              <w:tc>
                <w:tcPr>
                  <w:tcW w:w="346" w:type="pct"/>
                  <w:vAlign w:val="center"/>
                </w:tcPr>
                <w:p w14:paraId="61CCAF0A">
                  <w:pPr>
                    <w:pStyle w:val="87"/>
                    <w:numPr>
                      <w:ilvl w:val="0"/>
                      <w:numId w:val="0"/>
                    </w:numPr>
                    <w:spacing w:line="240" w:lineRule="auto"/>
                    <w:jc w:val="center"/>
                    <w:rPr>
                      <w:sz w:val="21"/>
                      <w:szCs w:val="21"/>
                    </w:rPr>
                  </w:pPr>
                  <w:r>
                    <w:rPr>
                      <w:rFonts w:hint="eastAsia"/>
                      <w:sz w:val="21"/>
                      <w:szCs w:val="21"/>
                    </w:rPr>
                    <w:t>名称</w:t>
                  </w:r>
                </w:p>
              </w:tc>
              <w:tc>
                <w:tcPr>
                  <w:tcW w:w="604" w:type="pct"/>
                  <w:vAlign w:val="center"/>
                </w:tcPr>
                <w:p w14:paraId="3B2E2159">
                  <w:pPr>
                    <w:pStyle w:val="87"/>
                    <w:numPr>
                      <w:ilvl w:val="0"/>
                      <w:numId w:val="0"/>
                    </w:numPr>
                    <w:spacing w:line="240" w:lineRule="auto"/>
                    <w:jc w:val="center"/>
                    <w:rPr>
                      <w:sz w:val="21"/>
                      <w:szCs w:val="21"/>
                    </w:rPr>
                  </w:pPr>
                  <w:r>
                    <w:rPr>
                      <w:rFonts w:hint="eastAsia"/>
                      <w:sz w:val="21"/>
                      <w:szCs w:val="21"/>
                    </w:rPr>
                    <w:t>污染种类</w:t>
                  </w:r>
                </w:p>
              </w:tc>
              <w:tc>
                <w:tcPr>
                  <w:tcW w:w="798" w:type="pct"/>
                  <w:vAlign w:val="center"/>
                </w:tcPr>
                <w:p w14:paraId="4AA11ED5">
                  <w:pPr>
                    <w:pStyle w:val="87"/>
                    <w:numPr>
                      <w:ilvl w:val="0"/>
                      <w:numId w:val="0"/>
                    </w:numPr>
                    <w:spacing w:line="240" w:lineRule="auto"/>
                    <w:jc w:val="center"/>
                    <w:rPr>
                      <w:sz w:val="21"/>
                      <w:szCs w:val="21"/>
                    </w:rPr>
                  </w:pPr>
                  <w:r>
                    <w:rPr>
                      <w:rFonts w:hint="eastAsia"/>
                      <w:sz w:val="21"/>
                      <w:szCs w:val="21"/>
                    </w:rPr>
                    <w:t>排放标准浓度限值mg/L</w:t>
                  </w:r>
                </w:p>
              </w:tc>
            </w:tr>
            <w:tr w14:paraId="41512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69D72F47">
                  <w:pPr>
                    <w:pStyle w:val="87"/>
                    <w:numPr>
                      <w:ilvl w:val="0"/>
                      <w:numId w:val="0"/>
                    </w:numPr>
                    <w:spacing w:line="240" w:lineRule="auto"/>
                    <w:jc w:val="center"/>
                    <w:rPr>
                      <w:b w:val="0"/>
                      <w:sz w:val="21"/>
                      <w:szCs w:val="21"/>
                    </w:rPr>
                  </w:pPr>
                  <w:r>
                    <w:rPr>
                      <w:rFonts w:hint="eastAsia"/>
                      <w:b w:val="0"/>
                      <w:sz w:val="21"/>
                      <w:szCs w:val="21"/>
                    </w:rPr>
                    <w:t>1</w:t>
                  </w:r>
                </w:p>
              </w:tc>
              <w:tc>
                <w:tcPr>
                  <w:tcW w:w="443" w:type="pct"/>
                  <w:vAlign w:val="center"/>
                </w:tcPr>
                <w:p w14:paraId="3FB0CB10">
                  <w:pPr>
                    <w:pStyle w:val="87"/>
                    <w:numPr>
                      <w:ilvl w:val="0"/>
                      <w:numId w:val="0"/>
                    </w:numPr>
                    <w:spacing w:line="240" w:lineRule="auto"/>
                    <w:jc w:val="center"/>
                    <w:rPr>
                      <w:b w:val="0"/>
                      <w:sz w:val="21"/>
                      <w:szCs w:val="21"/>
                    </w:rPr>
                  </w:pPr>
                  <w:r>
                    <w:rPr>
                      <w:rFonts w:hint="eastAsia"/>
                      <w:b w:val="0"/>
                      <w:sz w:val="21"/>
                      <w:szCs w:val="21"/>
                    </w:rPr>
                    <w:t>DW001</w:t>
                  </w:r>
                </w:p>
              </w:tc>
              <w:tc>
                <w:tcPr>
                  <w:tcW w:w="475" w:type="pct"/>
                  <w:vAlign w:val="center"/>
                </w:tcPr>
                <w:p w14:paraId="07D42E09">
                  <w:pPr>
                    <w:pStyle w:val="87"/>
                    <w:numPr>
                      <w:ilvl w:val="0"/>
                      <w:numId w:val="0"/>
                    </w:numPr>
                    <w:spacing w:line="240" w:lineRule="auto"/>
                    <w:jc w:val="center"/>
                    <w:rPr>
                      <w:b w:val="0"/>
                      <w:sz w:val="21"/>
                      <w:szCs w:val="21"/>
                    </w:rPr>
                  </w:pPr>
                  <w:r>
                    <w:rPr>
                      <w:rFonts w:hint="eastAsia"/>
                      <w:b w:val="0"/>
                      <w:sz w:val="21"/>
                      <w:szCs w:val="21"/>
                    </w:rPr>
                    <w:t>105.679155</w:t>
                  </w:r>
                </w:p>
              </w:tc>
              <w:tc>
                <w:tcPr>
                  <w:tcW w:w="488" w:type="pct"/>
                  <w:vAlign w:val="center"/>
                </w:tcPr>
                <w:p w14:paraId="0C912EF6">
                  <w:pPr>
                    <w:pStyle w:val="87"/>
                    <w:numPr>
                      <w:ilvl w:val="0"/>
                      <w:numId w:val="0"/>
                    </w:numPr>
                    <w:spacing w:line="240" w:lineRule="auto"/>
                    <w:jc w:val="center"/>
                    <w:rPr>
                      <w:b w:val="0"/>
                      <w:sz w:val="21"/>
                      <w:szCs w:val="21"/>
                    </w:rPr>
                  </w:pPr>
                  <w:r>
                    <w:rPr>
                      <w:rFonts w:hint="eastAsia"/>
                      <w:b w:val="0"/>
                      <w:sz w:val="21"/>
                      <w:szCs w:val="21"/>
                    </w:rPr>
                    <w:t>30.742252</w:t>
                  </w:r>
                </w:p>
              </w:tc>
              <w:tc>
                <w:tcPr>
                  <w:tcW w:w="441" w:type="pct"/>
                  <w:vAlign w:val="center"/>
                </w:tcPr>
                <w:p w14:paraId="2C9564CC">
                  <w:pPr>
                    <w:pStyle w:val="87"/>
                    <w:numPr>
                      <w:ilvl w:val="0"/>
                      <w:numId w:val="0"/>
                    </w:numPr>
                    <w:spacing w:line="240" w:lineRule="auto"/>
                    <w:jc w:val="center"/>
                    <w:rPr>
                      <w:b w:val="0"/>
                      <w:sz w:val="21"/>
                      <w:szCs w:val="21"/>
                    </w:rPr>
                  </w:pPr>
                  <w:r>
                    <w:rPr>
                      <w:rFonts w:hint="eastAsia" w:ascii="Times New Roman" w:hAnsi="Times New Roman" w:cs="Times New Roman"/>
                      <w:b w:val="0"/>
                      <w:bCs w:val="0"/>
                      <w:color w:val="auto"/>
                      <w:sz w:val="21"/>
                      <w:szCs w:val="21"/>
                      <w:lang w:val="en-US" w:eastAsia="zh-CN"/>
                    </w:rPr>
                    <w:t>863.12</w:t>
                  </w:r>
                </w:p>
              </w:tc>
              <w:tc>
                <w:tcPr>
                  <w:tcW w:w="393" w:type="pct"/>
                  <w:vAlign w:val="center"/>
                </w:tcPr>
                <w:p w14:paraId="30F6C19F">
                  <w:pPr>
                    <w:pStyle w:val="87"/>
                    <w:numPr>
                      <w:ilvl w:val="0"/>
                      <w:numId w:val="0"/>
                    </w:numPr>
                    <w:spacing w:line="240" w:lineRule="auto"/>
                    <w:jc w:val="center"/>
                    <w:rPr>
                      <w:b w:val="0"/>
                      <w:sz w:val="21"/>
                      <w:szCs w:val="21"/>
                    </w:rPr>
                  </w:pPr>
                  <w:r>
                    <w:rPr>
                      <w:rFonts w:hint="eastAsia"/>
                      <w:b w:val="0"/>
                      <w:sz w:val="21"/>
                      <w:szCs w:val="21"/>
                    </w:rPr>
                    <w:t>西河污水处理厂</w:t>
                  </w:r>
                </w:p>
              </w:tc>
              <w:tc>
                <w:tcPr>
                  <w:tcW w:w="386" w:type="pct"/>
                  <w:vAlign w:val="center"/>
                </w:tcPr>
                <w:p w14:paraId="3A4DE201">
                  <w:pPr>
                    <w:pStyle w:val="87"/>
                    <w:numPr>
                      <w:ilvl w:val="0"/>
                      <w:numId w:val="0"/>
                    </w:numPr>
                    <w:spacing w:line="240" w:lineRule="auto"/>
                    <w:jc w:val="center"/>
                    <w:rPr>
                      <w:b w:val="0"/>
                      <w:sz w:val="21"/>
                      <w:szCs w:val="21"/>
                    </w:rPr>
                  </w:pPr>
                  <w:r>
                    <w:rPr>
                      <w:rFonts w:hint="eastAsia"/>
                      <w:b w:val="0"/>
                      <w:sz w:val="21"/>
                      <w:szCs w:val="21"/>
                    </w:rPr>
                    <w:t>间断</w:t>
                  </w:r>
                </w:p>
              </w:tc>
              <w:tc>
                <w:tcPr>
                  <w:tcW w:w="380" w:type="pct"/>
                  <w:vAlign w:val="center"/>
                </w:tcPr>
                <w:p w14:paraId="349752D9">
                  <w:pPr>
                    <w:pStyle w:val="87"/>
                    <w:numPr>
                      <w:ilvl w:val="0"/>
                      <w:numId w:val="0"/>
                    </w:numPr>
                    <w:spacing w:line="240" w:lineRule="auto"/>
                    <w:jc w:val="center"/>
                    <w:rPr>
                      <w:rFonts w:hint="default" w:eastAsia="宋体"/>
                      <w:b w:val="0"/>
                      <w:sz w:val="21"/>
                      <w:szCs w:val="21"/>
                      <w:lang w:val="en-US" w:eastAsia="zh-CN"/>
                    </w:rPr>
                  </w:pPr>
                  <w:r>
                    <w:rPr>
                      <w:rFonts w:hint="eastAsia"/>
                      <w:b w:val="0"/>
                      <w:sz w:val="21"/>
                      <w:szCs w:val="21"/>
                    </w:rPr>
                    <w:t>昼间</w:t>
                  </w:r>
                  <w:r>
                    <w:rPr>
                      <w:rFonts w:hint="eastAsia"/>
                      <w:b w:val="0"/>
                      <w:sz w:val="21"/>
                      <w:szCs w:val="21"/>
                      <w:lang w:eastAsia="zh-CN"/>
                    </w:rPr>
                    <w:t>、</w:t>
                  </w:r>
                  <w:r>
                    <w:rPr>
                      <w:rFonts w:hint="eastAsia"/>
                      <w:b w:val="0"/>
                      <w:sz w:val="21"/>
                      <w:szCs w:val="21"/>
                      <w:lang w:val="en-US" w:eastAsia="zh-CN"/>
                    </w:rPr>
                    <w:t>夜间</w:t>
                  </w:r>
                </w:p>
              </w:tc>
              <w:tc>
                <w:tcPr>
                  <w:tcW w:w="346" w:type="pct"/>
                  <w:vAlign w:val="center"/>
                </w:tcPr>
                <w:p w14:paraId="624EC77F">
                  <w:pPr>
                    <w:pStyle w:val="87"/>
                    <w:numPr>
                      <w:ilvl w:val="0"/>
                      <w:numId w:val="0"/>
                    </w:numPr>
                    <w:spacing w:line="240" w:lineRule="auto"/>
                    <w:jc w:val="center"/>
                    <w:rPr>
                      <w:b w:val="0"/>
                      <w:sz w:val="21"/>
                      <w:szCs w:val="21"/>
                    </w:rPr>
                  </w:pPr>
                  <w:r>
                    <w:rPr>
                      <w:rFonts w:hint="eastAsia"/>
                      <w:b w:val="0"/>
                      <w:bCs w:val="0"/>
                      <w:sz w:val="21"/>
                      <w:szCs w:val="21"/>
                      <w:lang w:eastAsia="zh-CN"/>
                    </w:rPr>
                    <w:t>芝溪河</w:t>
                  </w:r>
                </w:p>
              </w:tc>
              <w:tc>
                <w:tcPr>
                  <w:tcW w:w="604" w:type="pct"/>
                  <w:vAlign w:val="center"/>
                </w:tcPr>
                <w:p w14:paraId="3F9F4519">
                  <w:pPr>
                    <w:pStyle w:val="87"/>
                    <w:numPr>
                      <w:ilvl w:val="0"/>
                      <w:numId w:val="0"/>
                    </w:numPr>
                    <w:spacing w:line="240" w:lineRule="auto"/>
                    <w:jc w:val="center"/>
                    <w:rPr>
                      <w:b w:val="0"/>
                      <w:sz w:val="21"/>
                      <w:szCs w:val="21"/>
                    </w:rPr>
                  </w:pPr>
                  <w:r>
                    <w:rPr>
                      <w:b w:val="0"/>
                      <w:sz w:val="21"/>
                      <w:szCs w:val="21"/>
                    </w:rPr>
                    <w:t>COD、BOD、NH</w:t>
                  </w:r>
                  <w:r>
                    <w:rPr>
                      <w:b w:val="0"/>
                      <w:sz w:val="21"/>
                      <w:szCs w:val="21"/>
                      <w:vertAlign w:val="subscript"/>
                    </w:rPr>
                    <w:t>3</w:t>
                  </w:r>
                  <w:r>
                    <w:rPr>
                      <w:b w:val="0"/>
                      <w:sz w:val="21"/>
                      <w:szCs w:val="21"/>
                    </w:rPr>
                    <w:t>-N、SS、动植物油、石油类</w:t>
                  </w:r>
                </w:p>
              </w:tc>
              <w:tc>
                <w:tcPr>
                  <w:tcW w:w="798" w:type="pct"/>
                  <w:vAlign w:val="center"/>
                </w:tcPr>
                <w:p w14:paraId="415B3E94">
                  <w:pPr>
                    <w:pStyle w:val="87"/>
                    <w:numPr>
                      <w:ilvl w:val="0"/>
                      <w:numId w:val="0"/>
                    </w:numPr>
                    <w:spacing w:line="240" w:lineRule="auto"/>
                    <w:jc w:val="center"/>
                    <w:rPr>
                      <w:b w:val="0"/>
                      <w:sz w:val="21"/>
                      <w:szCs w:val="21"/>
                    </w:rPr>
                  </w:pPr>
                  <w:r>
                    <w:rPr>
                      <w:b w:val="0"/>
                      <w:sz w:val="21"/>
                      <w:szCs w:val="21"/>
                    </w:rPr>
                    <w:t>COD：</w:t>
                  </w:r>
                  <w:r>
                    <w:rPr>
                      <w:rFonts w:hint="eastAsia"/>
                      <w:b w:val="0"/>
                      <w:sz w:val="21"/>
                      <w:szCs w:val="21"/>
                    </w:rPr>
                    <w:t>30</w:t>
                  </w:r>
                  <w:r>
                    <w:rPr>
                      <w:b w:val="0"/>
                      <w:sz w:val="21"/>
                      <w:szCs w:val="21"/>
                    </w:rPr>
                    <w:t>、BOD</w:t>
                  </w:r>
                  <w:r>
                    <w:rPr>
                      <w:rFonts w:hint="eastAsia"/>
                      <w:b w:val="0"/>
                      <w:sz w:val="21"/>
                      <w:szCs w:val="21"/>
                    </w:rPr>
                    <w:t>:6</w:t>
                  </w:r>
                  <w:r>
                    <w:rPr>
                      <w:b w:val="0"/>
                      <w:sz w:val="21"/>
                      <w:szCs w:val="21"/>
                    </w:rPr>
                    <w:t>、NH</w:t>
                  </w:r>
                  <w:r>
                    <w:rPr>
                      <w:b w:val="0"/>
                      <w:sz w:val="21"/>
                      <w:szCs w:val="21"/>
                      <w:vertAlign w:val="subscript"/>
                    </w:rPr>
                    <w:t>3</w:t>
                  </w:r>
                  <w:r>
                    <w:rPr>
                      <w:b w:val="0"/>
                      <w:sz w:val="21"/>
                      <w:szCs w:val="21"/>
                    </w:rPr>
                    <w:t>-N</w:t>
                  </w:r>
                  <w:r>
                    <w:rPr>
                      <w:rFonts w:hint="eastAsia"/>
                      <w:b w:val="0"/>
                      <w:sz w:val="21"/>
                      <w:szCs w:val="21"/>
                    </w:rPr>
                    <w:t>:1.5</w:t>
                  </w:r>
                  <w:r>
                    <w:rPr>
                      <w:b w:val="0"/>
                      <w:sz w:val="21"/>
                      <w:szCs w:val="21"/>
                    </w:rPr>
                    <w:t>、SS：</w:t>
                  </w:r>
                  <w:r>
                    <w:rPr>
                      <w:rFonts w:hint="eastAsia"/>
                      <w:b w:val="0"/>
                      <w:sz w:val="21"/>
                      <w:szCs w:val="21"/>
                    </w:rPr>
                    <w:t>10</w:t>
                  </w:r>
                  <w:r>
                    <w:rPr>
                      <w:b w:val="0"/>
                      <w:sz w:val="21"/>
                      <w:szCs w:val="21"/>
                    </w:rPr>
                    <w:t>、动植物油：</w:t>
                  </w:r>
                  <w:r>
                    <w:rPr>
                      <w:rFonts w:hint="eastAsia"/>
                      <w:b w:val="0"/>
                      <w:sz w:val="21"/>
                      <w:szCs w:val="21"/>
                    </w:rPr>
                    <w:t>1</w:t>
                  </w:r>
                  <w:r>
                    <w:rPr>
                      <w:b w:val="0"/>
                      <w:sz w:val="21"/>
                      <w:szCs w:val="21"/>
                    </w:rPr>
                    <w:t>、石油类</w:t>
                  </w:r>
                  <w:r>
                    <w:rPr>
                      <w:rFonts w:hint="eastAsia"/>
                      <w:b w:val="0"/>
                      <w:sz w:val="21"/>
                      <w:szCs w:val="21"/>
                    </w:rPr>
                    <w:t>：1</w:t>
                  </w:r>
                </w:p>
              </w:tc>
            </w:tr>
          </w:tbl>
          <w:p w14:paraId="5D2D35B4">
            <w:pPr>
              <w:tabs>
                <w:tab w:val="left" w:pos="820"/>
              </w:tabs>
              <w:spacing w:line="360" w:lineRule="auto"/>
              <w:ind w:firstLine="422" w:firstLineChars="200"/>
              <w:rPr>
                <w:rFonts w:hint="default" w:ascii="Times New Roman" w:hAnsi="Times New Roman" w:cs="Times New Roman"/>
                <w:b/>
                <w:bCs/>
                <w:sz w:val="21"/>
                <w:szCs w:val="21"/>
              </w:rPr>
            </w:pPr>
            <w:r>
              <w:rPr>
                <w:rFonts w:hint="eastAsia" w:cs="Times New Roman"/>
                <w:b/>
                <w:bCs/>
                <w:sz w:val="21"/>
                <w:szCs w:val="21"/>
                <w:lang w:eastAsia="zh-CN"/>
              </w:rPr>
              <w:t>（</w:t>
            </w:r>
            <w:r>
              <w:rPr>
                <w:rFonts w:hint="eastAsia" w:cs="Times New Roman"/>
                <w:b/>
                <w:bCs/>
                <w:sz w:val="21"/>
                <w:szCs w:val="21"/>
                <w:lang w:val="en-US" w:eastAsia="zh-CN"/>
              </w:rPr>
              <w:t>4</w:t>
            </w:r>
            <w:r>
              <w:rPr>
                <w:rFonts w:hint="eastAsia" w:cs="Times New Roman"/>
                <w:b/>
                <w:bCs/>
                <w:sz w:val="21"/>
                <w:szCs w:val="21"/>
                <w:lang w:eastAsia="zh-CN"/>
              </w:rPr>
              <w:t>）</w:t>
            </w:r>
            <w:r>
              <w:rPr>
                <w:rFonts w:hint="default" w:ascii="Times New Roman" w:hAnsi="Times New Roman" w:cs="Times New Roman"/>
                <w:b/>
                <w:bCs/>
                <w:sz w:val="21"/>
                <w:szCs w:val="21"/>
              </w:rPr>
              <w:t>废水影响定性分析</w:t>
            </w:r>
          </w:p>
          <w:p w14:paraId="18979F9E">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根据分析，本项目</w:t>
            </w:r>
            <w:r>
              <w:rPr>
                <w:rFonts w:hint="default" w:ascii="Times New Roman" w:hAnsi="Times New Roman" w:cs="Times New Roman"/>
                <w:sz w:val="21"/>
                <w:szCs w:val="21"/>
                <w:lang w:val="en-US" w:eastAsia="zh-CN"/>
              </w:rPr>
              <w:t>生活污水及生产循环冷却水更新排放废水</w:t>
            </w:r>
            <w:r>
              <w:rPr>
                <w:rFonts w:hint="eastAsia" w:cs="Times New Roman"/>
                <w:sz w:val="21"/>
                <w:szCs w:val="21"/>
                <w:lang w:val="en-US" w:eastAsia="zh-CN"/>
              </w:rPr>
              <w:t>、地面清洗废水</w:t>
            </w:r>
            <w:r>
              <w:rPr>
                <w:rFonts w:hint="default" w:ascii="Times New Roman" w:hAnsi="Times New Roman" w:cs="Times New Roman"/>
                <w:sz w:val="21"/>
                <w:szCs w:val="21"/>
              </w:rPr>
              <w:t>经预处理池处理后排入市政污水管网送蓬溪县经开区污水处理厂，本项目废水可得到合理处置，不会对环境造成明显影响。</w:t>
            </w:r>
          </w:p>
          <w:p w14:paraId="77DE6089">
            <w:pPr>
              <w:tabs>
                <w:tab w:val="left" w:pos="820"/>
              </w:tabs>
              <w:spacing w:line="360" w:lineRule="auto"/>
              <w:rPr>
                <w:rFonts w:hint="default" w:ascii="Times New Roman" w:hAnsi="Times New Roman" w:cs="Times New Roman"/>
                <w:b/>
                <w:bCs/>
                <w:sz w:val="21"/>
                <w:szCs w:val="21"/>
              </w:rPr>
            </w:pPr>
            <w:r>
              <w:rPr>
                <w:rFonts w:hint="eastAsia" w:cs="Times New Roman"/>
                <w:b/>
                <w:bCs/>
                <w:sz w:val="21"/>
                <w:szCs w:val="21"/>
                <w:lang w:val="en-US" w:eastAsia="zh-CN"/>
              </w:rPr>
              <w:t>三</w:t>
            </w:r>
            <w:r>
              <w:rPr>
                <w:rFonts w:hint="default" w:ascii="Times New Roman" w:hAnsi="Times New Roman" w:cs="Times New Roman"/>
                <w:b/>
                <w:bCs/>
                <w:sz w:val="21"/>
                <w:szCs w:val="21"/>
              </w:rPr>
              <w:t>、噪声排放及处理措施</w:t>
            </w:r>
          </w:p>
          <w:p w14:paraId="63AC324E">
            <w:pPr>
              <w:spacing w:line="360" w:lineRule="auto"/>
              <w:ind w:firstLine="422" w:firstLineChars="200"/>
              <w:rPr>
                <w:rFonts w:hint="default" w:ascii="Times New Roman" w:hAnsi="Times New Roman" w:cs="Times New Roman"/>
                <w:sz w:val="21"/>
                <w:szCs w:val="21"/>
              </w:rPr>
            </w:pPr>
            <w:r>
              <w:rPr>
                <w:rFonts w:hint="default" w:ascii="Times New Roman" w:hAnsi="Times New Roman" w:cs="Times New Roman"/>
                <w:b/>
                <w:bCs/>
                <w:sz w:val="21"/>
                <w:szCs w:val="21"/>
              </w:rPr>
              <w:t>（1）主要噪声源及治理措施</w:t>
            </w:r>
          </w:p>
          <w:p w14:paraId="2D5BCE18">
            <w:pPr>
              <w:spacing w:line="360" w:lineRule="auto"/>
              <w:ind w:firstLine="420" w:firstLineChars="200"/>
              <w:rPr>
                <w:rFonts w:hint="default" w:ascii="Times New Roman" w:hAnsi="Times New Roman" w:cs="Times New Roman"/>
                <w:b/>
                <w:kern w:val="0"/>
                <w:sz w:val="28"/>
                <w:szCs w:val="28"/>
                <w:vertAlign w:val="baseline"/>
              </w:rPr>
            </w:pPr>
            <w:r>
              <w:rPr>
                <w:rFonts w:hint="default" w:ascii="Times New Roman" w:hAnsi="Times New Roman" w:cs="Times New Roman"/>
                <w:sz w:val="21"/>
                <w:szCs w:val="21"/>
              </w:rPr>
              <w:t>本项目营运期主要噪声源为</w:t>
            </w:r>
            <w:r>
              <w:rPr>
                <w:rFonts w:hint="default" w:ascii="Times New Roman" w:hAnsi="Times New Roman" w:cs="Times New Roman"/>
                <w:sz w:val="21"/>
                <w:szCs w:val="21"/>
                <w:lang w:eastAsia="zh-CN"/>
              </w:rPr>
              <w:t>废气处理</w:t>
            </w:r>
            <w:r>
              <w:rPr>
                <w:rFonts w:hint="default" w:ascii="Times New Roman" w:hAnsi="Times New Roman" w:cs="Times New Roman"/>
                <w:sz w:val="21"/>
                <w:szCs w:val="21"/>
              </w:rPr>
              <w:t>系统风机、</w:t>
            </w:r>
            <w:r>
              <w:rPr>
                <w:rFonts w:hint="eastAsia" w:cs="Times New Roman"/>
                <w:sz w:val="21"/>
                <w:szCs w:val="21"/>
                <w:lang w:val="en-US" w:eastAsia="zh-CN"/>
              </w:rPr>
              <w:t>喷漆柜</w:t>
            </w:r>
            <w:r>
              <w:rPr>
                <w:rFonts w:hint="default" w:ascii="Times New Roman" w:hAnsi="Times New Roman" w:cs="Times New Roman"/>
                <w:sz w:val="21"/>
                <w:szCs w:val="21"/>
              </w:rPr>
              <w:t>、</w:t>
            </w:r>
            <w:r>
              <w:rPr>
                <w:rFonts w:hint="eastAsia" w:cs="Times New Roman"/>
                <w:sz w:val="21"/>
                <w:szCs w:val="21"/>
                <w:lang w:val="en-US" w:eastAsia="zh-CN"/>
              </w:rPr>
              <w:t>注塑</w:t>
            </w:r>
            <w:r>
              <w:rPr>
                <w:rFonts w:hint="default" w:ascii="Times New Roman" w:hAnsi="Times New Roman" w:cs="Times New Roman"/>
                <w:sz w:val="21"/>
                <w:szCs w:val="21"/>
                <w:lang w:val="en-US" w:eastAsia="zh-CN"/>
              </w:rPr>
              <w:t>机</w:t>
            </w:r>
            <w:r>
              <w:rPr>
                <w:rFonts w:hint="default" w:ascii="Times New Roman" w:hAnsi="Times New Roman" w:cs="Times New Roman"/>
                <w:sz w:val="21"/>
                <w:szCs w:val="21"/>
              </w:rPr>
              <w:t>、空压机等设备运行噪声，</w:t>
            </w:r>
          </w:p>
        </w:tc>
      </w:tr>
    </w:tbl>
    <w:p w14:paraId="08937E66">
      <w:pPr>
        <w:adjustRightInd w:val="0"/>
        <w:snapToGrid w:val="0"/>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9483338">
      <w:pPr>
        <w:adjustRightInd w:val="0"/>
        <w:snapToGrid w:val="0"/>
        <w:spacing w:before="120" w:beforeLines="50" w:line="360" w:lineRule="auto"/>
        <w:jc w:val="both"/>
        <w:rPr>
          <w:rFonts w:hint="default" w:ascii="Times New Roman" w:hAnsi="Times New Roman" w:cs="Times New Roman"/>
          <w:b/>
          <w:color w:val="000000"/>
          <w:sz w:val="21"/>
          <w:szCs w:val="21"/>
        </w:rPr>
      </w:pPr>
      <w:r>
        <w:rPr>
          <w:rFonts w:hint="default" w:ascii="Times New Roman" w:hAnsi="Times New Roman" w:cs="Times New Roman"/>
          <w:sz w:val="21"/>
          <w:szCs w:val="21"/>
        </w:rPr>
        <w:t>噪声值约在70-90dB（A）范围内，厂房为封闭式钢框架厂房，项目设备均设置于厂房内，可利用厂房建筑结构消减噪声对外环境的影响。主要声源治理前噪声源强值见下表。</w:t>
      </w:r>
    </w:p>
    <w:p w14:paraId="0FD8E699">
      <w:pPr>
        <w:adjustRightInd w:val="0"/>
        <w:snapToGrid w:val="0"/>
        <w:spacing w:before="120" w:beforeLines="50" w:line="240" w:lineRule="auto"/>
        <w:jc w:val="center"/>
        <w:rPr>
          <w:rStyle w:val="32"/>
          <w:rFonts w:hint="default" w:ascii="Times New Roman" w:hAnsi="Times New Roman" w:cs="Times New Roman"/>
          <w:color w:val="000000"/>
          <w:kern w:val="0"/>
          <w:szCs w:val="20"/>
        </w:rPr>
      </w:pPr>
      <w:r>
        <w:rPr>
          <w:rFonts w:hint="default" w:ascii="Times New Roman" w:hAnsi="Times New Roman" w:cs="Times New Roman"/>
          <w:b/>
          <w:color w:val="000000"/>
          <w:sz w:val="21"/>
          <w:szCs w:val="21"/>
        </w:rPr>
        <w:t>表4-</w:t>
      </w:r>
      <w:r>
        <w:rPr>
          <w:rFonts w:hint="default" w:ascii="Times New Roman" w:hAnsi="Times New Roman" w:cs="Times New Roman"/>
          <w:b/>
          <w:color w:val="000000"/>
          <w:sz w:val="21"/>
          <w:szCs w:val="21"/>
          <w:lang w:val="en-US" w:eastAsia="zh-CN"/>
        </w:rPr>
        <w:t>1</w:t>
      </w:r>
      <w:r>
        <w:rPr>
          <w:rFonts w:hint="eastAsia" w:cs="Times New Roman"/>
          <w:b/>
          <w:color w:val="000000"/>
          <w:sz w:val="21"/>
          <w:szCs w:val="21"/>
          <w:lang w:val="en-US" w:eastAsia="zh-CN"/>
        </w:rPr>
        <w:t>6</w:t>
      </w:r>
      <w:r>
        <w:rPr>
          <w:rFonts w:hint="default" w:ascii="Times New Roman" w:hAnsi="Times New Roman" w:cs="Times New Roman"/>
          <w:b/>
          <w:color w:val="000000"/>
          <w:sz w:val="21"/>
          <w:szCs w:val="21"/>
        </w:rPr>
        <w:t>项目主要噪声源调查表（室内）</w:t>
      </w:r>
    </w:p>
    <w:tbl>
      <w:tblPr>
        <w:tblStyle w:val="27"/>
        <w:tblW w:w="1415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9"/>
        <w:gridCol w:w="667"/>
        <w:gridCol w:w="1126"/>
        <w:gridCol w:w="761"/>
        <w:gridCol w:w="788"/>
        <w:gridCol w:w="867"/>
        <w:gridCol w:w="945"/>
        <w:gridCol w:w="1093"/>
        <w:gridCol w:w="789"/>
        <w:gridCol w:w="1059"/>
        <w:gridCol w:w="1207"/>
        <w:gridCol w:w="735"/>
        <w:gridCol w:w="1051"/>
        <w:gridCol w:w="1312"/>
        <w:gridCol w:w="1007"/>
      </w:tblGrid>
      <w:tr w14:paraId="6A115B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749" w:type="dxa"/>
            <w:vMerge w:val="restart"/>
            <w:tcBorders>
              <w:tl2br w:val="nil"/>
              <w:tr2bl w:val="nil"/>
            </w:tcBorders>
            <w:noWrap/>
            <w:vAlign w:val="center"/>
          </w:tcPr>
          <w:p w14:paraId="3BC529E8">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序号</w:t>
            </w:r>
          </w:p>
        </w:tc>
        <w:tc>
          <w:tcPr>
            <w:tcW w:w="667" w:type="dxa"/>
            <w:vMerge w:val="restart"/>
            <w:tcBorders>
              <w:tl2br w:val="nil"/>
              <w:tr2bl w:val="nil"/>
            </w:tcBorders>
            <w:noWrap/>
            <w:vAlign w:val="center"/>
          </w:tcPr>
          <w:p w14:paraId="3CC1D2CF">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建筑物名称</w:t>
            </w:r>
          </w:p>
        </w:tc>
        <w:tc>
          <w:tcPr>
            <w:tcW w:w="1126" w:type="dxa"/>
            <w:vMerge w:val="restart"/>
            <w:tcBorders>
              <w:tl2br w:val="nil"/>
              <w:tr2bl w:val="nil"/>
            </w:tcBorders>
            <w:noWrap/>
            <w:vAlign w:val="center"/>
          </w:tcPr>
          <w:p w14:paraId="79AA665F">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声源名称</w:t>
            </w:r>
          </w:p>
        </w:tc>
        <w:tc>
          <w:tcPr>
            <w:tcW w:w="761" w:type="dxa"/>
            <w:vMerge w:val="restart"/>
            <w:tcBorders>
              <w:tl2br w:val="nil"/>
              <w:tr2bl w:val="nil"/>
            </w:tcBorders>
            <w:noWrap w:val="0"/>
            <w:vAlign w:val="center"/>
          </w:tcPr>
          <w:p w14:paraId="58EA6F1F">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型号</w:t>
            </w:r>
          </w:p>
        </w:tc>
        <w:tc>
          <w:tcPr>
            <w:tcW w:w="788" w:type="dxa"/>
            <w:vMerge w:val="restart"/>
            <w:tcBorders>
              <w:tl2br w:val="nil"/>
              <w:tr2bl w:val="nil"/>
            </w:tcBorders>
            <w:noWrap w:val="0"/>
            <w:vAlign w:val="center"/>
          </w:tcPr>
          <w:p w14:paraId="35146C15">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声源源强</w:t>
            </w:r>
            <w:r>
              <w:rPr>
                <w:rFonts w:hint="default" w:ascii="Times New Roman" w:hAnsi="Times New Roman" w:cs="Times New Roman"/>
                <w:b/>
                <w:bCs/>
                <w:color w:val="000000"/>
                <w:kern w:val="0"/>
                <w:sz w:val="21"/>
                <w:szCs w:val="21"/>
                <w:lang w:bidi="ar"/>
              </w:rPr>
              <w:t>dB(A)</w:t>
            </w:r>
          </w:p>
        </w:tc>
        <w:tc>
          <w:tcPr>
            <w:tcW w:w="867" w:type="dxa"/>
            <w:vMerge w:val="restart"/>
            <w:tcBorders>
              <w:tl2br w:val="nil"/>
              <w:tr2bl w:val="nil"/>
            </w:tcBorders>
            <w:noWrap w:val="0"/>
            <w:vAlign w:val="center"/>
          </w:tcPr>
          <w:p w14:paraId="7E321C74">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声源控制措施</w:t>
            </w:r>
          </w:p>
        </w:tc>
        <w:tc>
          <w:tcPr>
            <w:tcW w:w="2827" w:type="dxa"/>
            <w:gridSpan w:val="3"/>
            <w:tcBorders>
              <w:tl2br w:val="nil"/>
              <w:tr2bl w:val="nil"/>
            </w:tcBorders>
            <w:noWrap/>
            <w:vAlign w:val="center"/>
          </w:tcPr>
          <w:p w14:paraId="04B50F2A">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空间位置/m</w:t>
            </w:r>
          </w:p>
        </w:tc>
        <w:tc>
          <w:tcPr>
            <w:tcW w:w="1059" w:type="dxa"/>
            <w:vMerge w:val="restart"/>
            <w:tcBorders>
              <w:tl2br w:val="nil"/>
              <w:tr2bl w:val="nil"/>
            </w:tcBorders>
            <w:noWrap w:val="0"/>
            <w:vAlign w:val="center"/>
          </w:tcPr>
          <w:p w14:paraId="5C5E6F40">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距室内边界</w:t>
            </w:r>
            <w:r>
              <w:rPr>
                <w:rFonts w:hint="eastAsia" w:ascii="Times New Roman" w:hAnsi="Times New Roman" w:cs="Times New Roman"/>
                <w:color w:val="000000"/>
                <w:kern w:val="0"/>
                <w:sz w:val="21"/>
                <w:szCs w:val="21"/>
                <w:lang w:val="en-US" w:eastAsia="zh-CN" w:bidi="ar"/>
              </w:rPr>
              <w:t>最近</w:t>
            </w:r>
            <w:r>
              <w:rPr>
                <w:rFonts w:hint="default" w:ascii="Times New Roman" w:hAnsi="Times New Roman" w:cs="Times New Roman"/>
                <w:color w:val="000000"/>
                <w:kern w:val="0"/>
                <w:sz w:val="21"/>
                <w:szCs w:val="21"/>
                <w:lang w:bidi="ar"/>
              </w:rPr>
              <w:t>距离/m</w:t>
            </w:r>
          </w:p>
        </w:tc>
        <w:tc>
          <w:tcPr>
            <w:tcW w:w="1207" w:type="dxa"/>
            <w:vMerge w:val="restart"/>
            <w:tcBorders>
              <w:tl2br w:val="nil"/>
              <w:tr2bl w:val="nil"/>
            </w:tcBorders>
            <w:noWrap w:val="0"/>
            <w:vAlign w:val="center"/>
          </w:tcPr>
          <w:p w14:paraId="2C3236C6">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室内边界声级/dB(A)</w:t>
            </w:r>
          </w:p>
        </w:tc>
        <w:tc>
          <w:tcPr>
            <w:tcW w:w="735" w:type="dxa"/>
            <w:vMerge w:val="restart"/>
            <w:tcBorders>
              <w:tl2br w:val="nil"/>
              <w:tr2bl w:val="nil"/>
            </w:tcBorders>
            <w:noWrap w:val="0"/>
            <w:vAlign w:val="center"/>
          </w:tcPr>
          <w:p w14:paraId="0C3B08D4">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运行时段</w:t>
            </w:r>
          </w:p>
        </w:tc>
        <w:tc>
          <w:tcPr>
            <w:tcW w:w="1051" w:type="dxa"/>
            <w:vMerge w:val="restart"/>
            <w:tcBorders>
              <w:tl2br w:val="nil"/>
              <w:tr2bl w:val="nil"/>
            </w:tcBorders>
            <w:noWrap w:val="0"/>
            <w:vAlign w:val="center"/>
          </w:tcPr>
          <w:p w14:paraId="224D0EEB">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建筑物插入损失/dB(A)</w:t>
            </w:r>
          </w:p>
        </w:tc>
        <w:tc>
          <w:tcPr>
            <w:tcW w:w="2319" w:type="dxa"/>
            <w:gridSpan w:val="2"/>
            <w:tcBorders>
              <w:tl2br w:val="nil"/>
              <w:tr2bl w:val="nil"/>
            </w:tcBorders>
            <w:noWrap w:val="0"/>
            <w:vAlign w:val="center"/>
          </w:tcPr>
          <w:p w14:paraId="3C618814">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建筑物外噪声</w:t>
            </w:r>
          </w:p>
        </w:tc>
      </w:tr>
      <w:tr w14:paraId="5B5062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749" w:type="dxa"/>
            <w:vMerge w:val="continue"/>
            <w:tcBorders>
              <w:tl2br w:val="nil"/>
              <w:tr2bl w:val="nil"/>
            </w:tcBorders>
            <w:noWrap/>
            <w:vAlign w:val="center"/>
          </w:tcPr>
          <w:p w14:paraId="56FCB8EA">
            <w:pPr>
              <w:jc w:val="center"/>
              <w:rPr>
                <w:rFonts w:hint="default" w:ascii="Times New Roman" w:hAnsi="Times New Roman" w:cs="Times New Roman"/>
                <w:color w:val="000000"/>
                <w:sz w:val="21"/>
                <w:szCs w:val="21"/>
              </w:rPr>
            </w:pPr>
          </w:p>
        </w:tc>
        <w:tc>
          <w:tcPr>
            <w:tcW w:w="667" w:type="dxa"/>
            <w:vMerge w:val="continue"/>
            <w:tcBorders>
              <w:tl2br w:val="nil"/>
              <w:tr2bl w:val="nil"/>
            </w:tcBorders>
            <w:noWrap/>
            <w:vAlign w:val="center"/>
          </w:tcPr>
          <w:p w14:paraId="09B5E43B">
            <w:pPr>
              <w:jc w:val="center"/>
              <w:rPr>
                <w:rFonts w:hint="default" w:ascii="Times New Roman" w:hAnsi="Times New Roman" w:cs="Times New Roman"/>
                <w:color w:val="000000"/>
                <w:sz w:val="21"/>
                <w:szCs w:val="21"/>
              </w:rPr>
            </w:pPr>
          </w:p>
        </w:tc>
        <w:tc>
          <w:tcPr>
            <w:tcW w:w="1126" w:type="dxa"/>
            <w:vMerge w:val="continue"/>
            <w:tcBorders>
              <w:tl2br w:val="nil"/>
              <w:tr2bl w:val="nil"/>
            </w:tcBorders>
            <w:noWrap/>
            <w:vAlign w:val="center"/>
          </w:tcPr>
          <w:p w14:paraId="32DB7A44">
            <w:pPr>
              <w:jc w:val="center"/>
              <w:rPr>
                <w:rFonts w:hint="default" w:ascii="Times New Roman" w:hAnsi="Times New Roman" w:cs="Times New Roman"/>
                <w:color w:val="000000"/>
                <w:sz w:val="21"/>
                <w:szCs w:val="21"/>
              </w:rPr>
            </w:pPr>
          </w:p>
        </w:tc>
        <w:tc>
          <w:tcPr>
            <w:tcW w:w="761" w:type="dxa"/>
            <w:vMerge w:val="continue"/>
            <w:tcBorders>
              <w:tl2br w:val="nil"/>
              <w:tr2bl w:val="nil"/>
            </w:tcBorders>
            <w:noWrap w:val="0"/>
            <w:vAlign w:val="center"/>
          </w:tcPr>
          <w:p w14:paraId="04B28758">
            <w:pPr>
              <w:jc w:val="center"/>
              <w:rPr>
                <w:rFonts w:hint="default" w:ascii="Times New Roman" w:hAnsi="Times New Roman" w:cs="Times New Roman"/>
                <w:color w:val="000000"/>
                <w:sz w:val="21"/>
                <w:szCs w:val="21"/>
              </w:rPr>
            </w:pPr>
          </w:p>
        </w:tc>
        <w:tc>
          <w:tcPr>
            <w:tcW w:w="788" w:type="dxa"/>
            <w:vMerge w:val="continue"/>
            <w:tcBorders>
              <w:tl2br w:val="nil"/>
              <w:tr2bl w:val="nil"/>
            </w:tcBorders>
            <w:noWrap w:val="0"/>
            <w:vAlign w:val="center"/>
          </w:tcPr>
          <w:p w14:paraId="3D72A86F">
            <w:pPr>
              <w:jc w:val="center"/>
              <w:rPr>
                <w:rFonts w:hint="default" w:ascii="Times New Roman" w:hAnsi="Times New Roman" w:cs="Times New Roman"/>
                <w:color w:val="000000"/>
                <w:sz w:val="21"/>
                <w:szCs w:val="21"/>
              </w:rPr>
            </w:pPr>
          </w:p>
        </w:tc>
        <w:tc>
          <w:tcPr>
            <w:tcW w:w="867" w:type="dxa"/>
            <w:vMerge w:val="continue"/>
            <w:tcBorders>
              <w:tl2br w:val="nil"/>
              <w:tr2bl w:val="nil"/>
            </w:tcBorders>
            <w:noWrap w:val="0"/>
            <w:vAlign w:val="center"/>
          </w:tcPr>
          <w:p w14:paraId="0219A813">
            <w:pPr>
              <w:jc w:val="center"/>
              <w:rPr>
                <w:rFonts w:hint="default" w:ascii="Times New Roman" w:hAnsi="Times New Roman" w:cs="Times New Roman"/>
                <w:color w:val="000000"/>
                <w:sz w:val="21"/>
                <w:szCs w:val="21"/>
              </w:rPr>
            </w:pPr>
          </w:p>
        </w:tc>
        <w:tc>
          <w:tcPr>
            <w:tcW w:w="945" w:type="dxa"/>
            <w:tcBorders>
              <w:tl2br w:val="nil"/>
              <w:tr2bl w:val="nil"/>
            </w:tcBorders>
            <w:noWrap/>
            <w:vAlign w:val="center"/>
          </w:tcPr>
          <w:p w14:paraId="46E34A84">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X</w:t>
            </w:r>
          </w:p>
        </w:tc>
        <w:tc>
          <w:tcPr>
            <w:tcW w:w="1093" w:type="dxa"/>
            <w:tcBorders>
              <w:tl2br w:val="nil"/>
              <w:tr2bl w:val="nil"/>
            </w:tcBorders>
            <w:noWrap/>
            <w:vAlign w:val="center"/>
          </w:tcPr>
          <w:p w14:paraId="78F08588">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Y</w:t>
            </w:r>
          </w:p>
        </w:tc>
        <w:tc>
          <w:tcPr>
            <w:tcW w:w="789" w:type="dxa"/>
            <w:tcBorders>
              <w:tl2br w:val="nil"/>
              <w:tr2bl w:val="nil"/>
            </w:tcBorders>
            <w:noWrap/>
            <w:vAlign w:val="center"/>
          </w:tcPr>
          <w:p w14:paraId="079EF741">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Z</w:t>
            </w:r>
          </w:p>
        </w:tc>
        <w:tc>
          <w:tcPr>
            <w:tcW w:w="1059" w:type="dxa"/>
            <w:vMerge w:val="continue"/>
            <w:tcBorders>
              <w:tl2br w:val="nil"/>
              <w:tr2bl w:val="nil"/>
            </w:tcBorders>
            <w:noWrap w:val="0"/>
            <w:vAlign w:val="center"/>
          </w:tcPr>
          <w:p w14:paraId="5348C223">
            <w:pPr>
              <w:jc w:val="center"/>
              <w:rPr>
                <w:rFonts w:hint="default" w:ascii="Times New Roman" w:hAnsi="Times New Roman" w:cs="Times New Roman"/>
                <w:color w:val="000000"/>
                <w:sz w:val="21"/>
                <w:szCs w:val="21"/>
              </w:rPr>
            </w:pPr>
          </w:p>
        </w:tc>
        <w:tc>
          <w:tcPr>
            <w:tcW w:w="1207" w:type="dxa"/>
            <w:vMerge w:val="continue"/>
            <w:tcBorders>
              <w:tl2br w:val="nil"/>
              <w:tr2bl w:val="nil"/>
            </w:tcBorders>
            <w:noWrap w:val="0"/>
            <w:vAlign w:val="center"/>
          </w:tcPr>
          <w:p w14:paraId="20AC61A4">
            <w:pPr>
              <w:jc w:val="center"/>
              <w:rPr>
                <w:rFonts w:hint="default" w:ascii="Times New Roman" w:hAnsi="Times New Roman" w:cs="Times New Roman"/>
                <w:color w:val="000000"/>
                <w:sz w:val="21"/>
                <w:szCs w:val="21"/>
              </w:rPr>
            </w:pPr>
          </w:p>
        </w:tc>
        <w:tc>
          <w:tcPr>
            <w:tcW w:w="735" w:type="dxa"/>
            <w:vMerge w:val="continue"/>
            <w:tcBorders>
              <w:tl2br w:val="nil"/>
              <w:tr2bl w:val="nil"/>
            </w:tcBorders>
            <w:noWrap w:val="0"/>
            <w:vAlign w:val="center"/>
          </w:tcPr>
          <w:p w14:paraId="4A37812B">
            <w:pPr>
              <w:jc w:val="center"/>
              <w:rPr>
                <w:rFonts w:hint="default" w:ascii="Times New Roman" w:hAnsi="Times New Roman" w:cs="Times New Roman"/>
                <w:color w:val="000000"/>
                <w:sz w:val="21"/>
                <w:szCs w:val="21"/>
              </w:rPr>
            </w:pPr>
          </w:p>
        </w:tc>
        <w:tc>
          <w:tcPr>
            <w:tcW w:w="1051" w:type="dxa"/>
            <w:vMerge w:val="continue"/>
            <w:tcBorders>
              <w:tl2br w:val="nil"/>
              <w:tr2bl w:val="nil"/>
            </w:tcBorders>
            <w:noWrap w:val="0"/>
            <w:vAlign w:val="center"/>
          </w:tcPr>
          <w:p w14:paraId="10FA088A">
            <w:pPr>
              <w:jc w:val="center"/>
              <w:rPr>
                <w:rFonts w:hint="default" w:ascii="Times New Roman" w:hAnsi="Times New Roman" w:cs="Times New Roman"/>
                <w:color w:val="000000"/>
                <w:sz w:val="21"/>
                <w:szCs w:val="21"/>
              </w:rPr>
            </w:pPr>
          </w:p>
        </w:tc>
        <w:tc>
          <w:tcPr>
            <w:tcW w:w="1312" w:type="dxa"/>
            <w:tcBorders>
              <w:tl2br w:val="nil"/>
              <w:tr2bl w:val="nil"/>
            </w:tcBorders>
            <w:noWrap w:val="0"/>
            <w:vAlign w:val="center"/>
          </w:tcPr>
          <w:p w14:paraId="641D9AC6">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声压级/dB(A)</w:t>
            </w:r>
          </w:p>
        </w:tc>
        <w:tc>
          <w:tcPr>
            <w:tcW w:w="1007" w:type="dxa"/>
            <w:tcBorders>
              <w:tl2br w:val="nil"/>
              <w:tr2bl w:val="nil"/>
            </w:tcBorders>
            <w:noWrap w:val="0"/>
            <w:vAlign w:val="center"/>
          </w:tcPr>
          <w:p w14:paraId="334E465A">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建筑物外距离</w:t>
            </w:r>
          </w:p>
        </w:tc>
      </w:tr>
      <w:tr w14:paraId="191A62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749" w:type="dxa"/>
            <w:tcBorders>
              <w:tl2br w:val="nil"/>
              <w:tr2bl w:val="nil"/>
            </w:tcBorders>
            <w:noWrap/>
            <w:vAlign w:val="center"/>
          </w:tcPr>
          <w:p w14:paraId="2536E9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67" w:type="dxa"/>
            <w:tcBorders>
              <w:bottom w:val="single" w:color="auto" w:sz="4" w:space="0"/>
              <w:tl2br w:val="nil"/>
              <w:tr2bl w:val="nil"/>
            </w:tcBorders>
            <w:noWrap/>
            <w:vAlign w:val="center"/>
          </w:tcPr>
          <w:p w14:paraId="7A6A61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注塑</w:t>
            </w:r>
            <w:r>
              <w:rPr>
                <w:rFonts w:hint="default" w:ascii="Times New Roman" w:hAnsi="Times New Roman" w:eastAsia="宋体" w:cs="Times New Roman"/>
                <w:i w:val="0"/>
                <w:iCs w:val="0"/>
                <w:color w:val="000000"/>
                <w:kern w:val="0"/>
                <w:sz w:val="21"/>
                <w:szCs w:val="21"/>
                <w:u w:val="none"/>
                <w:lang w:val="en-US" w:eastAsia="zh-CN" w:bidi="ar"/>
              </w:rPr>
              <w:t>车间</w:t>
            </w:r>
          </w:p>
        </w:tc>
        <w:tc>
          <w:tcPr>
            <w:tcW w:w="1126" w:type="dxa"/>
            <w:tcBorders>
              <w:tl2br w:val="nil"/>
              <w:tr2bl w:val="nil"/>
            </w:tcBorders>
            <w:noWrap/>
            <w:vAlign w:val="center"/>
          </w:tcPr>
          <w:p w14:paraId="1DE746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2"/>
                <w:szCs w:val="22"/>
                <w:u w:val="none"/>
                <w:lang w:val="en-US" w:eastAsia="zh-CN" w:bidi="ar"/>
              </w:rPr>
              <w:t>注塑</w:t>
            </w:r>
            <w:r>
              <w:rPr>
                <w:rFonts w:hint="default" w:ascii="Times New Roman" w:hAnsi="Times New Roman" w:eastAsia="宋体" w:cs="Times New Roman"/>
                <w:i w:val="0"/>
                <w:iCs w:val="0"/>
                <w:color w:val="000000"/>
                <w:kern w:val="0"/>
                <w:sz w:val="22"/>
                <w:szCs w:val="22"/>
                <w:u w:val="none"/>
                <w:lang w:val="en-US" w:eastAsia="zh-CN" w:bidi="ar"/>
              </w:rPr>
              <w:t>机</w:t>
            </w:r>
            <w:r>
              <w:rPr>
                <w:rFonts w:hint="eastAsia" w:cs="Times New Roman"/>
                <w:i w:val="0"/>
                <w:iCs w:val="0"/>
                <w:color w:val="000000"/>
                <w:kern w:val="0"/>
                <w:sz w:val="22"/>
                <w:szCs w:val="22"/>
                <w:u w:val="none"/>
                <w:lang w:val="en-US" w:eastAsia="zh-CN" w:bidi="ar"/>
              </w:rPr>
              <w:t>1~注塑机10</w:t>
            </w:r>
          </w:p>
        </w:tc>
        <w:tc>
          <w:tcPr>
            <w:tcW w:w="761" w:type="dxa"/>
            <w:tcBorders>
              <w:tl2br w:val="nil"/>
              <w:tr2bl w:val="nil"/>
            </w:tcBorders>
            <w:noWrap/>
            <w:vAlign w:val="center"/>
          </w:tcPr>
          <w:p w14:paraId="11FCB2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定制设备</w:t>
            </w:r>
          </w:p>
        </w:tc>
        <w:tc>
          <w:tcPr>
            <w:tcW w:w="788" w:type="dxa"/>
            <w:tcBorders>
              <w:tl2br w:val="nil"/>
              <w:tr2bl w:val="nil"/>
            </w:tcBorders>
            <w:noWrap/>
            <w:vAlign w:val="center"/>
          </w:tcPr>
          <w:p w14:paraId="40CFA803">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2"/>
                <w:szCs w:val="22"/>
                <w:u w:val="none"/>
                <w:lang w:val="en-US" w:eastAsia="zh-CN" w:bidi="ar"/>
              </w:rPr>
              <w:t>75</w:t>
            </w:r>
          </w:p>
        </w:tc>
        <w:tc>
          <w:tcPr>
            <w:tcW w:w="867" w:type="dxa"/>
            <w:vMerge w:val="restart"/>
            <w:tcBorders>
              <w:tl2br w:val="nil"/>
              <w:tr2bl w:val="nil"/>
            </w:tcBorders>
            <w:noWrap w:val="0"/>
            <w:vAlign w:val="center"/>
          </w:tcPr>
          <w:p w14:paraId="4B0A9F53">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选用低噪声设备，加强设备保养，加强建筑物封闭</w:t>
            </w:r>
          </w:p>
        </w:tc>
        <w:tc>
          <w:tcPr>
            <w:tcW w:w="945" w:type="dxa"/>
            <w:tcBorders>
              <w:tl2br w:val="nil"/>
              <w:tr2bl w:val="nil"/>
            </w:tcBorders>
            <w:noWrap/>
            <w:vAlign w:val="center"/>
          </w:tcPr>
          <w:p w14:paraId="646177C5">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10</w:t>
            </w:r>
          </w:p>
        </w:tc>
        <w:tc>
          <w:tcPr>
            <w:tcW w:w="1093" w:type="dxa"/>
            <w:tcBorders>
              <w:tl2br w:val="nil"/>
              <w:tr2bl w:val="nil"/>
            </w:tcBorders>
            <w:noWrap/>
            <w:vAlign w:val="center"/>
          </w:tcPr>
          <w:p w14:paraId="2317547F">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15</w:t>
            </w:r>
          </w:p>
        </w:tc>
        <w:tc>
          <w:tcPr>
            <w:tcW w:w="789" w:type="dxa"/>
            <w:tcBorders>
              <w:tl2br w:val="nil"/>
              <w:tr2bl w:val="nil"/>
            </w:tcBorders>
            <w:noWrap/>
            <w:vAlign w:val="center"/>
          </w:tcPr>
          <w:p w14:paraId="3B493048">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9" w:type="dxa"/>
            <w:tcBorders>
              <w:tl2br w:val="nil"/>
              <w:tr2bl w:val="nil"/>
            </w:tcBorders>
            <w:noWrap/>
            <w:vAlign w:val="center"/>
          </w:tcPr>
          <w:p w14:paraId="35A9BF13">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cs="Times New Roman"/>
                <w:i w:val="0"/>
                <w:iCs w:val="0"/>
                <w:color w:val="000000"/>
                <w:kern w:val="0"/>
                <w:sz w:val="21"/>
                <w:szCs w:val="21"/>
                <w:u w:val="none"/>
                <w:lang w:val="en-US" w:eastAsia="zh-CN" w:bidi="ar"/>
              </w:rPr>
              <w:t>2</w:t>
            </w:r>
          </w:p>
        </w:tc>
        <w:tc>
          <w:tcPr>
            <w:tcW w:w="1207" w:type="dxa"/>
            <w:tcBorders>
              <w:tl2br w:val="nil"/>
              <w:tr2bl w:val="nil"/>
            </w:tcBorders>
            <w:noWrap/>
            <w:vAlign w:val="center"/>
          </w:tcPr>
          <w:p w14:paraId="1FB55B8D">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2"/>
                <w:szCs w:val="22"/>
                <w:u w:val="none"/>
                <w:lang w:val="en-US" w:eastAsia="zh-CN" w:bidi="ar"/>
              </w:rPr>
              <w:t xml:space="preserve">69.63 </w:t>
            </w:r>
          </w:p>
        </w:tc>
        <w:tc>
          <w:tcPr>
            <w:tcW w:w="735" w:type="dxa"/>
            <w:vMerge w:val="restart"/>
            <w:tcBorders>
              <w:tl2br w:val="nil"/>
              <w:tr2bl w:val="nil"/>
            </w:tcBorders>
            <w:noWrap w:val="0"/>
            <w:vAlign w:val="center"/>
          </w:tcPr>
          <w:p w14:paraId="54E09EDD">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2"/>
                <w:szCs w:val="22"/>
                <w:u w:val="none"/>
                <w:lang w:val="en-US" w:eastAsia="zh-CN" w:bidi="ar"/>
              </w:rPr>
              <w:t>8:00-</w:t>
            </w:r>
            <w:r>
              <w:rPr>
                <w:rFonts w:hint="eastAsia" w:cs="Times New Roman"/>
                <w:i w:val="0"/>
                <w:iCs w:val="0"/>
                <w:color w:val="000000"/>
                <w:kern w:val="0"/>
                <w:sz w:val="22"/>
                <w:szCs w:val="22"/>
                <w:u w:val="none"/>
                <w:lang w:val="en-US" w:eastAsia="zh-CN" w:bidi="ar"/>
              </w:rPr>
              <w:t>24</w:t>
            </w:r>
            <w:r>
              <w:rPr>
                <w:rFonts w:hint="default" w:ascii="Times New Roman" w:hAnsi="Times New Roman" w:eastAsia="宋体" w:cs="Times New Roman"/>
                <w:i w:val="0"/>
                <w:iCs w:val="0"/>
                <w:color w:val="000000"/>
                <w:kern w:val="0"/>
                <w:sz w:val="22"/>
                <w:szCs w:val="22"/>
                <w:u w:val="none"/>
                <w:lang w:val="en-US" w:eastAsia="zh-CN" w:bidi="ar"/>
              </w:rPr>
              <w:t>:00</w:t>
            </w:r>
          </w:p>
        </w:tc>
        <w:tc>
          <w:tcPr>
            <w:tcW w:w="1051" w:type="dxa"/>
            <w:tcBorders>
              <w:tl2br w:val="nil"/>
              <w:tr2bl w:val="nil"/>
            </w:tcBorders>
            <w:noWrap/>
            <w:vAlign w:val="center"/>
          </w:tcPr>
          <w:p w14:paraId="5C2ED1D9">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312" w:type="dxa"/>
            <w:tcBorders>
              <w:tl2br w:val="nil"/>
              <w:tr2bl w:val="nil"/>
            </w:tcBorders>
            <w:noWrap/>
            <w:vAlign w:val="center"/>
          </w:tcPr>
          <w:p w14:paraId="5EDB1C5F">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eastAsia" w:cs="Times New Roman"/>
                <w:i w:val="0"/>
                <w:iCs w:val="0"/>
                <w:color w:val="000000"/>
                <w:kern w:val="0"/>
                <w:sz w:val="22"/>
                <w:szCs w:val="22"/>
                <w:u w:val="none"/>
                <w:lang w:val="en-US" w:eastAsia="zh-CN" w:bidi="ar"/>
              </w:rPr>
              <w:t>54</w:t>
            </w:r>
            <w:r>
              <w:rPr>
                <w:rFonts w:hint="default" w:ascii="Times New Roman" w:hAnsi="Times New Roman" w:eastAsia="宋体" w:cs="Times New Roman"/>
                <w:i w:val="0"/>
                <w:iCs w:val="0"/>
                <w:color w:val="000000"/>
                <w:kern w:val="0"/>
                <w:sz w:val="22"/>
                <w:szCs w:val="22"/>
                <w:u w:val="none"/>
                <w:lang w:val="en-US" w:eastAsia="zh-CN" w:bidi="ar"/>
              </w:rPr>
              <w:t xml:space="preserve">.63 </w:t>
            </w:r>
          </w:p>
        </w:tc>
        <w:tc>
          <w:tcPr>
            <w:tcW w:w="1007" w:type="dxa"/>
            <w:tcBorders>
              <w:tl2br w:val="nil"/>
              <w:tr2bl w:val="nil"/>
            </w:tcBorders>
            <w:noWrap/>
            <w:vAlign w:val="center"/>
          </w:tcPr>
          <w:p w14:paraId="3F536DF2">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A701D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749" w:type="dxa"/>
            <w:tcBorders>
              <w:tl2br w:val="nil"/>
              <w:tr2bl w:val="nil"/>
            </w:tcBorders>
            <w:noWrap/>
            <w:vAlign w:val="center"/>
          </w:tcPr>
          <w:p w14:paraId="0DB223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67" w:type="dxa"/>
            <w:vMerge w:val="restart"/>
            <w:tcBorders>
              <w:top w:val="single" w:color="auto" w:sz="4" w:space="0"/>
              <w:tl2br w:val="nil"/>
              <w:tr2bl w:val="nil"/>
            </w:tcBorders>
            <w:noWrap/>
            <w:vAlign w:val="center"/>
          </w:tcPr>
          <w:p w14:paraId="5EFA5F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喷涂车间</w:t>
            </w:r>
          </w:p>
        </w:tc>
        <w:tc>
          <w:tcPr>
            <w:tcW w:w="1126" w:type="dxa"/>
            <w:tcBorders>
              <w:tl2br w:val="nil"/>
              <w:tr2bl w:val="nil"/>
            </w:tcBorders>
            <w:noWrap/>
            <w:vAlign w:val="center"/>
          </w:tcPr>
          <w:p w14:paraId="2A705A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2"/>
                <w:szCs w:val="22"/>
                <w:u w:val="none"/>
                <w:lang w:val="en-US" w:eastAsia="zh-CN" w:bidi="ar"/>
              </w:rPr>
              <w:t>1#生产线喷漆柜</w:t>
            </w:r>
          </w:p>
        </w:tc>
        <w:tc>
          <w:tcPr>
            <w:tcW w:w="761" w:type="dxa"/>
            <w:tcBorders>
              <w:tl2br w:val="nil"/>
              <w:tr2bl w:val="nil"/>
            </w:tcBorders>
            <w:noWrap/>
            <w:vAlign w:val="center"/>
          </w:tcPr>
          <w:p w14:paraId="65C2D6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定制设备</w:t>
            </w:r>
          </w:p>
        </w:tc>
        <w:tc>
          <w:tcPr>
            <w:tcW w:w="788" w:type="dxa"/>
            <w:tcBorders>
              <w:tl2br w:val="nil"/>
              <w:tr2bl w:val="nil"/>
            </w:tcBorders>
            <w:noWrap/>
            <w:vAlign w:val="center"/>
          </w:tcPr>
          <w:p w14:paraId="563DD6FF">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2"/>
                <w:szCs w:val="22"/>
                <w:u w:val="none"/>
                <w:lang w:val="en-US" w:eastAsia="zh-CN" w:bidi="ar"/>
              </w:rPr>
              <w:t>75</w:t>
            </w:r>
          </w:p>
        </w:tc>
        <w:tc>
          <w:tcPr>
            <w:tcW w:w="867" w:type="dxa"/>
            <w:vMerge w:val="continue"/>
            <w:tcBorders>
              <w:tl2br w:val="nil"/>
              <w:tr2bl w:val="nil"/>
            </w:tcBorders>
            <w:noWrap w:val="0"/>
            <w:vAlign w:val="center"/>
          </w:tcPr>
          <w:p w14:paraId="533B3BBA">
            <w:pPr>
              <w:jc w:val="center"/>
              <w:rPr>
                <w:rFonts w:hint="default" w:ascii="Times New Roman" w:hAnsi="Times New Roman" w:cs="Times New Roman"/>
                <w:color w:val="000000"/>
                <w:sz w:val="21"/>
                <w:szCs w:val="21"/>
              </w:rPr>
            </w:pPr>
          </w:p>
        </w:tc>
        <w:tc>
          <w:tcPr>
            <w:tcW w:w="945" w:type="dxa"/>
            <w:tcBorders>
              <w:tl2br w:val="nil"/>
              <w:tr2bl w:val="nil"/>
            </w:tcBorders>
            <w:noWrap/>
            <w:vAlign w:val="center"/>
          </w:tcPr>
          <w:p w14:paraId="3514865E">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8.8</w:t>
            </w:r>
          </w:p>
        </w:tc>
        <w:tc>
          <w:tcPr>
            <w:tcW w:w="1093" w:type="dxa"/>
            <w:tcBorders>
              <w:tl2br w:val="nil"/>
              <w:tr2bl w:val="nil"/>
            </w:tcBorders>
            <w:noWrap/>
            <w:vAlign w:val="center"/>
          </w:tcPr>
          <w:p w14:paraId="33A9229F">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260</w:t>
            </w:r>
          </w:p>
        </w:tc>
        <w:tc>
          <w:tcPr>
            <w:tcW w:w="789" w:type="dxa"/>
            <w:tcBorders>
              <w:tl2br w:val="nil"/>
              <w:tr2bl w:val="nil"/>
            </w:tcBorders>
            <w:noWrap/>
            <w:vAlign w:val="center"/>
          </w:tcPr>
          <w:p w14:paraId="0AFFF805">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9" w:type="dxa"/>
            <w:tcBorders>
              <w:tl2br w:val="nil"/>
              <w:tr2bl w:val="nil"/>
            </w:tcBorders>
            <w:noWrap/>
            <w:vAlign w:val="center"/>
          </w:tcPr>
          <w:p w14:paraId="7E73D6C5">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1"/>
                <w:szCs w:val="21"/>
                <w:u w:val="none"/>
                <w:lang w:val="en-US" w:eastAsia="zh-CN" w:bidi="ar"/>
              </w:rPr>
              <w:t>8.8</w:t>
            </w:r>
          </w:p>
        </w:tc>
        <w:tc>
          <w:tcPr>
            <w:tcW w:w="1207" w:type="dxa"/>
            <w:tcBorders>
              <w:tl2br w:val="nil"/>
              <w:tr2bl w:val="nil"/>
            </w:tcBorders>
            <w:noWrap/>
            <w:vAlign w:val="center"/>
          </w:tcPr>
          <w:p w14:paraId="765B3781">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2"/>
                <w:szCs w:val="22"/>
                <w:u w:val="none"/>
                <w:lang w:val="en-US" w:eastAsia="zh-CN" w:bidi="ar"/>
              </w:rPr>
              <w:t>6</w:t>
            </w:r>
            <w:r>
              <w:rPr>
                <w:rFonts w:hint="eastAsia" w:cs="Times New Roman"/>
                <w:i w:val="0"/>
                <w:iCs w:val="0"/>
                <w:color w:val="000000"/>
                <w:kern w:val="0"/>
                <w:sz w:val="22"/>
                <w:szCs w:val="22"/>
                <w:u w:val="none"/>
                <w:lang w:val="en-US" w:eastAsia="zh-CN" w:bidi="ar"/>
              </w:rPr>
              <w:t>8</w:t>
            </w:r>
            <w:r>
              <w:rPr>
                <w:rFonts w:hint="default" w:ascii="Times New Roman" w:hAnsi="Times New Roman" w:eastAsia="宋体" w:cs="Times New Roman"/>
                <w:i w:val="0"/>
                <w:iCs w:val="0"/>
                <w:color w:val="000000"/>
                <w:kern w:val="0"/>
                <w:sz w:val="22"/>
                <w:szCs w:val="22"/>
                <w:u w:val="none"/>
                <w:lang w:val="en-US" w:eastAsia="zh-CN" w:bidi="ar"/>
              </w:rPr>
              <w:t xml:space="preserve">.90 </w:t>
            </w:r>
          </w:p>
        </w:tc>
        <w:tc>
          <w:tcPr>
            <w:tcW w:w="735" w:type="dxa"/>
            <w:vMerge w:val="continue"/>
            <w:tcBorders>
              <w:tl2br w:val="nil"/>
              <w:tr2bl w:val="nil"/>
            </w:tcBorders>
            <w:noWrap w:val="0"/>
            <w:vAlign w:val="center"/>
          </w:tcPr>
          <w:p w14:paraId="3EB894B6">
            <w:pPr>
              <w:jc w:val="center"/>
              <w:rPr>
                <w:rFonts w:hint="default" w:ascii="Times New Roman" w:hAnsi="Times New Roman" w:cs="Times New Roman"/>
                <w:color w:val="000000"/>
                <w:sz w:val="21"/>
                <w:szCs w:val="21"/>
              </w:rPr>
            </w:pPr>
          </w:p>
        </w:tc>
        <w:tc>
          <w:tcPr>
            <w:tcW w:w="1051" w:type="dxa"/>
            <w:tcBorders>
              <w:tl2br w:val="nil"/>
              <w:tr2bl w:val="nil"/>
            </w:tcBorders>
            <w:noWrap/>
            <w:vAlign w:val="center"/>
          </w:tcPr>
          <w:p w14:paraId="15B94FCB">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312" w:type="dxa"/>
            <w:tcBorders>
              <w:tl2br w:val="nil"/>
              <w:tr2bl w:val="nil"/>
            </w:tcBorders>
            <w:noWrap/>
            <w:vAlign w:val="center"/>
          </w:tcPr>
          <w:p w14:paraId="6C63AB66">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eastAsia" w:cs="Times New Roman"/>
                <w:i w:val="0"/>
                <w:iCs w:val="0"/>
                <w:color w:val="000000"/>
                <w:kern w:val="0"/>
                <w:sz w:val="22"/>
                <w:szCs w:val="22"/>
                <w:u w:val="none"/>
                <w:lang w:val="en-US" w:eastAsia="zh-CN" w:bidi="ar"/>
              </w:rPr>
              <w:t>53</w:t>
            </w:r>
            <w:r>
              <w:rPr>
                <w:rFonts w:hint="default" w:ascii="Times New Roman" w:hAnsi="Times New Roman" w:eastAsia="宋体" w:cs="Times New Roman"/>
                <w:i w:val="0"/>
                <w:iCs w:val="0"/>
                <w:color w:val="000000"/>
                <w:kern w:val="0"/>
                <w:sz w:val="22"/>
                <w:szCs w:val="22"/>
                <w:u w:val="none"/>
                <w:lang w:val="en-US" w:eastAsia="zh-CN" w:bidi="ar"/>
              </w:rPr>
              <w:t xml:space="preserve">.90 </w:t>
            </w:r>
          </w:p>
        </w:tc>
        <w:tc>
          <w:tcPr>
            <w:tcW w:w="1007" w:type="dxa"/>
            <w:tcBorders>
              <w:tl2br w:val="nil"/>
              <w:tr2bl w:val="nil"/>
            </w:tcBorders>
            <w:noWrap/>
            <w:vAlign w:val="center"/>
          </w:tcPr>
          <w:p w14:paraId="4F8D4B3B">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3EBAE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49" w:type="dxa"/>
            <w:tcBorders>
              <w:tl2br w:val="nil"/>
              <w:tr2bl w:val="nil"/>
            </w:tcBorders>
            <w:noWrap/>
            <w:vAlign w:val="center"/>
          </w:tcPr>
          <w:p w14:paraId="11406F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67" w:type="dxa"/>
            <w:vMerge w:val="continue"/>
            <w:tcBorders>
              <w:tl2br w:val="nil"/>
              <w:tr2bl w:val="nil"/>
            </w:tcBorders>
            <w:noWrap/>
            <w:vAlign w:val="center"/>
          </w:tcPr>
          <w:p w14:paraId="039D92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6" w:type="dxa"/>
            <w:tcBorders>
              <w:tl2br w:val="nil"/>
              <w:tr2bl w:val="nil"/>
            </w:tcBorders>
            <w:noWrap/>
            <w:vAlign w:val="center"/>
          </w:tcPr>
          <w:p w14:paraId="3BFF63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2"/>
                <w:szCs w:val="22"/>
                <w:u w:val="none"/>
                <w:lang w:val="en-US" w:eastAsia="zh-CN" w:bidi="ar"/>
              </w:rPr>
              <w:t>2#生产线喷漆柜</w:t>
            </w:r>
          </w:p>
        </w:tc>
        <w:tc>
          <w:tcPr>
            <w:tcW w:w="761" w:type="dxa"/>
            <w:tcBorders>
              <w:tl2br w:val="nil"/>
              <w:tr2bl w:val="nil"/>
            </w:tcBorders>
            <w:noWrap/>
            <w:vAlign w:val="center"/>
          </w:tcPr>
          <w:p w14:paraId="4B51D38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定制设备</w:t>
            </w:r>
          </w:p>
        </w:tc>
        <w:tc>
          <w:tcPr>
            <w:tcW w:w="788" w:type="dxa"/>
            <w:tcBorders>
              <w:tl2br w:val="nil"/>
              <w:tr2bl w:val="nil"/>
            </w:tcBorders>
            <w:noWrap/>
            <w:vAlign w:val="center"/>
          </w:tcPr>
          <w:p w14:paraId="4EF70854">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2"/>
                <w:szCs w:val="22"/>
                <w:u w:val="none"/>
                <w:lang w:val="en-US" w:eastAsia="zh-CN" w:bidi="ar"/>
              </w:rPr>
              <w:t>75</w:t>
            </w:r>
          </w:p>
        </w:tc>
        <w:tc>
          <w:tcPr>
            <w:tcW w:w="867" w:type="dxa"/>
            <w:vMerge w:val="continue"/>
            <w:tcBorders>
              <w:tl2br w:val="nil"/>
              <w:tr2bl w:val="nil"/>
            </w:tcBorders>
            <w:noWrap w:val="0"/>
            <w:vAlign w:val="center"/>
          </w:tcPr>
          <w:p w14:paraId="665A7D05">
            <w:pPr>
              <w:jc w:val="center"/>
              <w:rPr>
                <w:rFonts w:hint="default" w:ascii="Times New Roman" w:hAnsi="Times New Roman" w:cs="Times New Roman"/>
                <w:color w:val="000000"/>
                <w:sz w:val="21"/>
                <w:szCs w:val="21"/>
              </w:rPr>
            </w:pPr>
          </w:p>
        </w:tc>
        <w:tc>
          <w:tcPr>
            <w:tcW w:w="945" w:type="dxa"/>
            <w:tcBorders>
              <w:tl2br w:val="nil"/>
              <w:tr2bl w:val="nil"/>
            </w:tcBorders>
            <w:noWrap/>
            <w:vAlign w:val="center"/>
          </w:tcPr>
          <w:p w14:paraId="3EDEBF00">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30</w:t>
            </w:r>
          </w:p>
        </w:tc>
        <w:tc>
          <w:tcPr>
            <w:tcW w:w="1093" w:type="dxa"/>
            <w:tcBorders>
              <w:tl2br w:val="nil"/>
              <w:tr2bl w:val="nil"/>
            </w:tcBorders>
            <w:noWrap/>
            <w:vAlign w:val="center"/>
          </w:tcPr>
          <w:p w14:paraId="4B601F3B">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260</w:t>
            </w:r>
          </w:p>
        </w:tc>
        <w:tc>
          <w:tcPr>
            <w:tcW w:w="789" w:type="dxa"/>
            <w:tcBorders>
              <w:tl2br w:val="nil"/>
              <w:tr2bl w:val="nil"/>
            </w:tcBorders>
            <w:noWrap/>
            <w:vAlign w:val="center"/>
          </w:tcPr>
          <w:p w14:paraId="27885CA5">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9" w:type="dxa"/>
            <w:tcBorders>
              <w:tl2br w:val="nil"/>
              <w:tr2bl w:val="nil"/>
            </w:tcBorders>
            <w:noWrap/>
            <w:vAlign w:val="center"/>
          </w:tcPr>
          <w:p w14:paraId="5DFC1F34">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1"/>
                <w:szCs w:val="21"/>
                <w:u w:val="none"/>
                <w:lang w:val="en-US" w:eastAsia="zh-CN" w:bidi="ar"/>
              </w:rPr>
              <w:t>18.8</w:t>
            </w:r>
          </w:p>
        </w:tc>
        <w:tc>
          <w:tcPr>
            <w:tcW w:w="1207" w:type="dxa"/>
            <w:tcBorders>
              <w:tl2br w:val="nil"/>
              <w:tr2bl w:val="nil"/>
            </w:tcBorders>
            <w:noWrap/>
            <w:vAlign w:val="center"/>
          </w:tcPr>
          <w:p w14:paraId="3A1A8D0D">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2"/>
                <w:szCs w:val="22"/>
                <w:u w:val="none"/>
                <w:lang w:val="en-US" w:eastAsia="zh-CN" w:bidi="ar"/>
              </w:rPr>
              <w:t xml:space="preserve">65.85 </w:t>
            </w:r>
          </w:p>
        </w:tc>
        <w:tc>
          <w:tcPr>
            <w:tcW w:w="735" w:type="dxa"/>
            <w:vMerge w:val="continue"/>
            <w:tcBorders>
              <w:tl2br w:val="nil"/>
              <w:tr2bl w:val="nil"/>
            </w:tcBorders>
            <w:noWrap w:val="0"/>
            <w:vAlign w:val="center"/>
          </w:tcPr>
          <w:p w14:paraId="44C1D55C">
            <w:pPr>
              <w:jc w:val="center"/>
              <w:rPr>
                <w:rFonts w:hint="default" w:ascii="Times New Roman" w:hAnsi="Times New Roman" w:cs="Times New Roman"/>
                <w:color w:val="000000"/>
                <w:sz w:val="21"/>
                <w:szCs w:val="21"/>
              </w:rPr>
            </w:pPr>
          </w:p>
        </w:tc>
        <w:tc>
          <w:tcPr>
            <w:tcW w:w="1051" w:type="dxa"/>
            <w:tcBorders>
              <w:tl2br w:val="nil"/>
              <w:tr2bl w:val="nil"/>
            </w:tcBorders>
            <w:noWrap/>
            <w:vAlign w:val="center"/>
          </w:tcPr>
          <w:p w14:paraId="15C58A47">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312" w:type="dxa"/>
            <w:tcBorders>
              <w:tl2br w:val="nil"/>
              <w:tr2bl w:val="nil"/>
            </w:tcBorders>
            <w:noWrap/>
            <w:vAlign w:val="center"/>
          </w:tcPr>
          <w:p w14:paraId="3B5DFE53">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eastAsia" w:cs="Times New Roman"/>
                <w:i w:val="0"/>
                <w:iCs w:val="0"/>
                <w:color w:val="000000"/>
                <w:kern w:val="0"/>
                <w:sz w:val="22"/>
                <w:szCs w:val="22"/>
                <w:u w:val="none"/>
                <w:lang w:val="en-US" w:eastAsia="zh-CN" w:bidi="ar"/>
              </w:rPr>
              <w:t>50</w:t>
            </w:r>
            <w:r>
              <w:rPr>
                <w:rFonts w:hint="default" w:ascii="Times New Roman" w:hAnsi="Times New Roman" w:eastAsia="宋体" w:cs="Times New Roman"/>
                <w:i w:val="0"/>
                <w:iCs w:val="0"/>
                <w:color w:val="000000"/>
                <w:kern w:val="0"/>
                <w:sz w:val="22"/>
                <w:szCs w:val="22"/>
                <w:u w:val="none"/>
                <w:lang w:val="en-US" w:eastAsia="zh-CN" w:bidi="ar"/>
              </w:rPr>
              <w:t xml:space="preserve">.85 </w:t>
            </w:r>
          </w:p>
        </w:tc>
        <w:tc>
          <w:tcPr>
            <w:tcW w:w="1007" w:type="dxa"/>
            <w:tcBorders>
              <w:tl2br w:val="nil"/>
              <w:tr2bl w:val="nil"/>
            </w:tcBorders>
            <w:noWrap/>
            <w:vAlign w:val="center"/>
          </w:tcPr>
          <w:p w14:paraId="4C92D027">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FE368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49" w:type="dxa"/>
            <w:tcBorders>
              <w:tl2br w:val="nil"/>
              <w:tr2bl w:val="nil"/>
            </w:tcBorders>
            <w:noWrap/>
            <w:vAlign w:val="center"/>
          </w:tcPr>
          <w:p w14:paraId="6DD463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67" w:type="dxa"/>
            <w:vMerge w:val="continue"/>
            <w:tcBorders>
              <w:tl2br w:val="nil"/>
              <w:tr2bl w:val="nil"/>
            </w:tcBorders>
            <w:noWrap/>
            <w:vAlign w:val="center"/>
          </w:tcPr>
          <w:p w14:paraId="085BDD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6" w:type="dxa"/>
            <w:tcBorders>
              <w:tl2br w:val="nil"/>
              <w:tr2bl w:val="nil"/>
            </w:tcBorders>
            <w:shd w:val="clear" w:color="auto" w:fill="auto"/>
            <w:noWrap/>
            <w:vAlign w:val="center"/>
          </w:tcPr>
          <w:p w14:paraId="16400EA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2"/>
                <w:szCs w:val="22"/>
                <w:u w:val="none"/>
                <w:lang w:val="en-US" w:eastAsia="zh-CN" w:bidi="ar"/>
              </w:rPr>
              <w:t>3#生产线喷漆柜</w:t>
            </w:r>
          </w:p>
        </w:tc>
        <w:tc>
          <w:tcPr>
            <w:tcW w:w="761" w:type="dxa"/>
            <w:tcBorders>
              <w:tl2br w:val="nil"/>
              <w:tr2bl w:val="nil"/>
            </w:tcBorders>
            <w:noWrap/>
            <w:vAlign w:val="center"/>
          </w:tcPr>
          <w:p w14:paraId="28414E3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定制设备</w:t>
            </w:r>
          </w:p>
        </w:tc>
        <w:tc>
          <w:tcPr>
            <w:tcW w:w="788" w:type="dxa"/>
            <w:tcBorders>
              <w:tl2br w:val="nil"/>
              <w:tr2bl w:val="nil"/>
            </w:tcBorders>
            <w:noWrap/>
            <w:vAlign w:val="center"/>
          </w:tcPr>
          <w:p w14:paraId="6401E1D9">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2"/>
                <w:szCs w:val="22"/>
                <w:u w:val="none"/>
                <w:lang w:val="en-US" w:eastAsia="zh-CN" w:bidi="ar"/>
              </w:rPr>
              <w:t>75</w:t>
            </w:r>
          </w:p>
        </w:tc>
        <w:tc>
          <w:tcPr>
            <w:tcW w:w="867" w:type="dxa"/>
            <w:vMerge w:val="continue"/>
            <w:tcBorders>
              <w:tl2br w:val="nil"/>
              <w:tr2bl w:val="nil"/>
            </w:tcBorders>
            <w:noWrap w:val="0"/>
            <w:vAlign w:val="center"/>
          </w:tcPr>
          <w:p w14:paraId="630ECF78">
            <w:pPr>
              <w:jc w:val="center"/>
              <w:rPr>
                <w:rFonts w:hint="default" w:ascii="Times New Roman" w:hAnsi="Times New Roman" w:cs="Times New Roman"/>
                <w:color w:val="000000"/>
                <w:sz w:val="21"/>
                <w:szCs w:val="21"/>
              </w:rPr>
            </w:pPr>
          </w:p>
        </w:tc>
        <w:tc>
          <w:tcPr>
            <w:tcW w:w="945" w:type="dxa"/>
            <w:tcBorders>
              <w:tl2br w:val="nil"/>
              <w:tr2bl w:val="nil"/>
            </w:tcBorders>
            <w:noWrap/>
            <w:vAlign w:val="center"/>
          </w:tcPr>
          <w:p w14:paraId="41797EA8">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40</w:t>
            </w:r>
          </w:p>
        </w:tc>
        <w:tc>
          <w:tcPr>
            <w:tcW w:w="1093" w:type="dxa"/>
            <w:tcBorders>
              <w:tl2br w:val="nil"/>
              <w:tr2bl w:val="nil"/>
            </w:tcBorders>
            <w:noWrap/>
            <w:vAlign w:val="center"/>
          </w:tcPr>
          <w:p w14:paraId="6CF89456">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260</w:t>
            </w:r>
          </w:p>
        </w:tc>
        <w:tc>
          <w:tcPr>
            <w:tcW w:w="789" w:type="dxa"/>
            <w:tcBorders>
              <w:tl2br w:val="nil"/>
              <w:tr2bl w:val="nil"/>
            </w:tcBorders>
            <w:noWrap/>
            <w:vAlign w:val="center"/>
          </w:tcPr>
          <w:p w14:paraId="31EB2E2D">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9" w:type="dxa"/>
            <w:tcBorders>
              <w:tl2br w:val="nil"/>
              <w:tr2bl w:val="nil"/>
            </w:tcBorders>
            <w:noWrap/>
            <w:vAlign w:val="center"/>
          </w:tcPr>
          <w:p w14:paraId="64E28BF8">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1"/>
                <w:szCs w:val="21"/>
                <w:u w:val="none"/>
                <w:lang w:val="en-US" w:eastAsia="zh-CN" w:bidi="ar"/>
              </w:rPr>
              <w:t>20</w:t>
            </w:r>
          </w:p>
        </w:tc>
        <w:tc>
          <w:tcPr>
            <w:tcW w:w="1207" w:type="dxa"/>
            <w:tcBorders>
              <w:tl2br w:val="nil"/>
              <w:tr2bl w:val="nil"/>
            </w:tcBorders>
            <w:noWrap/>
            <w:vAlign w:val="center"/>
          </w:tcPr>
          <w:p w14:paraId="6269C2D0">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2"/>
                <w:szCs w:val="22"/>
                <w:u w:val="none"/>
                <w:lang w:val="en-US" w:eastAsia="zh-CN" w:bidi="ar"/>
              </w:rPr>
              <w:t>6</w:t>
            </w:r>
            <w:r>
              <w:rPr>
                <w:rFonts w:hint="eastAsia"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 xml:space="preserve">.85 </w:t>
            </w:r>
          </w:p>
        </w:tc>
        <w:tc>
          <w:tcPr>
            <w:tcW w:w="735" w:type="dxa"/>
            <w:vMerge w:val="continue"/>
            <w:tcBorders>
              <w:tl2br w:val="nil"/>
              <w:tr2bl w:val="nil"/>
            </w:tcBorders>
            <w:noWrap w:val="0"/>
            <w:vAlign w:val="center"/>
          </w:tcPr>
          <w:p w14:paraId="007C8571">
            <w:pPr>
              <w:jc w:val="center"/>
              <w:rPr>
                <w:rFonts w:hint="default" w:ascii="Times New Roman" w:hAnsi="Times New Roman" w:cs="Times New Roman"/>
                <w:color w:val="000000"/>
                <w:sz w:val="21"/>
                <w:szCs w:val="21"/>
              </w:rPr>
            </w:pPr>
          </w:p>
        </w:tc>
        <w:tc>
          <w:tcPr>
            <w:tcW w:w="1051" w:type="dxa"/>
            <w:tcBorders>
              <w:tl2br w:val="nil"/>
              <w:tr2bl w:val="nil"/>
            </w:tcBorders>
            <w:noWrap/>
            <w:vAlign w:val="center"/>
          </w:tcPr>
          <w:p w14:paraId="6E87E117">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312" w:type="dxa"/>
            <w:tcBorders>
              <w:tl2br w:val="nil"/>
              <w:tr2bl w:val="nil"/>
            </w:tcBorders>
            <w:noWrap/>
            <w:vAlign w:val="center"/>
          </w:tcPr>
          <w:p w14:paraId="78087F6F">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eastAsia" w:cs="Times New Roman"/>
                <w:i w:val="0"/>
                <w:iCs w:val="0"/>
                <w:color w:val="000000"/>
                <w:kern w:val="0"/>
                <w:sz w:val="22"/>
                <w:szCs w:val="22"/>
                <w:u w:val="none"/>
                <w:lang w:val="en-US" w:eastAsia="zh-CN" w:bidi="ar"/>
              </w:rPr>
              <w:t>54</w:t>
            </w:r>
            <w:r>
              <w:rPr>
                <w:rFonts w:hint="default" w:ascii="Times New Roman" w:hAnsi="Times New Roman" w:eastAsia="宋体" w:cs="Times New Roman"/>
                <w:i w:val="0"/>
                <w:iCs w:val="0"/>
                <w:color w:val="000000"/>
                <w:kern w:val="0"/>
                <w:sz w:val="22"/>
                <w:szCs w:val="22"/>
                <w:u w:val="none"/>
                <w:lang w:val="en-US" w:eastAsia="zh-CN" w:bidi="ar"/>
              </w:rPr>
              <w:t>.85</w:t>
            </w:r>
          </w:p>
        </w:tc>
        <w:tc>
          <w:tcPr>
            <w:tcW w:w="1007" w:type="dxa"/>
            <w:tcBorders>
              <w:tl2br w:val="nil"/>
              <w:tr2bl w:val="nil"/>
            </w:tcBorders>
            <w:noWrap/>
            <w:vAlign w:val="center"/>
          </w:tcPr>
          <w:p w14:paraId="682DBE00">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DE1FF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49" w:type="dxa"/>
            <w:tcBorders>
              <w:tl2br w:val="nil"/>
              <w:tr2bl w:val="nil"/>
            </w:tcBorders>
            <w:noWrap/>
            <w:vAlign w:val="center"/>
          </w:tcPr>
          <w:p w14:paraId="059C6C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67" w:type="dxa"/>
            <w:vMerge w:val="continue"/>
            <w:tcBorders>
              <w:tl2br w:val="nil"/>
              <w:tr2bl w:val="nil"/>
            </w:tcBorders>
            <w:noWrap/>
            <w:vAlign w:val="center"/>
          </w:tcPr>
          <w:p w14:paraId="27E645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6" w:type="dxa"/>
            <w:tcBorders>
              <w:tl2br w:val="nil"/>
              <w:tr2bl w:val="nil"/>
            </w:tcBorders>
            <w:noWrap/>
            <w:vAlign w:val="center"/>
          </w:tcPr>
          <w:p w14:paraId="6C678B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2"/>
                <w:szCs w:val="22"/>
                <w:u w:val="none"/>
                <w:lang w:val="en-US" w:eastAsia="zh-CN" w:bidi="ar"/>
              </w:rPr>
              <w:t>4#生产线喷漆柜</w:t>
            </w:r>
          </w:p>
        </w:tc>
        <w:tc>
          <w:tcPr>
            <w:tcW w:w="761" w:type="dxa"/>
            <w:tcBorders>
              <w:tl2br w:val="nil"/>
              <w:tr2bl w:val="nil"/>
            </w:tcBorders>
            <w:noWrap/>
            <w:vAlign w:val="center"/>
          </w:tcPr>
          <w:p w14:paraId="53D312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定制设备</w:t>
            </w:r>
          </w:p>
        </w:tc>
        <w:tc>
          <w:tcPr>
            <w:tcW w:w="788" w:type="dxa"/>
            <w:tcBorders>
              <w:tl2br w:val="nil"/>
              <w:tr2bl w:val="nil"/>
            </w:tcBorders>
            <w:noWrap/>
            <w:vAlign w:val="center"/>
          </w:tcPr>
          <w:p w14:paraId="321B5844">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2"/>
                <w:szCs w:val="22"/>
                <w:u w:val="none"/>
                <w:lang w:val="en-US" w:eastAsia="zh-CN" w:bidi="ar"/>
              </w:rPr>
              <w:t>75</w:t>
            </w:r>
          </w:p>
        </w:tc>
        <w:tc>
          <w:tcPr>
            <w:tcW w:w="867" w:type="dxa"/>
            <w:vMerge w:val="continue"/>
            <w:tcBorders>
              <w:tl2br w:val="nil"/>
              <w:tr2bl w:val="nil"/>
            </w:tcBorders>
            <w:noWrap w:val="0"/>
            <w:vAlign w:val="center"/>
          </w:tcPr>
          <w:p w14:paraId="5B749E8E">
            <w:pPr>
              <w:jc w:val="center"/>
              <w:rPr>
                <w:rFonts w:hint="default" w:ascii="Times New Roman" w:hAnsi="Times New Roman" w:cs="Times New Roman"/>
                <w:color w:val="000000"/>
                <w:sz w:val="21"/>
                <w:szCs w:val="21"/>
              </w:rPr>
            </w:pPr>
          </w:p>
        </w:tc>
        <w:tc>
          <w:tcPr>
            <w:tcW w:w="945" w:type="dxa"/>
            <w:tcBorders>
              <w:tl2br w:val="nil"/>
              <w:tr2bl w:val="nil"/>
            </w:tcBorders>
            <w:noWrap/>
            <w:vAlign w:val="center"/>
          </w:tcPr>
          <w:p w14:paraId="37D9C214">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50</w:t>
            </w:r>
          </w:p>
        </w:tc>
        <w:tc>
          <w:tcPr>
            <w:tcW w:w="1093" w:type="dxa"/>
            <w:tcBorders>
              <w:tl2br w:val="nil"/>
              <w:tr2bl w:val="nil"/>
            </w:tcBorders>
            <w:noWrap/>
            <w:vAlign w:val="center"/>
          </w:tcPr>
          <w:p w14:paraId="0E461F97">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260</w:t>
            </w:r>
          </w:p>
        </w:tc>
        <w:tc>
          <w:tcPr>
            <w:tcW w:w="789" w:type="dxa"/>
            <w:tcBorders>
              <w:tl2br w:val="nil"/>
              <w:tr2bl w:val="nil"/>
            </w:tcBorders>
            <w:noWrap/>
            <w:vAlign w:val="center"/>
          </w:tcPr>
          <w:p w14:paraId="26B58DDE">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.5</w:t>
            </w:r>
          </w:p>
        </w:tc>
        <w:tc>
          <w:tcPr>
            <w:tcW w:w="1059" w:type="dxa"/>
            <w:tcBorders>
              <w:tl2br w:val="nil"/>
              <w:tr2bl w:val="nil"/>
            </w:tcBorders>
            <w:noWrap/>
            <w:vAlign w:val="center"/>
          </w:tcPr>
          <w:p w14:paraId="09569FC3">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1"/>
                <w:szCs w:val="21"/>
                <w:u w:val="none"/>
                <w:lang w:val="en-US" w:eastAsia="zh-CN" w:bidi="ar"/>
              </w:rPr>
              <w:t>10</w:t>
            </w:r>
          </w:p>
        </w:tc>
        <w:tc>
          <w:tcPr>
            <w:tcW w:w="1207" w:type="dxa"/>
            <w:tcBorders>
              <w:tl2br w:val="nil"/>
              <w:tr2bl w:val="nil"/>
            </w:tcBorders>
            <w:noWrap/>
            <w:vAlign w:val="center"/>
          </w:tcPr>
          <w:p w14:paraId="7A040348">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2"/>
                <w:szCs w:val="22"/>
                <w:u w:val="none"/>
                <w:lang w:val="en-US" w:eastAsia="zh-CN" w:bidi="ar"/>
              </w:rPr>
              <w:t>6</w:t>
            </w:r>
            <w:r>
              <w:rPr>
                <w:rFonts w:hint="eastAsia"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 xml:space="preserve">.85 </w:t>
            </w:r>
          </w:p>
        </w:tc>
        <w:tc>
          <w:tcPr>
            <w:tcW w:w="735" w:type="dxa"/>
            <w:vMerge w:val="continue"/>
            <w:tcBorders>
              <w:tl2br w:val="nil"/>
              <w:tr2bl w:val="nil"/>
            </w:tcBorders>
            <w:noWrap w:val="0"/>
            <w:vAlign w:val="center"/>
          </w:tcPr>
          <w:p w14:paraId="2C57DDCF">
            <w:pPr>
              <w:jc w:val="center"/>
              <w:rPr>
                <w:rFonts w:hint="default" w:ascii="Times New Roman" w:hAnsi="Times New Roman" w:cs="Times New Roman"/>
                <w:color w:val="000000"/>
                <w:sz w:val="21"/>
                <w:szCs w:val="21"/>
              </w:rPr>
            </w:pPr>
          </w:p>
        </w:tc>
        <w:tc>
          <w:tcPr>
            <w:tcW w:w="1051" w:type="dxa"/>
            <w:tcBorders>
              <w:tl2br w:val="nil"/>
              <w:tr2bl w:val="nil"/>
            </w:tcBorders>
            <w:noWrap/>
            <w:vAlign w:val="center"/>
          </w:tcPr>
          <w:p w14:paraId="7600963A">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312" w:type="dxa"/>
            <w:tcBorders>
              <w:tl2br w:val="nil"/>
              <w:tr2bl w:val="nil"/>
            </w:tcBorders>
            <w:noWrap/>
            <w:vAlign w:val="center"/>
          </w:tcPr>
          <w:p w14:paraId="5C658FDF">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eastAsia" w:cs="Times New Roman"/>
                <w:i w:val="0"/>
                <w:iCs w:val="0"/>
                <w:color w:val="000000"/>
                <w:kern w:val="0"/>
                <w:sz w:val="22"/>
                <w:szCs w:val="22"/>
                <w:u w:val="none"/>
                <w:lang w:val="en-US" w:eastAsia="zh-CN" w:bidi="ar"/>
              </w:rPr>
              <w:t>54</w:t>
            </w:r>
            <w:r>
              <w:rPr>
                <w:rFonts w:hint="default" w:ascii="Times New Roman" w:hAnsi="Times New Roman" w:eastAsia="宋体" w:cs="Times New Roman"/>
                <w:i w:val="0"/>
                <w:iCs w:val="0"/>
                <w:color w:val="000000"/>
                <w:kern w:val="0"/>
                <w:sz w:val="22"/>
                <w:szCs w:val="22"/>
                <w:u w:val="none"/>
                <w:lang w:val="en-US" w:eastAsia="zh-CN" w:bidi="ar"/>
              </w:rPr>
              <w:t xml:space="preserve">.85 </w:t>
            </w:r>
          </w:p>
        </w:tc>
        <w:tc>
          <w:tcPr>
            <w:tcW w:w="1007" w:type="dxa"/>
            <w:tcBorders>
              <w:tl2br w:val="nil"/>
              <w:tr2bl w:val="nil"/>
            </w:tcBorders>
            <w:noWrap/>
            <w:vAlign w:val="center"/>
          </w:tcPr>
          <w:p w14:paraId="6486B827">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89559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749" w:type="dxa"/>
            <w:tcBorders>
              <w:tl2br w:val="nil"/>
              <w:tr2bl w:val="nil"/>
            </w:tcBorders>
            <w:noWrap/>
            <w:vAlign w:val="center"/>
          </w:tcPr>
          <w:p w14:paraId="532AB2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w:t>
            </w:r>
          </w:p>
        </w:tc>
        <w:tc>
          <w:tcPr>
            <w:tcW w:w="667" w:type="dxa"/>
            <w:vMerge w:val="continue"/>
            <w:tcBorders>
              <w:tl2br w:val="nil"/>
              <w:tr2bl w:val="nil"/>
            </w:tcBorders>
            <w:noWrap/>
            <w:vAlign w:val="center"/>
          </w:tcPr>
          <w:p w14:paraId="0C8C1B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6" w:type="dxa"/>
            <w:tcBorders>
              <w:tl2br w:val="nil"/>
              <w:tr2bl w:val="nil"/>
            </w:tcBorders>
            <w:noWrap/>
            <w:vAlign w:val="center"/>
          </w:tcPr>
          <w:p w14:paraId="458D77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空压机</w:t>
            </w:r>
          </w:p>
        </w:tc>
        <w:tc>
          <w:tcPr>
            <w:tcW w:w="761" w:type="dxa"/>
            <w:tcBorders>
              <w:tl2br w:val="nil"/>
              <w:tr2bl w:val="nil"/>
            </w:tcBorders>
            <w:noWrap/>
            <w:vAlign w:val="center"/>
          </w:tcPr>
          <w:p w14:paraId="34FA33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37</w:t>
            </w:r>
            <w:r>
              <w:rPr>
                <w:rFonts w:hint="default" w:ascii="Times New Roman" w:hAnsi="Times New Roman" w:eastAsia="宋体" w:cs="Times New Roman"/>
                <w:i w:val="0"/>
                <w:iCs w:val="0"/>
                <w:color w:val="000000"/>
                <w:kern w:val="0"/>
                <w:sz w:val="21"/>
                <w:szCs w:val="21"/>
                <w:u w:val="none"/>
                <w:lang w:val="en-US" w:eastAsia="zh-CN" w:bidi="ar"/>
              </w:rPr>
              <w:t>KW</w:t>
            </w:r>
          </w:p>
        </w:tc>
        <w:tc>
          <w:tcPr>
            <w:tcW w:w="788" w:type="dxa"/>
            <w:tcBorders>
              <w:tl2br w:val="nil"/>
              <w:tr2bl w:val="nil"/>
            </w:tcBorders>
            <w:noWrap/>
            <w:vAlign w:val="center"/>
          </w:tcPr>
          <w:p w14:paraId="67B238FC">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2"/>
                <w:szCs w:val="22"/>
                <w:u w:val="none"/>
                <w:lang w:val="en-US" w:eastAsia="zh-CN" w:bidi="ar"/>
              </w:rPr>
              <w:t>90</w:t>
            </w:r>
          </w:p>
        </w:tc>
        <w:tc>
          <w:tcPr>
            <w:tcW w:w="867" w:type="dxa"/>
            <w:vMerge w:val="continue"/>
            <w:tcBorders>
              <w:tl2br w:val="nil"/>
              <w:tr2bl w:val="nil"/>
            </w:tcBorders>
            <w:noWrap w:val="0"/>
            <w:vAlign w:val="center"/>
          </w:tcPr>
          <w:p w14:paraId="6777B0C1">
            <w:pPr>
              <w:rPr>
                <w:rFonts w:hint="default" w:ascii="Times New Roman" w:hAnsi="Times New Roman" w:cs="Times New Roman"/>
                <w:color w:val="000000"/>
                <w:sz w:val="21"/>
                <w:szCs w:val="21"/>
              </w:rPr>
            </w:pPr>
          </w:p>
        </w:tc>
        <w:tc>
          <w:tcPr>
            <w:tcW w:w="945" w:type="dxa"/>
            <w:tcBorders>
              <w:tl2br w:val="nil"/>
              <w:tr2bl w:val="nil"/>
            </w:tcBorders>
            <w:noWrap/>
            <w:vAlign w:val="center"/>
          </w:tcPr>
          <w:p w14:paraId="19084F16">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6</w:t>
            </w:r>
          </w:p>
        </w:tc>
        <w:tc>
          <w:tcPr>
            <w:tcW w:w="1093" w:type="dxa"/>
            <w:tcBorders>
              <w:tl2br w:val="nil"/>
              <w:tr2bl w:val="nil"/>
            </w:tcBorders>
            <w:noWrap/>
            <w:vAlign w:val="center"/>
          </w:tcPr>
          <w:p w14:paraId="6D05FAB3">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240</w:t>
            </w:r>
          </w:p>
        </w:tc>
        <w:tc>
          <w:tcPr>
            <w:tcW w:w="789" w:type="dxa"/>
            <w:tcBorders>
              <w:tl2br w:val="nil"/>
              <w:tr2bl w:val="nil"/>
            </w:tcBorders>
            <w:noWrap/>
            <w:vAlign w:val="center"/>
          </w:tcPr>
          <w:p w14:paraId="54C2BDD7">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9" w:type="dxa"/>
            <w:tcBorders>
              <w:tl2br w:val="nil"/>
              <w:tr2bl w:val="nil"/>
            </w:tcBorders>
            <w:noWrap/>
            <w:vAlign w:val="center"/>
          </w:tcPr>
          <w:p w14:paraId="0757DF8C">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eastAsia" w:cs="Times New Roman"/>
                <w:i w:val="0"/>
                <w:iCs w:val="0"/>
                <w:color w:val="000000"/>
                <w:kern w:val="0"/>
                <w:sz w:val="21"/>
                <w:szCs w:val="21"/>
                <w:u w:val="none"/>
                <w:lang w:val="en-US" w:eastAsia="zh-CN" w:bidi="ar"/>
              </w:rPr>
              <w:t>6</w:t>
            </w:r>
          </w:p>
        </w:tc>
        <w:tc>
          <w:tcPr>
            <w:tcW w:w="1207" w:type="dxa"/>
            <w:tcBorders>
              <w:tl2br w:val="nil"/>
              <w:tr2bl w:val="nil"/>
            </w:tcBorders>
            <w:noWrap/>
            <w:vAlign w:val="center"/>
          </w:tcPr>
          <w:p w14:paraId="33AF911A">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72.96 </w:t>
            </w:r>
          </w:p>
        </w:tc>
        <w:tc>
          <w:tcPr>
            <w:tcW w:w="735" w:type="dxa"/>
            <w:vMerge w:val="continue"/>
            <w:tcBorders>
              <w:tl2br w:val="nil"/>
              <w:tr2bl w:val="nil"/>
            </w:tcBorders>
            <w:noWrap w:val="0"/>
            <w:vAlign w:val="center"/>
          </w:tcPr>
          <w:p w14:paraId="4D2193FF">
            <w:pPr>
              <w:jc w:val="center"/>
              <w:rPr>
                <w:rFonts w:hint="default" w:ascii="Times New Roman" w:hAnsi="Times New Roman" w:cs="Times New Roman"/>
                <w:color w:val="000000"/>
                <w:sz w:val="21"/>
                <w:szCs w:val="21"/>
              </w:rPr>
            </w:pPr>
          </w:p>
        </w:tc>
        <w:tc>
          <w:tcPr>
            <w:tcW w:w="1051" w:type="dxa"/>
            <w:tcBorders>
              <w:tl2br w:val="nil"/>
              <w:tr2bl w:val="nil"/>
            </w:tcBorders>
            <w:noWrap/>
            <w:vAlign w:val="center"/>
          </w:tcPr>
          <w:p w14:paraId="1A003B56">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312" w:type="dxa"/>
            <w:tcBorders>
              <w:tl2br w:val="nil"/>
              <w:tr2bl w:val="nil"/>
            </w:tcBorders>
            <w:noWrap/>
            <w:vAlign w:val="center"/>
          </w:tcPr>
          <w:p w14:paraId="452F0E9D">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eastAsia" w:cs="Times New Roman"/>
                <w:i w:val="0"/>
                <w:iCs w:val="0"/>
                <w:color w:val="000000"/>
                <w:kern w:val="0"/>
                <w:sz w:val="22"/>
                <w:szCs w:val="22"/>
                <w:u w:val="none"/>
                <w:lang w:val="en-US" w:eastAsia="zh-CN" w:bidi="ar"/>
              </w:rPr>
              <w:t>57</w:t>
            </w:r>
            <w:r>
              <w:rPr>
                <w:rFonts w:hint="default" w:ascii="Times New Roman" w:hAnsi="Times New Roman" w:eastAsia="宋体" w:cs="Times New Roman"/>
                <w:i w:val="0"/>
                <w:iCs w:val="0"/>
                <w:color w:val="000000"/>
                <w:kern w:val="0"/>
                <w:sz w:val="22"/>
                <w:szCs w:val="22"/>
                <w:u w:val="none"/>
                <w:lang w:val="en-US" w:eastAsia="zh-CN" w:bidi="ar"/>
              </w:rPr>
              <w:t xml:space="preserve">.96 </w:t>
            </w:r>
          </w:p>
        </w:tc>
        <w:tc>
          <w:tcPr>
            <w:tcW w:w="1007" w:type="dxa"/>
            <w:tcBorders>
              <w:tl2br w:val="nil"/>
              <w:tr2bl w:val="nil"/>
            </w:tcBorders>
            <w:noWrap/>
            <w:vAlign w:val="center"/>
          </w:tcPr>
          <w:p w14:paraId="2CE15073">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bl>
    <w:p w14:paraId="41508911">
      <w:pPr>
        <w:adjustRightInd w:val="0"/>
        <w:snapToGrid w:val="0"/>
        <w:spacing w:before="120" w:beforeLines="50" w:line="360" w:lineRule="auto"/>
        <w:jc w:val="center"/>
        <w:rPr>
          <w:rFonts w:hint="default" w:ascii="Times New Roman" w:hAnsi="Times New Roman" w:cs="Times New Roman"/>
          <w:b/>
          <w:color w:val="000000"/>
          <w:sz w:val="24"/>
        </w:rPr>
      </w:pPr>
      <w:r>
        <w:rPr>
          <w:rFonts w:hint="default" w:ascii="Times New Roman" w:hAnsi="Times New Roman" w:cs="Times New Roman"/>
          <w:b/>
          <w:color w:val="000000"/>
          <w:sz w:val="24"/>
        </w:rPr>
        <w:t>表4-</w:t>
      </w:r>
      <w:r>
        <w:rPr>
          <w:rFonts w:hint="default" w:ascii="Times New Roman" w:hAnsi="Times New Roman" w:cs="Times New Roman"/>
          <w:b/>
          <w:color w:val="000000"/>
          <w:sz w:val="24"/>
          <w:lang w:val="en-US" w:eastAsia="zh-CN"/>
        </w:rPr>
        <w:t>1</w:t>
      </w:r>
      <w:r>
        <w:rPr>
          <w:rFonts w:hint="eastAsia" w:cs="Times New Roman"/>
          <w:b/>
          <w:color w:val="000000"/>
          <w:sz w:val="24"/>
          <w:lang w:val="en-US" w:eastAsia="zh-CN"/>
        </w:rPr>
        <w:t>7</w:t>
      </w:r>
      <w:r>
        <w:rPr>
          <w:rFonts w:hint="default" w:ascii="Times New Roman" w:hAnsi="Times New Roman" w:cs="Times New Roman"/>
          <w:b/>
          <w:color w:val="000000"/>
          <w:sz w:val="24"/>
        </w:rPr>
        <w:t>项目主要噪声源调查表（室外）</w:t>
      </w:r>
    </w:p>
    <w:tbl>
      <w:tblPr>
        <w:tblStyle w:val="27"/>
        <w:tblW w:w="140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471"/>
        <w:gridCol w:w="1707"/>
        <w:gridCol w:w="1602"/>
        <w:gridCol w:w="2158"/>
        <w:gridCol w:w="1263"/>
        <w:gridCol w:w="1807"/>
        <w:gridCol w:w="1655"/>
        <w:gridCol w:w="1655"/>
      </w:tblGrid>
      <w:tr w14:paraId="6188D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58" w:type="dxa"/>
            <w:vMerge w:val="restart"/>
            <w:tcBorders>
              <w:tl2br w:val="nil"/>
              <w:tr2bl w:val="nil"/>
            </w:tcBorders>
            <w:noWrap/>
            <w:vAlign w:val="center"/>
          </w:tcPr>
          <w:p w14:paraId="49490720">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序号</w:t>
            </w:r>
          </w:p>
        </w:tc>
        <w:tc>
          <w:tcPr>
            <w:tcW w:w="1471" w:type="dxa"/>
            <w:vMerge w:val="restart"/>
            <w:tcBorders>
              <w:tl2br w:val="nil"/>
              <w:tr2bl w:val="nil"/>
            </w:tcBorders>
            <w:noWrap/>
            <w:vAlign w:val="center"/>
          </w:tcPr>
          <w:p w14:paraId="02465CCF">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声源名称</w:t>
            </w:r>
          </w:p>
        </w:tc>
        <w:tc>
          <w:tcPr>
            <w:tcW w:w="1707" w:type="dxa"/>
            <w:vMerge w:val="restart"/>
            <w:tcBorders>
              <w:tl2br w:val="nil"/>
              <w:tr2bl w:val="nil"/>
            </w:tcBorders>
            <w:noWrap w:val="0"/>
            <w:vAlign w:val="center"/>
          </w:tcPr>
          <w:p w14:paraId="5AB0CC60">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型号</w:t>
            </w:r>
          </w:p>
        </w:tc>
        <w:tc>
          <w:tcPr>
            <w:tcW w:w="1602" w:type="dxa"/>
            <w:vMerge w:val="restart"/>
            <w:tcBorders>
              <w:tl2br w:val="nil"/>
              <w:tr2bl w:val="nil"/>
            </w:tcBorders>
            <w:noWrap w:val="0"/>
            <w:vAlign w:val="center"/>
          </w:tcPr>
          <w:p w14:paraId="23ED2438">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声源源强</w:t>
            </w:r>
            <w:r>
              <w:rPr>
                <w:rFonts w:hint="default" w:ascii="Times New Roman" w:hAnsi="Times New Roman" w:cs="Times New Roman"/>
                <w:b/>
                <w:bCs/>
                <w:color w:val="000000"/>
                <w:kern w:val="0"/>
                <w:sz w:val="21"/>
                <w:szCs w:val="21"/>
                <w:lang w:bidi="ar"/>
              </w:rPr>
              <w:t>dB(A)</w:t>
            </w:r>
          </w:p>
        </w:tc>
        <w:tc>
          <w:tcPr>
            <w:tcW w:w="2158" w:type="dxa"/>
            <w:vMerge w:val="restart"/>
            <w:tcBorders>
              <w:tl2br w:val="nil"/>
              <w:tr2bl w:val="nil"/>
            </w:tcBorders>
            <w:noWrap w:val="0"/>
            <w:vAlign w:val="center"/>
          </w:tcPr>
          <w:p w14:paraId="500973EE">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声源控制措施</w:t>
            </w:r>
          </w:p>
        </w:tc>
        <w:tc>
          <w:tcPr>
            <w:tcW w:w="4725" w:type="dxa"/>
            <w:gridSpan w:val="3"/>
            <w:tcBorders>
              <w:tl2br w:val="nil"/>
              <w:tr2bl w:val="nil"/>
            </w:tcBorders>
            <w:noWrap/>
            <w:vAlign w:val="center"/>
          </w:tcPr>
          <w:p w14:paraId="359783A1">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空间位置/m</w:t>
            </w:r>
          </w:p>
        </w:tc>
        <w:tc>
          <w:tcPr>
            <w:tcW w:w="1655" w:type="dxa"/>
            <w:vMerge w:val="restart"/>
            <w:tcBorders>
              <w:tl2br w:val="nil"/>
              <w:tr2bl w:val="nil"/>
            </w:tcBorders>
            <w:noWrap w:val="0"/>
            <w:vAlign w:val="center"/>
          </w:tcPr>
          <w:p w14:paraId="1EF92E4B">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运行时段</w:t>
            </w:r>
          </w:p>
        </w:tc>
      </w:tr>
      <w:tr w14:paraId="4EEA7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8" w:type="dxa"/>
            <w:vMerge w:val="continue"/>
            <w:tcBorders>
              <w:tl2br w:val="nil"/>
              <w:tr2bl w:val="nil"/>
            </w:tcBorders>
            <w:noWrap/>
            <w:vAlign w:val="center"/>
          </w:tcPr>
          <w:p w14:paraId="477EEA85">
            <w:pPr>
              <w:jc w:val="center"/>
              <w:rPr>
                <w:rFonts w:hint="default" w:ascii="Times New Roman" w:hAnsi="Times New Roman" w:cs="Times New Roman"/>
                <w:color w:val="000000"/>
                <w:sz w:val="21"/>
                <w:szCs w:val="21"/>
              </w:rPr>
            </w:pPr>
          </w:p>
        </w:tc>
        <w:tc>
          <w:tcPr>
            <w:tcW w:w="1471" w:type="dxa"/>
            <w:vMerge w:val="continue"/>
            <w:tcBorders>
              <w:tl2br w:val="nil"/>
              <w:tr2bl w:val="nil"/>
            </w:tcBorders>
            <w:noWrap/>
            <w:vAlign w:val="center"/>
          </w:tcPr>
          <w:p w14:paraId="3BFB081A">
            <w:pPr>
              <w:jc w:val="center"/>
              <w:rPr>
                <w:rFonts w:hint="default" w:ascii="Times New Roman" w:hAnsi="Times New Roman" w:cs="Times New Roman"/>
                <w:color w:val="000000"/>
                <w:sz w:val="21"/>
                <w:szCs w:val="21"/>
              </w:rPr>
            </w:pPr>
          </w:p>
        </w:tc>
        <w:tc>
          <w:tcPr>
            <w:tcW w:w="1707" w:type="dxa"/>
            <w:vMerge w:val="continue"/>
            <w:tcBorders>
              <w:tl2br w:val="nil"/>
              <w:tr2bl w:val="nil"/>
            </w:tcBorders>
            <w:noWrap w:val="0"/>
            <w:vAlign w:val="center"/>
          </w:tcPr>
          <w:p w14:paraId="2F0466D3">
            <w:pPr>
              <w:jc w:val="center"/>
              <w:rPr>
                <w:rFonts w:hint="default" w:ascii="Times New Roman" w:hAnsi="Times New Roman" w:cs="Times New Roman"/>
                <w:color w:val="000000"/>
                <w:sz w:val="21"/>
                <w:szCs w:val="21"/>
              </w:rPr>
            </w:pPr>
          </w:p>
        </w:tc>
        <w:tc>
          <w:tcPr>
            <w:tcW w:w="1602" w:type="dxa"/>
            <w:vMerge w:val="continue"/>
            <w:tcBorders>
              <w:tl2br w:val="nil"/>
              <w:tr2bl w:val="nil"/>
            </w:tcBorders>
            <w:noWrap w:val="0"/>
            <w:vAlign w:val="center"/>
          </w:tcPr>
          <w:p w14:paraId="73CB4F17">
            <w:pPr>
              <w:jc w:val="center"/>
              <w:rPr>
                <w:rFonts w:hint="default" w:ascii="Times New Roman" w:hAnsi="Times New Roman" w:cs="Times New Roman"/>
                <w:color w:val="000000"/>
                <w:sz w:val="21"/>
                <w:szCs w:val="21"/>
              </w:rPr>
            </w:pPr>
          </w:p>
        </w:tc>
        <w:tc>
          <w:tcPr>
            <w:tcW w:w="2158" w:type="dxa"/>
            <w:vMerge w:val="continue"/>
            <w:tcBorders>
              <w:tl2br w:val="nil"/>
              <w:tr2bl w:val="nil"/>
            </w:tcBorders>
            <w:noWrap w:val="0"/>
            <w:vAlign w:val="center"/>
          </w:tcPr>
          <w:p w14:paraId="55923B31">
            <w:pPr>
              <w:jc w:val="center"/>
              <w:rPr>
                <w:rFonts w:hint="default" w:ascii="Times New Roman" w:hAnsi="Times New Roman" w:cs="Times New Roman"/>
                <w:color w:val="000000"/>
                <w:sz w:val="21"/>
                <w:szCs w:val="21"/>
              </w:rPr>
            </w:pPr>
          </w:p>
        </w:tc>
        <w:tc>
          <w:tcPr>
            <w:tcW w:w="1263" w:type="dxa"/>
            <w:tcBorders>
              <w:tl2br w:val="nil"/>
              <w:tr2bl w:val="nil"/>
            </w:tcBorders>
            <w:noWrap/>
            <w:vAlign w:val="center"/>
          </w:tcPr>
          <w:p w14:paraId="781978A3">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X</w:t>
            </w:r>
          </w:p>
        </w:tc>
        <w:tc>
          <w:tcPr>
            <w:tcW w:w="1807" w:type="dxa"/>
            <w:tcBorders>
              <w:tl2br w:val="nil"/>
              <w:tr2bl w:val="nil"/>
            </w:tcBorders>
            <w:noWrap/>
            <w:vAlign w:val="center"/>
          </w:tcPr>
          <w:p w14:paraId="4697690F">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Y</w:t>
            </w:r>
          </w:p>
        </w:tc>
        <w:tc>
          <w:tcPr>
            <w:tcW w:w="1655" w:type="dxa"/>
            <w:tcBorders>
              <w:tl2br w:val="nil"/>
              <w:tr2bl w:val="nil"/>
            </w:tcBorders>
            <w:noWrap/>
            <w:vAlign w:val="center"/>
          </w:tcPr>
          <w:p w14:paraId="54E030B5">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Z</w:t>
            </w:r>
          </w:p>
        </w:tc>
        <w:tc>
          <w:tcPr>
            <w:tcW w:w="1655" w:type="dxa"/>
            <w:vMerge w:val="continue"/>
            <w:tcBorders>
              <w:tl2br w:val="nil"/>
              <w:tr2bl w:val="nil"/>
            </w:tcBorders>
            <w:noWrap w:val="0"/>
            <w:vAlign w:val="center"/>
          </w:tcPr>
          <w:p w14:paraId="2C4EA742">
            <w:pPr>
              <w:jc w:val="center"/>
              <w:rPr>
                <w:rFonts w:hint="default" w:ascii="Times New Roman" w:hAnsi="Times New Roman" w:cs="Times New Roman"/>
                <w:color w:val="000000"/>
                <w:sz w:val="21"/>
                <w:szCs w:val="21"/>
              </w:rPr>
            </w:pPr>
          </w:p>
        </w:tc>
      </w:tr>
      <w:tr w14:paraId="7E2D8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8" w:type="dxa"/>
            <w:tcBorders>
              <w:tl2br w:val="nil"/>
              <w:tr2bl w:val="nil"/>
            </w:tcBorders>
            <w:noWrap/>
            <w:vAlign w:val="center"/>
          </w:tcPr>
          <w:p w14:paraId="0885F322">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71" w:type="dxa"/>
            <w:tcBorders>
              <w:tl2br w:val="nil"/>
              <w:tr2bl w:val="nil"/>
            </w:tcBorders>
            <w:noWrap/>
            <w:vAlign w:val="center"/>
          </w:tcPr>
          <w:p w14:paraId="5B2EED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环保风机</w:t>
            </w:r>
          </w:p>
        </w:tc>
        <w:tc>
          <w:tcPr>
            <w:tcW w:w="1707" w:type="dxa"/>
            <w:tcBorders>
              <w:tl2br w:val="nil"/>
              <w:tr2bl w:val="nil"/>
            </w:tcBorders>
            <w:noWrap/>
            <w:vAlign w:val="center"/>
          </w:tcPr>
          <w:p w14:paraId="41FF724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7.5</w:t>
            </w:r>
            <w:r>
              <w:rPr>
                <w:rFonts w:hint="default" w:ascii="Times New Roman" w:hAnsi="Times New Roman" w:eastAsia="宋体" w:cs="Times New Roman"/>
                <w:i w:val="0"/>
                <w:iCs w:val="0"/>
                <w:color w:val="000000"/>
                <w:kern w:val="0"/>
                <w:sz w:val="21"/>
                <w:szCs w:val="21"/>
                <w:u w:val="none"/>
                <w:lang w:val="en-US" w:eastAsia="zh-CN" w:bidi="ar"/>
              </w:rPr>
              <w:t>KW</w:t>
            </w:r>
          </w:p>
        </w:tc>
        <w:tc>
          <w:tcPr>
            <w:tcW w:w="1602" w:type="dxa"/>
            <w:tcBorders>
              <w:tl2br w:val="nil"/>
              <w:tr2bl w:val="nil"/>
            </w:tcBorders>
            <w:noWrap/>
            <w:vAlign w:val="center"/>
          </w:tcPr>
          <w:p w14:paraId="47BE08FC">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eastAsia="宋体" w:cs="Times New Roman"/>
                <w:i w:val="0"/>
                <w:iCs w:val="0"/>
                <w:color w:val="000000"/>
                <w:kern w:val="0"/>
                <w:sz w:val="21"/>
                <w:szCs w:val="21"/>
                <w:u w:val="none"/>
                <w:lang w:val="en-US" w:eastAsia="zh-CN" w:bidi="ar"/>
              </w:rPr>
              <w:t>5</w:t>
            </w:r>
          </w:p>
        </w:tc>
        <w:tc>
          <w:tcPr>
            <w:tcW w:w="2158" w:type="dxa"/>
            <w:vMerge w:val="restart"/>
            <w:tcBorders>
              <w:tl2br w:val="nil"/>
              <w:tr2bl w:val="nil"/>
            </w:tcBorders>
            <w:noWrap w:val="0"/>
            <w:vAlign w:val="center"/>
          </w:tcPr>
          <w:p w14:paraId="3BFCA2F9">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设置减震设施、软接管道</w:t>
            </w:r>
          </w:p>
        </w:tc>
        <w:tc>
          <w:tcPr>
            <w:tcW w:w="1263" w:type="dxa"/>
            <w:tcBorders>
              <w:tl2br w:val="nil"/>
              <w:tr2bl w:val="nil"/>
            </w:tcBorders>
            <w:noWrap/>
            <w:vAlign w:val="center"/>
          </w:tcPr>
          <w:p w14:paraId="47B454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000000"/>
                <w:sz w:val="21"/>
                <w:szCs w:val="21"/>
                <w:lang w:val="en-US"/>
              </w:rPr>
            </w:pPr>
            <w:r>
              <w:rPr>
                <w:rFonts w:hint="eastAsia" w:cs="Times New Roman"/>
                <w:i w:val="0"/>
                <w:iCs w:val="0"/>
                <w:color w:val="000000"/>
                <w:kern w:val="0"/>
                <w:sz w:val="21"/>
                <w:szCs w:val="21"/>
                <w:u w:val="none"/>
                <w:lang w:val="en-US" w:eastAsia="zh-CN" w:bidi="ar"/>
              </w:rPr>
              <w:t>0</w:t>
            </w:r>
          </w:p>
        </w:tc>
        <w:tc>
          <w:tcPr>
            <w:tcW w:w="1807" w:type="dxa"/>
            <w:tcBorders>
              <w:tl2br w:val="nil"/>
              <w:tr2bl w:val="nil"/>
            </w:tcBorders>
            <w:noWrap/>
            <w:vAlign w:val="center"/>
          </w:tcPr>
          <w:p w14:paraId="2D7379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000000"/>
                <w:sz w:val="21"/>
                <w:szCs w:val="21"/>
                <w:lang w:val="en-US"/>
              </w:rPr>
            </w:pPr>
            <w:r>
              <w:rPr>
                <w:rFonts w:hint="eastAsia" w:cs="Times New Roman"/>
                <w:i w:val="0"/>
                <w:iCs w:val="0"/>
                <w:color w:val="000000"/>
                <w:kern w:val="0"/>
                <w:sz w:val="21"/>
                <w:szCs w:val="21"/>
                <w:u w:val="none"/>
                <w:lang w:val="en-US" w:eastAsia="zh-CN" w:bidi="ar"/>
              </w:rPr>
              <w:t>330</w:t>
            </w:r>
          </w:p>
        </w:tc>
        <w:tc>
          <w:tcPr>
            <w:tcW w:w="1655" w:type="dxa"/>
            <w:tcBorders>
              <w:tl2br w:val="nil"/>
              <w:tr2bl w:val="nil"/>
            </w:tcBorders>
            <w:noWrap/>
            <w:vAlign w:val="center"/>
          </w:tcPr>
          <w:p w14:paraId="289D1F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000000"/>
                <w:sz w:val="21"/>
                <w:szCs w:val="21"/>
                <w:lang w:val="en-US"/>
              </w:rPr>
            </w:pPr>
            <w:r>
              <w:rPr>
                <w:rFonts w:hint="eastAsia" w:ascii="Times New Roman" w:hAnsi="Times New Roman" w:eastAsia="宋体" w:cs="Times New Roman"/>
                <w:i w:val="0"/>
                <w:iCs w:val="0"/>
                <w:color w:val="000000"/>
                <w:kern w:val="0"/>
                <w:sz w:val="21"/>
                <w:szCs w:val="21"/>
                <w:u w:val="none"/>
                <w:lang w:val="en-US" w:eastAsia="zh-CN" w:bidi="ar"/>
              </w:rPr>
              <w:t>0.5</w:t>
            </w:r>
          </w:p>
        </w:tc>
        <w:tc>
          <w:tcPr>
            <w:tcW w:w="1655" w:type="dxa"/>
            <w:vMerge w:val="restart"/>
            <w:tcBorders>
              <w:tl2br w:val="nil"/>
              <w:tr2bl w:val="nil"/>
            </w:tcBorders>
            <w:noWrap w:val="0"/>
            <w:vAlign w:val="center"/>
          </w:tcPr>
          <w:p w14:paraId="6F070402">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8:00-</w:t>
            </w:r>
            <w:r>
              <w:rPr>
                <w:rFonts w:hint="eastAsia" w:cs="Times New Roman"/>
                <w:color w:val="000000"/>
                <w:kern w:val="0"/>
                <w:sz w:val="21"/>
                <w:szCs w:val="21"/>
                <w:lang w:val="en-US" w:eastAsia="zh-CN" w:bidi="ar"/>
              </w:rPr>
              <w:t>24</w:t>
            </w:r>
            <w:r>
              <w:rPr>
                <w:rFonts w:hint="default" w:ascii="Times New Roman" w:hAnsi="Times New Roman" w:cs="Times New Roman"/>
                <w:color w:val="000000"/>
                <w:kern w:val="0"/>
                <w:sz w:val="21"/>
                <w:szCs w:val="21"/>
                <w:lang w:bidi="ar"/>
              </w:rPr>
              <w:t>:00</w:t>
            </w:r>
          </w:p>
        </w:tc>
      </w:tr>
      <w:tr w14:paraId="1DDE9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58" w:type="dxa"/>
            <w:tcBorders>
              <w:tl2br w:val="nil"/>
              <w:tr2bl w:val="nil"/>
            </w:tcBorders>
            <w:noWrap/>
            <w:vAlign w:val="center"/>
          </w:tcPr>
          <w:p w14:paraId="3B5527F9">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71" w:type="dxa"/>
            <w:tcBorders>
              <w:tl2br w:val="nil"/>
              <w:tr2bl w:val="nil"/>
            </w:tcBorders>
            <w:noWrap/>
            <w:vAlign w:val="center"/>
          </w:tcPr>
          <w:p w14:paraId="7EBFC7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环保风机</w:t>
            </w:r>
          </w:p>
        </w:tc>
        <w:tc>
          <w:tcPr>
            <w:tcW w:w="1707" w:type="dxa"/>
            <w:tcBorders>
              <w:tl2br w:val="nil"/>
              <w:tr2bl w:val="nil"/>
            </w:tcBorders>
            <w:noWrap/>
            <w:vAlign w:val="center"/>
          </w:tcPr>
          <w:p w14:paraId="7115AC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7.5</w:t>
            </w:r>
            <w:r>
              <w:rPr>
                <w:rFonts w:hint="default" w:ascii="Times New Roman" w:hAnsi="Times New Roman" w:eastAsia="宋体" w:cs="Times New Roman"/>
                <w:i w:val="0"/>
                <w:iCs w:val="0"/>
                <w:color w:val="000000"/>
                <w:kern w:val="0"/>
                <w:sz w:val="21"/>
                <w:szCs w:val="21"/>
                <w:u w:val="none"/>
                <w:lang w:val="en-US" w:eastAsia="zh-CN" w:bidi="ar"/>
              </w:rPr>
              <w:t>KW</w:t>
            </w:r>
          </w:p>
        </w:tc>
        <w:tc>
          <w:tcPr>
            <w:tcW w:w="1602" w:type="dxa"/>
            <w:tcBorders>
              <w:tl2br w:val="nil"/>
              <w:tr2bl w:val="nil"/>
            </w:tcBorders>
            <w:noWrap/>
            <w:vAlign w:val="center"/>
          </w:tcPr>
          <w:p w14:paraId="7C69B620">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eastAsia="宋体" w:cs="Times New Roman"/>
                <w:i w:val="0"/>
                <w:iCs w:val="0"/>
                <w:color w:val="000000"/>
                <w:kern w:val="0"/>
                <w:sz w:val="21"/>
                <w:szCs w:val="21"/>
                <w:u w:val="none"/>
                <w:lang w:val="en-US" w:eastAsia="zh-CN" w:bidi="ar"/>
              </w:rPr>
              <w:t>5</w:t>
            </w:r>
          </w:p>
        </w:tc>
        <w:tc>
          <w:tcPr>
            <w:tcW w:w="2158" w:type="dxa"/>
            <w:vMerge w:val="continue"/>
            <w:tcBorders>
              <w:tl2br w:val="nil"/>
              <w:tr2bl w:val="nil"/>
            </w:tcBorders>
            <w:noWrap w:val="0"/>
            <w:vAlign w:val="center"/>
          </w:tcPr>
          <w:p w14:paraId="2E0350A5">
            <w:pPr>
              <w:jc w:val="center"/>
              <w:rPr>
                <w:rFonts w:hint="default" w:ascii="Times New Roman" w:hAnsi="Times New Roman" w:cs="Times New Roman"/>
                <w:color w:val="000000"/>
                <w:kern w:val="0"/>
                <w:sz w:val="21"/>
                <w:szCs w:val="21"/>
                <w:lang w:bidi="ar"/>
              </w:rPr>
            </w:pPr>
          </w:p>
        </w:tc>
        <w:tc>
          <w:tcPr>
            <w:tcW w:w="1263" w:type="dxa"/>
            <w:tcBorders>
              <w:tl2br w:val="nil"/>
              <w:tr2bl w:val="nil"/>
            </w:tcBorders>
            <w:noWrap/>
            <w:vAlign w:val="center"/>
          </w:tcPr>
          <w:p w14:paraId="107614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1"/>
                <w:szCs w:val="21"/>
                <w:u w:val="none"/>
                <w:lang w:val="en-US" w:eastAsia="zh-CN" w:bidi="ar"/>
              </w:rPr>
              <w:t>0</w:t>
            </w:r>
          </w:p>
        </w:tc>
        <w:tc>
          <w:tcPr>
            <w:tcW w:w="1807" w:type="dxa"/>
            <w:tcBorders>
              <w:tl2br w:val="nil"/>
              <w:tr2bl w:val="nil"/>
            </w:tcBorders>
            <w:noWrap/>
            <w:vAlign w:val="center"/>
          </w:tcPr>
          <w:p w14:paraId="056C2A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000000"/>
                <w:kern w:val="0"/>
                <w:sz w:val="21"/>
                <w:szCs w:val="21"/>
                <w:lang w:val="en-US" w:bidi="ar"/>
              </w:rPr>
            </w:pPr>
            <w:r>
              <w:rPr>
                <w:rFonts w:hint="eastAsia" w:cs="Times New Roman"/>
                <w:i w:val="0"/>
                <w:iCs w:val="0"/>
                <w:color w:val="000000"/>
                <w:kern w:val="0"/>
                <w:sz w:val="21"/>
                <w:szCs w:val="21"/>
                <w:u w:val="none"/>
                <w:lang w:val="en-US" w:eastAsia="zh-CN" w:bidi="ar"/>
              </w:rPr>
              <w:t>320</w:t>
            </w:r>
          </w:p>
        </w:tc>
        <w:tc>
          <w:tcPr>
            <w:tcW w:w="1655" w:type="dxa"/>
            <w:tcBorders>
              <w:tl2br w:val="nil"/>
              <w:tr2bl w:val="nil"/>
            </w:tcBorders>
            <w:noWrap/>
            <w:vAlign w:val="center"/>
          </w:tcPr>
          <w:p w14:paraId="4F0483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eastAsia="宋体" w:cs="Times New Roman"/>
                <w:i w:val="0"/>
                <w:iCs w:val="0"/>
                <w:color w:val="000000"/>
                <w:kern w:val="0"/>
                <w:sz w:val="21"/>
                <w:szCs w:val="21"/>
                <w:u w:val="none"/>
                <w:lang w:val="en-US" w:eastAsia="zh-CN" w:bidi="ar"/>
              </w:rPr>
              <w:t>0.5</w:t>
            </w:r>
          </w:p>
        </w:tc>
        <w:tc>
          <w:tcPr>
            <w:tcW w:w="1655" w:type="dxa"/>
            <w:vMerge w:val="continue"/>
            <w:tcBorders>
              <w:tl2br w:val="nil"/>
              <w:tr2bl w:val="nil"/>
            </w:tcBorders>
            <w:noWrap w:val="0"/>
            <w:vAlign w:val="center"/>
          </w:tcPr>
          <w:p w14:paraId="3B09871D">
            <w:pPr>
              <w:widowControl/>
              <w:jc w:val="center"/>
              <w:textAlignment w:val="center"/>
              <w:rPr>
                <w:rFonts w:hint="default" w:ascii="Times New Roman" w:hAnsi="Times New Roman" w:cs="Times New Roman"/>
                <w:color w:val="000000"/>
                <w:kern w:val="0"/>
                <w:sz w:val="21"/>
                <w:szCs w:val="21"/>
                <w:lang w:bidi="ar"/>
              </w:rPr>
            </w:pPr>
          </w:p>
        </w:tc>
      </w:tr>
    </w:tbl>
    <w:p w14:paraId="7569B603">
      <w:pPr>
        <w:adjustRightInd w:val="0"/>
        <w:snapToGrid w:val="0"/>
        <w:spacing w:line="360" w:lineRule="auto"/>
        <w:rPr>
          <w:b/>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45AF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3005AC0F">
            <w:pPr>
              <w:pStyle w:val="2"/>
              <w:spacing w:after="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本环评要求采取如下噪声控制措施：</w:t>
            </w:r>
          </w:p>
          <w:p w14:paraId="00C2D0EB">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①合理布局，设置减震设施，利用车间建筑结构进行隔声，减轻噪声对厂界的影响。</w:t>
            </w:r>
          </w:p>
          <w:p w14:paraId="10BC675B">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②选用低噪声设备：充分选用先进的低噪设备，以从声源上降低设备本身噪声；</w:t>
            </w:r>
          </w:p>
          <w:p w14:paraId="073198A8">
            <w:pPr>
              <w:spacing w:line="360" w:lineRule="auto"/>
              <w:ind w:firstLine="420" w:firstLineChars="200"/>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③加强设备的维护，确保设备处于良好的运转状态，杜绝因设备不正常运转时产生的高噪声现象；</w:t>
            </w:r>
          </w:p>
          <w:p w14:paraId="44DFBDD1">
            <w:pPr>
              <w:adjustRightInd w:val="0"/>
              <w:snapToGrid w:val="0"/>
              <w:spacing w:line="360" w:lineRule="auto"/>
              <w:ind w:firstLine="422" w:firstLineChars="20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（2）噪声达标分析</w:t>
            </w:r>
          </w:p>
          <w:p w14:paraId="5230EBEC">
            <w:pPr>
              <w:autoSpaceDE w:val="0"/>
              <w:autoSpaceDN w:val="0"/>
              <w:spacing w:line="360" w:lineRule="auto"/>
              <w:ind w:firstLine="420" w:firstLineChars="200"/>
              <w:rPr>
                <w:sz w:val="21"/>
                <w:szCs w:val="21"/>
              </w:rPr>
            </w:pPr>
            <w:r>
              <w:rPr>
                <w:sz w:val="21"/>
                <w:szCs w:val="21"/>
              </w:rPr>
              <w:t>本项目厂界噪声排放执行《工业企业厂界环境噪声排放标准》（GB12348-2008）</w:t>
            </w:r>
            <w:r>
              <w:rPr>
                <w:rFonts w:hint="eastAsia"/>
                <w:sz w:val="21"/>
                <w:szCs w:val="21"/>
              </w:rPr>
              <w:t>2</w:t>
            </w:r>
            <w:r>
              <w:rPr>
                <w:sz w:val="21"/>
                <w:szCs w:val="21"/>
              </w:rPr>
              <w:t>类标准，根据《环境影响评价技术导则 声环境》（HJ2.4-2021）的规定，选用工业噪声预测计算模型：</w:t>
            </w:r>
          </w:p>
          <w:p w14:paraId="44526AC8">
            <w:pPr>
              <w:autoSpaceDE w:val="0"/>
              <w:autoSpaceDN w:val="0"/>
              <w:adjustRightInd w:val="0"/>
              <w:snapToGrid w:val="0"/>
              <w:spacing w:line="360" w:lineRule="auto"/>
              <w:ind w:firstLine="422" w:firstLineChars="200"/>
              <w:rPr>
                <w:b/>
                <w:sz w:val="21"/>
                <w:szCs w:val="21"/>
              </w:rPr>
            </w:pPr>
            <w:r>
              <w:rPr>
                <w:rFonts w:hint="eastAsia"/>
                <w:b/>
                <w:sz w:val="21"/>
                <w:szCs w:val="21"/>
              </w:rPr>
              <w:t>（1）室外声源</w:t>
            </w:r>
          </w:p>
          <w:p w14:paraId="64B2E077">
            <w:pPr>
              <w:autoSpaceDE w:val="0"/>
              <w:autoSpaceDN w:val="0"/>
              <w:adjustRightInd w:val="0"/>
              <w:snapToGrid w:val="0"/>
              <w:spacing w:line="360" w:lineRule="auto"/>
              <w:ind w:firstLine="420" w:firstLineChars="200"/>
              <w:rPr>
                <w:sz w:val="21"/>
                <w:szCs w:val="21"/>
              </w:rPr>
            </w:pPr>
            <w:r>
              <w:rPr>
                <w:rFonts w:hint="eastAsia"/>
                <w:sz w:val="21"/>
                <w:szCs w:val="21"/>
              </w:rPr>
              <w:t>在不能取得声源倍频带声功率级或倍频带声压级，只能获得A声功率级或某点的A声级时，可按下公式作近似计算：</w:t>
            </w:r>
          </w:p>
          <w:p w14:paraId="1141D6C1">
            <w:pPr>
              <w:autoSpaceDE w:val="0"/>
              <w:autoSpaceDN w:val="0"/>
              <w:adjustRightInd w:val="0"/>
              <w:snapToGrid w:val="0"/>
              <w:spacing w:line="360" w:lineRule="auto"/>
              <w:jc w:val="center"/>
              <w:rPr>
                <w:sz w:val="21"/>
                <w:szCs w:val="21"/>
              </w:rPr>
            </w:pPr>
            <w:r>
              <w:rPr>
                <w:rFonts w:hint="eastAsia"/>
                <w:sz w:val="21"/>
                <w:szCs w:val="21"/>
              </w:rPr>
              <w:object>
                <v:shape id="_x0000_i1025" o:spt="75" type="#_x0000_t75" style="height:18pt;width:102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p>
          <w:p w14:paraId="622A419A">
            <w:pPr>
              <w:autoSpaceDE w:val="0"/>
              <w:autoSpaceDN w:val="0"/>
              <w:adjustRightInd w:val="0"/>
              <w:snapToGrid w:val="0"/>
              <w:spacing w:line="360" w:lineRule="auto"/>
              <w:ind w:firstLine="420" w:firstLineChars="200"/>
              <w:rPr>
                <w:sz w:val="21"/>
                <w:szCs w:val="21"/>
              </w:rPr>
            </w:pPr>
            <w:r>
              <w:rPr>
                <w:rFonts w:hint="eastAsia"/>
                <w:sz w:val="21"/>
                <w:szCs w:val="21"/>
              </w:rPr>
              <w:t>室外线源可分为若干线的分区，而每个线的分区可用处于中心位置的点声源表示。</w:t>
            </w:r>
          </w:p>
          <w:p w14:paraId="6564C206">
            <w:pPr>
              <w:autoSpaceDE w:val="0"/>
              <w:autoSpaceDN w:val="0"/>
              <w:adjustRightInd w:val="0"/>
              <w:snapToGrid w:val="0"/>
              <w:spacing w:line="360" w:lineRule="auto"/>
              <w:ind w:firstLine="422" w:firstLineChars="200"/>
              <w:rPr>
                <w:b/>
                <w:sz w:val="21"/>
                <w:szCs w:val="21"/>
              </w:rPr>
            </w:pPr>
            <w:r>
              <w:rPr>
                <w:rFonts w:hint="eastAsia"/>
                <w:b/>
                <w:sz w:val="21"/>
                <w:szCs w:val="21"/>
              </w:rPr>
              <w:t>（2）室内声源</w:t>
            </w:r>
          </w:p>
          <w:p w14:paraId="7AACC2BD">
            <w:pPr>
              <w:autoSpaceDE w:val="0"/>
              <w:autoSpaceDN w:val="0"/>
              <w:adjustRightInd w:val="0"/>
              <w:snapToGrid w:val="0"/>
              <w:spacing w:line="360" w:lineRule="auto"/>
              <w:ind w:firstLine="420" w:firstLineChars="200"/>
              <w:rPr>
                <w:sz w:val="21"/>
                <w:szCs w:val="21"/>
              </w:rPr>
            </w:pPr>
            <w:r>
              <w:rPr>
                <w:rFonts w:hint="eastAsia"/>
                <w:sz w:val="21"/>
                <w:szCs w:val="21"/>
              </w:rPr>
              <w:t>采用等效室外声源声功率级法进行计算。先计算出某个室内靠近围护结构处产生的倍频带声压级：</w:t>
            </w:r>
          </w:p>
          <w:p w14:paraId="1233BDFF">
            <w:pPr>
              <w:autoSpaceDE w:val="0"/>
              <w:autoSpaceDN w:val="0"/>
              <w:adjustRightInd w:val="0"/>
              <w:snapToGrid w:val="0"/>
              <w:spacing w:line="360" w:lineRule="auto"/>
              <w:jc w:val="center"/>
              <w:rPr>
                <w:sz w:val="21"/>
                <w:szCs w:val="21"/>
              </w:rPr>
            </w:pPr>
            <w:r>
              <w:rPr>
                <w:rFonts w:hint="eastAsia"/>
                <w:sz w:val="21"/>
                <w:szCs w:val="21"/>
              </w:rPr>
              <w:object>
                <v:shape id="_x0000_i1026" o:spt="75" type="#_x0000_t75" style="height:33.75pt;width:137.25pt;" o:ole="t" filled="f" o:preferrelative="t" stroked="f" coordsize="21600,21600">
                  <v:path/>
                  <v:fill on="f" focussize="0,0"/>
                  <v:stroke on="f" joinstyle="miter"/>
                  <v:imagedata r:id="rId25" o:title=""/>
                  <o:lock v:ext="edit" aspectratio="t"/>
                  <w10:wrap type="none"/>
                  <w10:anchorlock/>
                </v:shape>
                <o:OLEObject Type="Embed" ProgID="Equation.DSMT4" ShapeID="_x0000_i1026" DrawAspect="Content" ObjectID="_1468075726" r:id="rId24">
                  <o:LockedField>false</o:LockedField>
                </o:OLEObject>
              </w:object>
            </w:r>
          </w:p>
          <w:p w14:paraId="4BF550F0">
            <w:pPr>
              <w:autoSpaceDE w:val="0"/>
              <w:autoSpaceDN w:val="0"/>
              <w:adjustRightInd w:val="0"/>
              <w:snapToGrid w:val="0"/>
              <w:spacing w:line="360" w:lineRule="auto"/>
              <w:ind w:firstLine="420" w:firstLineChars="200"/>
              <w:rPr>
                <w:sz w:val="21"/>
                <w:szCs w:val="21"/>
              </w:rPr>
            </w:pPr>
            <w:r>
              <w:rPr>
                <w:rFonts w:hint="eastAsia"/>
                <w:sz w:val="21"/>
                <w:szCs w:val="21"/>
              </w:rPr>
              <w:t>然后计算出所有室内声源在围护结构处产生的i倍频带叠加声压级：</w:t>
            </w:r>
          </w:p>
          <w:p w14:paraId="2EB6F0E9">
            <w:pPr>
              <w:autoSpaceDE w:val="0"/>
              <w:autoSpaceDN w:val="0"/>
              <w:adjustRightInd w:val="0"/>
              <w:snapToGrid w:val="0"/>
              <w:spacing w:line="360" w:lineRule="auto"/>
              <w:jc w:val="center"/>
              <w:rPr>
                <w:sz w:val="21"/>
                <w:szCs w:val="21"/>
              </w:rPr>
            </w:pPr>
            <w:r>
              <w:rPr>
                <w:rFonts w:hint="eastAsia"/>
                <w:sz w:val="21"/>
                <w:szCs w:val="21"/>
              </w:rPr>
              <w:object>
                <v:shape id="_x0000_i1027" o:spt="75" type="#_x0000_t75" style="height:38.25pt;width:135.75pt;" o:ole="t" filled="f" o:preferrelative="t" stroked="f" coordsize="21600,21600">
                  <v:path/>
                  <v:fill on="f" focussize="0,0"/>
                  <v:stroke on="f" joinstyle="miter"/>
                  <v:imagedata r:id="rId27" o:title=""/>
                  <o:lock v:ext="edit" aspectratio="t"/>
                  <w10:wrap type="none"/>
                  <w10:anchorlock/>
                </v:shape>
                <o:OLEObject Type="Embed" ProgID="Equation.DSMT4" ShapeID="_x0000_i1027" DrawAspect="Content" ObjectID="_1468075727" r:id="rId26">
                  <o:LockedField>false</o:LockedField>
                </o:OLEObject>
              </w:object>
            </w:r>
          </w:p>
          <w:p w14:paraId="401E15FD">
            <w:pPr>
              <w:autoSpaceDE w:val="0"/>
              <w:autoSpaceDN w:val="0"/>
              <w:adjustRightInd w:val="0"/>
              <w:snapToGrid w:val="0"/>
              <w:spacing w:line="360" w:lineRule="auto"/>
              <w:ind w:firstLine="420" w:firstLineChars="200"/>
              <w:rPr>
                <w:sz w:val="21"/>
                <w:szCs w:val="21"/>
              </w:rPr>
            </w:pPr>
            <w:r>
              <w:rPr>
                <w:rFonts w:hint="eastAsia"/>
                <w:sz w:val="21"/>
                <w:szCs w:val="21"/>
              </w:rPr>
              <w:t>在室内近似为扩散声场时，按下式计算出靠近室外围护结构处的声压级：</w:t>
            </w:r>
          </w:p>
          <w:p w14:paraId="43E17394">
            <w:pPr>
              <w:autoSpaceDE w:val="0"/>
              <w:autoSpaceDN w:val="0"/>
              <w:adjustRightInd w:val="0"/>
              <w:snapToGrid w:val="0"/>
              <w:spacing w:line="360" w:lineRule="auto"/>
              <w:jc w:val="center"/>
              <w:rPr>
                <w:sz w:val="21"/>
                <w:szCs w:val="21"/>
              </w:rPr>
            </w:pPr>
            <w:r>
              <w:rPr>
                <w:rFonts w:hint="eastAsia"/>
                <w:sz w:val="21"/>
                <w:szCs w:val="21"/>
              </w:rPr>
              <w:object>
                <v:shape id="_x0000_i1028" o:spt="75" type="#_x0000_t75" style="height:18.75pt;width:140.25pt;" o:ole="t" filled="f" o:preferrelative="t" stroked="f" coordsize="21600,21600">
                  <v:path/>
                  <v:fill on="f" focussize="0,0"/>
                  <v:stroke on="f" joinstyle="miter"/>
                  <v:imagedata r:id="rId29" o:title=""/>
                  <o:lock v:ext="edit" aspectratio="t"/>
                  <w10:wrap type="none"/>
                  <w10:anchorlock/>
                </v:shape>
                <o:OLEObject Type="Embed" ProgID="Equation.DSMT4" ShapeID="_x0000_i1028" DrawAspect="Content" ObjectID="_1468075728" r:id="rId28">
                  <o:LockedField>false</o:LockedField>
                </o:OLEObject>
              </w:object>
            </w:r>
          </w:p>
          <w:p w14:paraId="125ACC49">
            <w:pPr>
              <w:autoSpaceDE w:val="0"/>
              <w:autoSpaceDN w:val="0"/>
              <w:adjustRightInd w:val="0"/>
              <w:snapToGrid w:val="0"/>
              <w:spacing w:line="360" w:lineRule="auto"/>
              <w:ind w:firstLine="420" w:firstLineChars="200"/>
              <w:rPr>
                <w:sz w:val="21"/>
                <w:szCs w:val="21"/>
              </w:rPr>
            </w:pPr>
            <w:r>
              <w:rPr>
                <w:rFonts w:hint="eastAsia"/>
                <w:sz w:val="21"/>
                <w:szCs w:val="21"/>
              </w:rPr>
              <w:t>将室外声源的声压级和透过面积换算成等效的室外声源，计算出中心位置位于透声面积处的等效声源的倍频带声功率级</w:t>
            </w:r>
            <w:r>
              <w:rPr>
                <w:rFonts w:hint="eastAsia"/>
                <w:sz w:val="21"/>
                <w:szCs w:val="21"/>
              </w:rPr>
              <w:softHyphen/>
            </w:r>
            <w:r>
              <w:rPr>
                <w:rFonts w:hint="eastAsia"/>
                <w:sz w:val="21"/>
                <w:szCs w:val="21"/>
              </w:rPr>
              <w:softHyphen/>
            </w:r>
            <w:r>
              <w:rPr>
                <w:rFonts w:hint="eastAsia"/>
                <w:sz w:val="21"/>
                <w:szCs w:val="21"/>
              </w:rPr>
              <w:t>：</w:t>
            </w:r>
          </w:p>
          <w:p w14:paraId="29751B67">
            <w:pPr>
              <w:autoSpaceDE w:val="0"/>
              <w:autoSpaceDN w:val="0"/>
              <w:adjustRightInd w:val="0"/>
              <w:snapToGrid w:val="0"/>
              <w:spacing w:line="360" w:lineRule="auto"/>
              <w:ind w:firstLine="420" w:firstLineChars="200"/>
              <w:jc w:val="center"/>
              <w:rPr>
                <w:sz w:val="21"/>
                <w:szCs w:val="21"/>
              </w:rPr>
            </w:pPr>
            <w:r>
              <w:rPr>
                <w:rFonts w:hint="eastAsia"/>
                <w:sz w:val="21"/>
                <w:szCs w:val="21"/>
              </w:rPr>
              <w:object>
                <v:shape id="_x0000_i1029" o:spt="75" type="#_x0000_t75" style="height:18.75pt;width:104.25pt;" o:ole="t" filled="f" o:preferrelative="t" stroked="f" coordsize="21600,21600">
                  <v:path/>
                  <v:fill on="f" focussize="0,0"/>
                  <v:stroke on="f" joinstyle="miter"/>
                  <v:imagedata r:id="rId31" o:title=""/>
                  <o:lock v:ext="edit" aspectratio="t"/>
                  <w10:wrap type="none"/>
                  <w10:anchorlock/>
                </v:shape>
                <o:OLEObject Type="Embed" ProgID="Equation.DSMT4" ShapeID="_x0000_i1029" DrawAspect="Content" ObjectID="_1468075729" r:id="rId30">
                  <o:LockedField>false</o:LockedField>
                </o:OLEObject>
              </w:object>
            </w:r>
          </w:p>
          <w:p w14:paraId="620E9870">
            <w:pPr>
              <w:autoSpaceDE w:val="0"/>
              <w:autoSpaceDN w:val="0"/>
              <w:adjustRightInd w:val="0"/>
              <w:snapToGrid w:val="0"/>
              <w:spacing w:line="360" w:lineRule="auto"/>
              <w:ind w:firstLine="420" w:firstLineChars="200"/>
              <w:rPr>
                <w:sz w:val="21"/>
                <w:szCs w:val="21"/>
              </w:rPr>
            </w:pPr>
            <w:r>
              <w:rPr>
                <w:rFonts w:hint="eastAsia"/>
                <w:sz w:val="21"/>
                <w:szCs w:val="21"/>
              </w:rPr>
              <w:t>然后按室外声源预测方法计算预测点处的A声级。</w:t>
            </w:r>
          </w:p>
          <w:p w14:paraId="3949791A">
            <w:pPr>
              <w:autoSpaceDE w:val="0"/>
              <w:autoSpaceDN w:val="0"/>
              <w:adjustRightInd w:val="0"/>
              <w:snapToGrid w:val="0"/>
              <w:spacing w:line="360" w:lineRule="auto"/>
              <w:ind w:firstLine="422" w:firstLineChars="200"/>
              <w:rPr>
                <w:b/>
                <w:sz w:val="21"/>
                <w:szCs w:val="21"/>
              </w:rPr>
            </w:pPr>
            <w:r>
              <w:rPr>
                <w:rFonts w:hint="eastAsia"/>
                <w:b/>
                <w:sz w:val="21"/>
                <w:szCs w:val="21"/>
              </w:rPr>
              <w:t>（3）噪声贡献值计算</w:t>
            </w:r>
          </w:p>
          <w:p w14:paraId="68A2737C">
            <w:pPr>
              <w:autoSpaceDE w:val="0"/>
              <w:autoSpaceDN w:val="0"/>
              <w:adjustRightInd w:val="0"/>
              <w:snapToGrid w:val="0"/>
              <w:spacing w:line="360" w:lineRule="auto"/>
              <w:ind w:firstLine="420" w:firstLineChars="200"/>
              <w:rPr>
                <w:sz w:val="21"/>
                <w:szCs w:val="21"/>
              </w:rPr>
            </w:pPr>
            <w:r>
              <w:rPr>
                <w:rFonts w:hint="eastAsia"/>
                <w:sz w:val="21"/>
                <w:szCs w:val="21"/>
              </w:rPr>
              <w:t>设第i个室外声源在预测点产生的A声级为L</w:t>
            </w:r>
            <w:r>
              <w:rPr>
                <w:rFonts w:hint="eastAsia"/>
                <w:sz w:val="21"/>
                <w:szCs w:val="21"/>
                <w:vertAlign w:val="subscript"/>
              </w:rPr>
              <w:t>Ai</w:t>
            </w:r>
            <w:r>
              <w:rPr>
                <w:rFonts w:hint="eastAsia"/>
                <w:sz w:val="21"/>
                <w:szCs w:val="21"/>
              </w:rPr>
              <w:t>，在T时间内该声源工作时间为ti；第j个等效室外声源在预测点产生的A声级为L</w:t>
            </w:r>
            <w:r>
              <w:rPr>
                <w:rFonts w:hint="eastAsia"/>
                <w:sz w:val="21"/>
                <w:szCs w:val="21"/>
                <w:vertAlign w:val="subscript"/>
              </w:rPr>
              <w:t>Aj</w:t>
            </w:r>
            <w:r>
              <w:rPr>
                <w:rFonts w:hint="eastAsia"/>
                <w:sz w:val="21"/>
                <w:szCs w:val="21"/>
              </w:rPr>
              <w:t>，在T时间内该声源工作时间为t</w:t>
            </w:r>
            <w:r>
              <w:rPr>
                <w:rFonts w:hint="eastAsia"/>
                <w:sz w:val="21"/>
                <w:szCs w:val="21"/>
                <w:vertAlign w:val="subscript"/>
              </w:rPr>
              <w:t>j</w:t>
            </w:r>
            <w:r>
              <w:rPr>
                <w:rFonts w:hint="eastAsia"/>
                <w:sz w:val="21"/>
                <w:szCs w:val="21"/>
              </w:rPr>
              <w:t>，则拟建工程声源对预测点产生的贡献值为：</w:t>
            </w:r>
          </w:p>
          <w:p w14:paraId="365F8308">
            <w:pPr>
              <w:autoSpaceDE w:val="0"/>
              <w:autoSpaceDN w:val="0"/>
              <w:adjustRightInd w:val="0"/>
              <w:snapToGrid w:val="0"/>
              <w:spacing w:line="360" w:lineRule="auto"/>
              <w:jc w:val="center"/>
              <w:rPr>
                <w:sz w:val="21"/>
                <w:szCs w:val="21"/>
              </w:rPr>
            </w:pPr>
            <w:r>
              <w:rPr>
                <w:rFonts w:hint="eastAsia"/>
                <w:sz w:val="21"/>
                <w:szCs w:val="21"/>
              </w:rPr>
              <w:object>
                <v:shape id="_x0000_i1030" o:spt="75" type="#_x0000_t75" style="height:39.75pt;width:205.5pt;" o:ole="t" filled="f" o:preferrelative="t" stroked="f" coordsize="21600,21600">
                  <v:path/>
                  <v:fill on="f" focussize="0,0"/>
                  <v:stroke on="f" joinstyle="miter"/>
                  <v:imagedata r:id="rId33" o:title=""/>
                  <o:lock v:ext="edit" aspectratio="t"/>
                  <w10:wrap type="none"/>
                  <w10:anchorlock/>
                </v:shape>
                <o:OLEObject Type="Embed" ProgID="Equation.DSMT4" ShapeID="_x0000_i1030" DrawAspect="Content" ObjectID="_1468075730" r:id="rId32">
                  <o:LockedField>false</o:LockedField>
                </o:OLEObject>
              </w:object>
            </w:r>
          </w:p>
          <w:p w14:paraId="0B0F27B9">
            <w:pPr>
              <w:autoSpaceDE w:val="0"/>
              <w:autoSpaceDN w:val="0"/>
              <w:adjustRightInd w:val="0"/>
              <w:snapToGrid w:val="0"/>
              <w:spacing w:line="360" w:lineRule="auto"/>
              <w:ind w:firstLine="422" w:firstLineChars="200"/>
              <w:rPr>
                <w:b/>
                <w:sz w:val="21"/>
                <w:szCs w:val="21"/>
              </w:rPr>
            </w:pPr>
            <w:r>
              <w:rPr>
                <w:rFonts w:hint="eastAsia"/>
                <w:b/>
                <w:sz w:val="21"/>
                <w:szCs w:val="21"/>
              </w:rPr>
              <w:t>（4）预测值计算</w:t>
            </w:r>
          </w:p>
          <w:p w14:paraId="520B1303">
            <w:pPr>
              <w:autoSpaceDE w:val="0"/>
              <w:autoSpaceDN w:val="0"/>
              <w:adjustRightInd w:val="0"/>
              <w:snapToGrid w:val="0"/>
              <w:spacing w:line="360" w:lineRule="auto"/>
              <w:ind w:firstLine="420" w:firstLineChars="200"/>
              <w:rPr>
                <w:sz w:val="21"/>
                <w:szCs w:val="21"/>
              </w:rPr>
            </w:pPr>
            <w:r>
              <w:rPr>
                <w:rFonts w:hint="eastAsia"/>
                <w:sz w:val="21"/>
                <w:szCs w:val="21"/>
              </w:rPr>
              <w:t>预测点的预测等效声级为：</w:t>
            </w:r>
          </w:p>
          <w:p w14:paraId="3F17E40D">
            <w:pPr>
              <w:autoSpaceDE w:val="0"/>
              <w:autoSpaceDN w:val="0"/>
              <w:adjustRightInd w:val="0"/>
              <w:snapToGrid w:val="0"/>
              <w:spacing w:line="360" w:lineRule="auto"/>
              <w:jc w:val="center"/>
              <w:rPr>
                <w:sz w:val="21"/>
                <w:szCs w:val="21"/>
              </w:rPr>
            </w:pPr>
            <w:r>
              <w:rPr>
                <w:rFonts w:hint="eastAsia"/>
                <w:sz w:val="21"/>
                <w:szCs w:val="21"/>
              </w:rPr>
              <w:object>
                <v:shape id="_x0000_i1031" o:spt="75" type="#_x0000_t75" style="height:24.75pt;width:138.75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p>
          <w:p w14:paraId="33A06F6F">
            <w:pPr>
              <w:autoSpaceDE w:val="0"/>
              <w:autoSpaceDN w:val="0"/>
              <w:adjustRightInd w:val="0"/>
              <w:snapToGrid w:val="0"/>
              <w:spacing w:line="360" w:lineRule="auto"/>
              <w:ind w:firstLine="420" w:firstLineChars="200"/>
              <w:rPr>
                <w:sz w:val="21"/>
                <w:szCs w:val="21"/>
              </w:rPr>
            </w:pPr>
            <w:r>
              <w:rPr>
                <w:rFonts w:hint="eastAsia"/>
                <w:sz w:val="21"/>
                <w:szCs w:val="21"/>
              </w:rPr>
              <w:t>A．预测模型</w:t>
            </w:r>
          </w:p>
          <w:p w14:paraId="7B405C04">
            <w:pPr>
              <w:autoSpaceDE w:val="0"/>
              <w:autoSpaceDN w:val="0"/>
              <w:adjustRightInd w:val="0"/>
              <w:snapToGrid w:val="0"/>
              <w:spacing w:line="360" w:lineRule="auto"/>
              <w:jc w:val="center"/>
              <w:rPr>
                <w:sz w:val="21"/>
                <w:szCs w:val="21"/>
              </w:rPr>
            </w:pPr>
            <w:r>
              <w:rPr>
                <w:rFonts w:hint="eastAsia"/>
                <w:sz w:val="21"/>
                <w:szCs w:val="21"/>
              </w:rPr>
              <w:t>L</w:t>
            </w:r>
            <w:r>
              <w:rPr>
                <w:rFonts w:hint="eastAsia"/>
                <w:sz w:val="21"/>
                <w:szCs w:val="21"/>
                <w:vertAlign w:val="subscript"/>
              </w:rPr>
              <w:t>2</w:t>
            </w:r>
            <w:r>
              <w:rPr>
                <w:rFonts w:hint="eastAsia"/>
                <w:sz w:val="21"/>
                <w:szCs w:val="21"/>
              </w:rPr>
              <w:t>＝L</w:t>
            </w:r>
            <w:r>
              <w:rPr>
                <w:rFonts w:hint="eastAsia"/>
                <w:sz w:val="21"/>
                <w:szCs w:val="21"/>
                <w:vertAlign w:val="subscript"/>
              </w:rPr>
              <w:t>1</w:t>
            </w:r>
            <w:r>
              <w:rPr>
                <w:rFonts w:hint="eastAsia"/>
                <w:sz w:val="21"/>
                <w:szCs w:val="21"/>
              </w:rPr>
              <w:t>－20lgr</w:t>
            </w:r>
            <w:r>
              <w:rPr>
                <w:rFonts w:hint="eastAsia"/>
                <w:sz w:val="21"/>
                <w:szCs w:val="21"/>
                <w:vertAlign w:val="subscript"/>
              </w:rPr>
              <w:t>2/</w:t>
            </w:r>
            <w:r>
              <w:rPr>
                <w:rFonts w:hint="eastAsia"/>
                <w:sz w:val="21"/>
                <w:szCs w:val="21"/>
              </w:rPr>
              <w:t>r</w:t>
            </w:r>
            <w:r>
              <w:rPr>
                <w:rFonts w:hint="eastAsia"/>
                <w:sz w:val="21"/>
                <w:szCs w:val="21"/>
                <w:vertAlign w:val="subscript"/>
              </w:rPr>
              <w:t>1</w:t>
            </w:r>
            <w:r>
              <w:rPr>
                <w:rFonts w:hint="eastAsia"/>
                <w:sz w:val="21"/>
                <w:szCs w:val="21"/>
              </w:rPr>
              <w:t xml:space="preserve">        r</w:t>
            </w:r>
            <w:r>
              <w:rPr>
                <w:rFonts w:hint="eastAsia"/>
                <w:sz w:val="21"/>
                <w:szCs w:val="21"/>
                <w:vertAlign w:val="subscript"/>
              </w:rPr>
              <w:t>2</w:t>
            </w:r>
            <w:r>
              <w:rPr>
                <w:rFonts w:hint="eastAsia"/>
                <w:sz w:val="21"/>
                <w:szCs w:val="21"/>
              </w:rPr>
              <w:t>&gt;r</w:t>
            </w:r>
            <w:r>
              <w:rPr>
                <w:rFonts w:hint="eastAsia"/>
                <w:sz w:val="21"/>
                <w:szCs w:val="21"/>
                <w:vertAlign w:val="subscript"/>
              </w:rPr>
              <w:t>1</w:t>
            </w:r>
          </w:p>
          <w:p w14:paraId="3C0AEF6C">
            <w:pPr>
              <w:autoSpaceDE w:val="0"/>
              <w:autoSpaceDN w:val="0"/>
              <w:adjustRightInd w:val="0"/>
              <w:snapToGrid w:val="0"/>
              <w:spacing w:line="360" w:lineRule="auto"/>
              <w:ind w:firstLine="420" w:firstLineChars="200"/>
              <w:rPr>
                <w:sz w:val="21"/>
                <w:szCs w:val="21"/>
              </w:rPr>
            </w:pPr>
            <w:r>
              <w:rPr>
                <w:rFonts w:hint="eastAsia"/>
                <w:sz w:val="21"/>
                <w:szCs w:val="21"/>
              </w:rPr>
              <w:t>式中：L</w:t>
            </w:r>
            <w:r>
              <w:rPr>
                <w:rFonts w:hint="eastAsia"/>
                <w:sz w:val="21"/>
                <w:szCs w:val="21"/>
                <w:vertAlign w:val="subscript"/>
              </w:rPr>
              <w:t>1</w:t>
            </w:r>
            <w:r>
              <w:rPr>
                <w:rFonts w:hint="eastAsia"/>
                <w:sz w:val="21"/>
                <w:szCs w:val="21"/>
              </w:rPr>
              <w:t>、L</w:t>
            </w:r>
            <w:r>
              <w:rPr>
                <w:rFonts w:hint="eastAsia"/>
                <w:sz w:val="21"/>
                <w:szCs w:val="21"/>
                <w:vertAlign w:val="subscript"/>
              </w:rPr>
              <w:t>2</w:t>
            </w:r>
            <w:r>
              <w:rPr>
                <w:rFonts w:hint="eastAsia"/>
                <w:sz w:val="21"/>
                <w:szCs w:val="21"/>
              </w:rPr>
              <w:t>分别为距声源r</w:t>
            </w:r>
            <w:r>
              <w:rPr>
                <w:rFonts w:hint="eastAsia"/>
                <w:sz w:val="21"/>
                <w:szCs w:val="21"/>
                <w:vertAlign w:val="subscript"/>
              </w:rPr>
              <w:t>1</w:t>
            </w:r>
            <w:r>
              <w:rPr>
                <w:rFonts w:hint="eastAsia"/>
                <w:sz w:val="21"/>
                <w:szCs w:val="21"/>
              </w:rPr>
              <w:t>、r</w:t>
            </w:r>
            <w:r>
              <w:rPr>
                <w:rFonts w:hint="eastAsia"/>
                <w:sz w:val="21"/>
                <w:szCs w:val="21"/>
                <w:vertAlign w:val="subscript"/>
              </w:rPr>
              <w:t>2</w:t>
            </w:r>
            <w:r>
              <w:rPr>
                <w:rFonts w:hint="eastAsia"/>
                <w:sz w:val="21"/>
                <w:szCs w:val="21"/>
              </w:rPr>
              <w:t>处的等效A声级[dB（A）]；</w:t>
            </w:r>
          </w:p>
          <w:p w14:paraId="532327D4">
            <w:pPr>
              <w:autoSpaceDE w:val="0"/>
              <w:autoSpaceDN w:val="0"/>
              <w:adjustRightInd w:val="0"/>
              <w:snapToGrid w:val="0"/>
              <w:spacing w:line="360" w:lineRule="auto"/>
              <w:ind w:firstLine="420" w:firstLineChars="200"/>
              <w:rPr>
                <w:sz w:val="21"/>
                <w:szCs w:val="21"/>
              </w:rPr>
            </w:pPr>
            <w:r>
              <w:rPr>
                <w:rFonts w:hint="eastAsia"/>
                <w:sz w:val="21"/>
                <w:szCs w:val="21"/>
              </w:rPr>
              <w:t xml:space="preserve">      r</w:t>
            </w:r>
            <w:r>
              <w:rPr>
                <w:rFonts w:hint="eastAsia"/>
                <w:sz w:val="21"/>
                <w:szCs w:val="21"/>
                <w:vertAlign w:val="subscript"/>
              </w:rPr>
              <w:t>1</w:t>
            </w:r>
            <w:r>
              <w:rPr>
                <w:rFonts w:hint="eastAsia"/>
                <w:sz w:val="21"/>
                <w:szCs w:val="21"/>
              </w:rPr>
              <w:t>、r</w:t>
            </w:r>
            <w:r>
              <w:rPr>
                <w:rFonts w:hint="eastAsia"/>
                <w:sz w:val="21"/>
                <w:szCs w:val="21"/>
                <w:vertAlign w:val="subscript"/>
              </w:rPr>
              <w:t>2</w:t>
            </w:r>
            <w:r>
              <w:rPr>
                <w:rFonts w:hint="eastAsia"/>
                <w:sz w:val="21"/>
                <w:szCs w:val="21"/>
              </w:rPr>
              <w:t>为接受点距声源的距离（m）。</w:t>
            </w:r>
          </w:p>
          <w:p w14:paraId="1CC7DA1C">
            <w:pPr>
              <w:autoSpaceDE w:val="0"/>
              <w:autoSpaceDN w:val="0"/>
              <w:adjustRightInd w:val="0"/>
              <w:snapToGrid w:val="0"/>
              <w:spacing w:line="360" w:lineRule="auto"/>
              <w:ind w:firstLine="420" w:firstLineChars="200"/>
              <w:rPr>
                <w:sz w:val="21"/>
                <w:szCs w:val="21"/>
              </w:rPr>
            </w:pPr>
            <w:r>
              <w:rPr>
                <w:rFonts w:hint="eastAsia"/>
                <w:sz w:val="21"/>
                <w:szCs w:val="21"/>
              </w:rPr>
              <w:t>B．预测结果</w:t>
            </w:r>
          </w:p>
          <w:p w14:paraId="35C58B42">
            <w:pPr>
              <w:autoSpaceDE w:val="0"/>
              <w:autoSpaceDN w:val="0"/>
              <w:adjustRightInd w:val="0"/>
              <w:snapToGrid w:val="0"/>
              <w:spacing w:line="360" w:lineRule="auto"/>
              <w:ind w:firstLine="420" w:firstLineChars="200"/>
              <w:rPr>
                <w:sz w:val="21"/>
                <w:szCs w:val="21"/>
              </w:rPr>
            </w:pPr>
            <w:r>
              <w:rPr>
                <w:rFonts w:hint="eastAsia"/>
                <w:sz w:val="21"/>
                <w:szCs w:val="21"/>
              </w:rPr>
              <w:t>根据厂区设备布局情况，对各个作业区域噪声因距离衰减后的贡献值进行分析。</w:t>
            </w:r>
          </w:p>
          <w:p w14:paraId="217FFAD9">
            <w:pPr>
              <w:autoSpaceDE w:val="0"/>
              <w:autoSpaceDN w:val="0"/>
              <w:adjustRightInd w:val="0"/>
              <w:snapToGrid w:val="0"/>
              <w:spacing w:line="360" w:lineRule="auto"/>
              <w:ind w:firstLine="420" w:firstLineChars="200"/>
              <w:rPr>
                <w:rFonts w:hint="eastAsia" w:eastAsia="宋体"/>
                <w:lang w:eastAsia="zh-CN"/>
              </w:rPr>
            </w:pPr>
            <w:r>
              <w:rPr>
                <w:sz w:val="21"/>
                <w:szCs w:val="21"/>
              </w:rPr>
              <w:t>项目主要设备噪声源强及治理后</w:t>
            </w:r>
            <w:r>
              <w:rPr>
                <w:rFonts w:hint="eastAsia"/>
                <w:sz w:val="21"/>
                <w:szCs w:val="21"/>
                <w:lang w:val="en-US" w:eastAsia="zh-CN"/>
              </w:rPr>
              <w:t>与现状监测值的</w:t>
            </w:r>
            <w:r>
              <w:rPr>
                <w:sz w:val="21"/>
                <w:szCs w:val="21"/>
              </w:rPr>
              <w:t>叠加值见下表：本项目设备噪声主要来源于生产设备（噪声源</w:t>
            </w:r>
            <w:r>
              <w:rPr>
                <w:rFonts w:hint="eastAsia"/>
                <w:sz w:val="21"/>
                <w:szCs w:val="21"/>
              </w:rPr>
              <w:t>70</w:t>
            </w:r>
            <w:r>
              <w:rPr>
                <w:sz w:val="21"/>
                <w:szCs w:val="21"/>
              </w:rPr>
              <w:t>～</w:t>
            </w:r>
            <w:r>
              <w:rPr>
                <w:rFonts w:hint="eastAsia"/>
                <w:sz w:val="21"/>
                <w:szCs w:val="21"/>
              </w:rPr>
              <w:t>90</w:t>
            </w:r>
            <w:r>
              <w:rPr>
                <w:sz w:val="21"/>
                <w:szCs w:val="21"/>
              </w:rPr>
              <w:t>dB（A）），经治理后其噪声值在</w:t>
            </w:r>
            <w:r>
              <w:rPr>
                <w:rFonts w:hint="eastAsia"/>
                <w:sz w:val="21"/>
                <w:szCs w:val="21"/>
                <w:lang w:val="en-US" w:eastAsia="zh-CN"/>
              </w:rPr>
              <w:t>50.85</w:t>
            </w:r>
            <w:r>
              <w:rPr>
                <w:sz w:val="21"/>
                <w:szCs w:val="21"/>
              </w:rPr>
              <w:t>～</w:t>
            </w:r>
            <w:r>
              <w:rPr>
                <w:rFonts w:hint="eastAsia"/>
                <w:sz w:val="21"/>
                <w:szCs w:val="21"/>
                <w:lang w:val="en-US" w:eastAsia="zh-CN"/>
              </w:rPr>
              <w:t>85</w:t>
            </w:r>
            <w:r>
              <w:rPr>
                <w:sz w:val="21"/>
                <w:szCs w:val="21"/>
              </w:rPr>
              <w:t>dB（A）。根据噪声衰减公式对各设备声源在不同距离的衰减量进行计算得出工程噪声厂界</w:t>
            </w:r>
            <w:r>
              <w:rPr>
                <w:rFonts w:hint="eastAsia"/>
                <w:sz w:val="21"/>
                <w:szCs w:val="21"/>
                <w:lang w:eastAsia="zh-CN"/>
              </w:rPr>
              <w:t>（</w:t>
            </w:r>
            <w:r>
              <w:rPr>
                <w:rFonts w:hint="eastAsia"/>
                <w:sz w:val="21"/>
                <w:szCs w:val="21"/>
                <w:lang w:val="en-US" w:eastAsia="zh-CN"/>
              </w:rPr>
              <w:t>万象壹品门业厂房为厂界</w:t>
            </w:r>
            <w:r>
              <w:rPr>
                <w:rFonts w:hint="eastAsia"/>
                <w:sz w:val="21"/>
                <w:szCs w:val="21"/>
                <w:lang w:eastAsia="zh-CN"/>
              </w:rPr>
              <w:t>）</w:t>
            </w:r>
            <w:r>
              <w:rPr>
                <w:sz w:val="21"/>
                <w:szCs w:val="21"/>
              </w:rPr>
              <w:t>贡献值。将厂界贡献值作为评价量。</w:t>
            </w:r>
            <w:r>
              <w:rPr>
                <w:rFonts w:hint="eastAsia"/>
                <w:sz w:val="21"/>
                <w:szCs w:val="21"/>
              </w:rPr>
              <w:t>项目</w:t>
            </w:r>
            <w:r>
              <w:rPr>
                <w:sz w:val="21"/>
                <w:szCs w:val="21"/>
              </w:rPr>
              <w:t>噪声源对厂界噪声的影响预测见下表所示</w:t>
            </w:r>
            <w:r>
              <w:rPr>
                <w:rFonts w:hint="eastAsia"/>
                <w:sz w:val="21"/>
                <w:szCs w:val="21"/>
              </w:rPr>
              <w:t>。</w:t>
            </w:r>
          </w:p>
          <w:p w14:paraId="48AE8018">
            <w:pPr>
              <w:autoSpaceDE w:val="0"/>
              <w:autoSpaceDN w:val="0"/>
              <w:adjustRightInd w:val="0"/>
              <w:snapToGrid w:val="0"/>
              <w:spacing w:line="240" w:lineRule="auto"/>
              <w:jc w:val="center"/>
              <w:rPr>
                <w:b/>
                <w:bCs/>
                <w:sz w:val="21"/>
                <w:szCs w:val="21"/>
                <w:highlight w:val="none"/>
              </w:rPr>
            </w:pPr>
            <w:r>
              <w:rPr>
                <w:rFonts w:hint="eastAsia"/>
                <w:b/>
                <w:bCs/>
                <w:sz w:val="21"/>
                <w:szCs w:val="21"/>
                <w:highlight w:val="none"/>
              </w:rPr>
              <w:t>表4-</w:t>
            </w:r>
            <w:r>
              <w:rPr>
                <w:rFonts w:hint="eastAsia"/>
                <w:b/>
                <w:bCs/>
                <w:sz w:val="21"/>
                <w:szCs w:val="21"/>
                <w:highlight w:val="none"/>
                <w:lang w:val="en-US" w:eastAsia="zh-CN"/>
              </w:rPr>
              <w:t>18</w:t>
            </w:r>
            <w:r>
              <w:rPr>
                <w:rFonts w:hint="eastAsia"/>
                <w:b/>
                <w:bCs/>
                <w:sz w:val="21"/>
                <w:szCs w:val="21"/>
                <w:highlight w:val="none"/>
              </w:rPr>
              <w:t xml:space="preserve"> 运营期昼间噪声预测结果</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660"/>
              <w:gridCol w:w="1329"/>
              <w:gridCol w:w="972"/>
              <w:gridCol w:w="1009"/>
              <w:gridCol w:w="1920"/>
              <w:gridCol w:w="1093"/>
            </w:tblGrid>
            <w:tr w14:paraId="37D25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87" w:type="pct"/>
                  <w:vMerge w:val="restart"/>
                  <w:vAlign w:val="center"/>
                </w:tcPr>
                <w:p w14:paraId="3AB08049">
                  <w:pPr>
                    <w:adjustRightInd w:val="0"/>
                    <w:snapToGrid w:val="0"/>
                    <w:jc w:val="center"/>
                    <w:rPr>
                      <w:b/>
                      <w:szCs w:val="21"/>
                    </w:rPr>
                  </w:pPr>
                  <w:r>
                    <w:rPr>
                      <w:rFonts w:hint="eastAsia"/>
                      <w:b/>
                      <w:szCs w:val="21"/>
                    </w:rPr>
                    <w:t>编号</w:t>
                  </w:r>
                </w:p>
              </w:tc>
              <w:tc>
                <w:tcPr>
                  <w:tcW w:w="938" w:type="pct"/>
                  <w:vMerge w:val="restart"/>
                  <w:vAlign w:val="center"/>
                </w:tcPr>
                <w:p w14:paraId="4193C58D">
                  <w:pPr>
                    <w:adjustRightInd w:val="0"/>
                    <w:snapToGrid w:val="0"/>
                    <w:jc w:val="center"/>
                    <w:rPr>
                      <w:b/>
                      <w:szCs w:val="21"/>
                    </w:rPr>
                  </w:pPr>
                  <w:r>
                    <w:rPr>
                      <w:rFonts w:hint="eastAsia"/>
                      <w:b/>
                      <w:szCs w:val="21"/>
                    </w:rPr>
                    <w:t>预测点位置</w:t>
                  </w:r>
                </w:p>
              </w:tc>
              <w:tc>
                <w:tcPr>
                  <w:tcW w:w="751" w:type="pct"/>
                  <w:vMerge w:val="restart"/>
                  <w:vAlign w:val="center"/>
                </w:tcPr>
                <w:p w14:paraId="218AE6AB">
                  <w:pPr>
                    <w:adjustRightInd w:val="0"/>
                    <w:snapToGrid w:val="0"/>
                    <w:jc w:val="center"/>
                    <w:rPr>
                      <w:b/>
                      <w:szCs w:val="21"/>
                    </w:rPr>
                  </w:pPr>
                  <w:r>
                    <w:rPr>
                      <w:rFonts w:hint="eastAsia"/>
                      <w:b/>
                      <w:szCs w:val="21"/>
                    </w:rPr>
                    <w:t>与声源距离</w:t>
                  </w:r>
                </w:p>
                <w:p w14:paraId="5B348BAD">
                  <w:pPr>
                    <w:adjustRightInd w:val="0"/>
                    <w:snapToGrid w:val="0"/>
                    <w:jc w:val="center"/>
                    <w:rPr>
                      <w:b/>
                      <w:szCs w:val="21"/>
                    </w:rPr>
                  </w:pPr>
                  <w:r>
                    <w:rPr>
                      <w:rFonts w:hint="eastAsia"/>
                      <w:b/>
                      <w:szCs w:val="21"/>
                    </w:rPr>
                    <w:t>（m）</w:t>
                  </w:r>
                </w:p>
              </w:tc>
              <w:tc>
                <w:tcPr>
                  <w:tcW w:w="1119" w:type="pct"/>
                  <w:gridSpan w:val="2"/>
                  <w:vAlign w:val="center"/>
                </w:tcPr>
                <w:p w14:paraId="4AE7B1BA">
                  <w:pPr>
                    <w:adjustRightInd w:val="0"/>
                    <w:snapToGrid w:val="0"/>
                    <w:jc w:val="center"/>
                    <w:rPr>
                      <w:rFonts w:hint="eastAsia"/>
                      <w:b/>
                      <w:szCs w:val="21"/>
                    </w:rPr>
                  </w:pPr>
                  <w:r>
                    <w:rPr>
                      <w:rFonts w:hint="eastAsia"/>
                      <w:b/>
                      <w:szCs w:val="21"/>
                      <w:lang w:val="en-US" w:eastAsia="zh-CN"/>
                    </w:rPr>
                    <w:t>预测</w:t>
                  </w:r>
                  <w:r>
                    <w:rPr>
                      <w:rFonts w:hint="eastAsia"/>
                      <w:b/>
                      <w:szCs w:val="21"/>
                    </w:rPr>
                    <w:t>值[dB(A)]</w:t>
                  </w:r>
                </w:p>
              </w:tc>
              <w:tc>
                <w:tcPr>
                  <w:tcW w:w="1085" w:type="pct"/>
                  <w:vMerge w:val="restart"/>
                  <w:vAlign w:val="center"/>
                </w:tcPr>
                <w:p w14:paraId="0D61EEBB">
                  <w:pPr>
                    <w:adjustRightInd w:val="0"/>
                    <w:snapToGrid w:val="0"/>
                    <w:jc w:val="center"/>
                    <w:rPr>
                      <w:b/>
                      <w:szCs w:val="21"/>
                    </w:rPr>
                  </w:pPr>
                  <w:r>
                    <w:rPr>
                      <w:rFonts w:hint="eastAsia"/>
                      <w:b/>
                      <w:szCs w:val="21"/>
                    </w:rPr>
                    <w:t>标准值[dB(A)]</w:t>
                  </w:r>
                </w:p>
              </w:tc>
              <w:tc>
                <w:tcPr>
                  <w:tcW w:w="617" w:type="pct"/>
                  <w:vMerge w:val="restart"/>
                  <w:vAlign w:val="center"/>
                </w:tcPr>
                <w:p w14:paraId="38CB15FC">
                  <w:pPr>
                    <w:adjustRightInd w:val="0"/>
                    <w:snapToGrid w:val="0"/>
                    <w:jc w:val="center"/>
                    <w:rPr>
                      <w:b/>
                      <w:szCs w:val="21"/>
                    </w:rPr>
                  </w:pPr>
                  <w:r>
                    <w:rPr>
                      <w:rFonts w:hint="eastAsia"/>
                      <w:b/>
                      <w:szCs w:val="21"/>
                    </w:rPr>
                    <w:t>是否达标</w:t>
                  </w:r>
                </w:p>
              </w:tc>
            </w:tr>
            <w:tr w14:paraId="6F1A6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87" w:type="pct"/>
                  <w:vMerge w:val="continue"/>
                  <w:vAlign w:val="center"/>
                </w:tcPr>
                <w:p w14:paraId="327380A0">
                  <w:pPr>
                    <w:adjustRightInd w:val="0"/>
                    <w:snapToGrid w:val="0"/>
                    <w:jc w:val="center"/>
                    <w:rPr>
                      <w:rFonts w:hint="eastAsia"/>
                      <w:b/>
                      <w:szCs w:val="21"/>
                    </w:rPr>
                  </w:pPr>
                </w:p>
              </w:tc>
              <w:tc>
                <w:tcPr>
                  <w:tcW w:w="938" w:type="pct"/>
                  <w:vMerge w:val="continue"/>
                  <w:vAlign w:val="center"/>
                </w:tcPr>
                <w:p w14:paraId="7CF3B830">
                  <w:pPr>
                    <w:adjustRightInd w:val="0"/>
                    <w:snapToGrid w:val="0"/>
                    <w:jc w:val="center"/>
                    <w:rPr>
                      <w:rFonts w:hint="eastAsia"/>
                      <w:b/>
                      <w:szCs w:val="21"/>
                    </w:rPr>
                  </w:pPr>
                </w:p>
              </w:tc>
              <w:tc>
                <w:tcPr>
                  <w:tcW w:w="751" w:type="pct"/>
                  <w:vMerge w:val="continue"/>
                  <w:vAlign w:val="center"/>
                </w:tcPr>
                <w:p w14:paraId="0DE8A1CF">
                  <w:pPr>
                    <w:adjustRightInd w:val="0"/>
                    <w:snapToGrid w:val="0"/>
                    <w:jc w:val="center"/>
                    <w:rPr>
                      <w:rFonts w:hint="eastAsia"/>
                      <w:b/>
                      <w:szCs w:val="21"/>
                    </w:rPr>
                  </w:pPr>
                </w:p>
              </w:tc>
              <w:tc>
                <w:tcPr>
                  <w:tcW w:w="549" w:type="pct"/>
                  <w:vAlign w:val="center"/>
                </w:tcPr>
                <w:p w14:paraId="74FA7A4A">
                  <w:pPr>
                    <w:adjustRightInd w:val="0"/>
                    <w:snapToGrid w:val="0"/>
                    <w:jc w:val="center"/>
                    <w:rPr>
                      <w:rFonts w:hint="eastAsia" w:eastAsia="宋体"/>
                      <w:b/>
                      <w:szCs w:val="21"/>
                      <w:lang w:val="en-US" w:eastAsia="zh-CN"/>
                    </w:rPr>
                  </w:pPr>
                  <w:r>
                    <w:rPr>
                      <w:rFonts w:hint="eastAsia"/>
                      <w:b/>
                      <w:szCs w:val="21"/>
                      <w:lang w:val="en-US" w:eastAsia="zh-CN"/>
                    </w:rPr>
                    <w:t>昼间</w:t>
                  </w:r>
                </w:p>
              </w:tc>
              <w:tc>
                <w:tcPr>
                  <w:tcW w:w="569" w:type="pct"/>
                  <w:vAlign w:val="center"/>
                </w:tcPr>
                <w:p w14:paraId="3D87DF12">
                  <w:pPr>
                    <w:adjustRightInd w:val="0"/>
                    <w:snapToGrid w:val="0"/>
                    <w:jc w:val="center"/>
                    <w:rPr>
                      <w:rFonts w:hint="eastAsia" w:eastAsia="宋体"/>
                      <w:b/>
                      <w:szCs w:val="21"/>
                      <w:lang w:val="en-US" w:eastAsia="zh-CN"/>
                    </w:rPr>
                  </w:pPr>
                  <w:r>
                    <w:rPr>
                      <w:rFonts w:hint="eastAsia"/>
                      <w:b/>
                      <w:szCs w:val="21"/>
                      <w:lang w:val="en-US" w:eastAsia="zh-CN"/>
                    </w:rPr>
                    <w:t>夜间</w:t>
                  </w:r>
                </w:p>
              </w:tc>
              <w:tc>
                <w:tcPr>
                  <w:tcW w:w="1085" w:type="pct"/>
                  <w:vMerge w:val="continue"/>
                  <w:vAlign w:val="center"/>
                </w:tcPr>
                <w:p w14:paraId="2609299B">
                  <w:pPr>
                    <w:adjustRightInd w:val="0"/>
                    <w:snapToGrid w:val="0"/>
                    <w:jc w:val="center"/>
                    <w:rPr>
                      <w:rFonts w:hint="eastAsia"/>
                      <w:b/>
                      <w:szCs w:val="21"/>
                    </w:rPr>
                  </w:pPr>
                </w:p>
              </w:tc>
              <w:tc>
                <w:tcPr>
                  <w:tcW w:w="617" w:type="pct"/>
                  <w:vMerge w:val="continue"/>
                  <w:vAlign w:val="center"/>
                </w:tcPr>
                <w:p w14:paraId="648A3614">
                  <w:pPr>
                    <w:adjustRightInd w:val="0"/>
                    <w:snapToGrid w:val="0"/>
                    <w:jc w:val="center"/>
                    <w:rPr>
                      <w:rFonts w:hint="eastAsia"/>
                      <w:b/>
                      <w:szCs w:val="21"/>
                    </w:rPr>
                  </w:pPr>
                </w:p>
              </w:tc>
            </w:tr>
            <w:tr w14:paraId="42F85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Align w:val="center"/>
                </w:tcPr>
                <w:p w14:paraId="3F2BF937">
                  <w:pPr>
                    <w:adjustRightInd w:val="0"/>
                    <w:snapToGrid w:val="0"/>
                    <w:jc w:val="center"/>
                    <w:rPr>
                      <w:szCs w:val="21"/>
                    </w:rPr>
                  </w:pPr>
                  <w:r>
                    <w:rPr>
                      <w:rFonts w:hint="eastAsia"/>
                      <w:szCs w:val="21"/>
                    </w:rPr>
                    <w:t>1#</w:t>
                  </w:r>
                </w:p>
              </w:tc>
              <w:tc>
                <w:tcPr>
                  <w:tcW w:w="938" w:type="pct"/>
                  <w:vAlign w:val="center"/>
                </w:tcPr>
                <w:p w14:paraId="6E45ACD9">
                  <w:pPr>
                    <w:adjustRightInd w:val="0"/>
                    <w:snapToGrid w:val="0"/>
                    <w:jc w:val="center"/>
                    <w:rPr>
                      <w:szCs w:val="21"/>
                    </w:rPr>
                  </w:pPr>
                  <w:r>
                    <w:rPr>
                      <w:rFonts w:hint="eastAsia"/>
                      <w:szCs w:val="21"/>
                    </w:rPr>
                    <w:t>东侧厂界</w:t>
                  </w:r>
                </w:p>
              </w:tc>
              <w:tc>
                <w:tcPr>
                  <w:tcW w:w="751" w:type="pct"/>
                  <w:vAlign w:val="center"/>
                </w:tcPr>
                <w:p w14:paraId="210B0E15">
                  <w:pPr>
                    <w:adjustRightInd w:val="0"/>
                    <w:snapToGrid w:val="0"/>
                    <w:jc w:val="center"/>
                    <w:rPr>
                      <w:szCs w:val="21"/>
                    </w:rPr>
                  </w:pPr>
                  <w:r>
                    <w:rPr>
                      <w:rFonts w:hint="eastAsia"/>
                      <w:szCs w:val="21"/>
                    </w:rPr>
                    <w:t>1.0</w:t>
                  </w:r>
                </w:p>
              </w:tc>
              <w:tc>
                <w:tcPr>
                  <w:tcW w:w="549" w:type="pct"/>
                  <w:vAlign w:val="center"/>
                </w:tcPr>
                <w:p w14:paraId="4F7CB20E">
                  <w:pPr>
                    <w:adjustRightInd w:val="0"/>
                    <w:snapToGrid w:val="0"/>
                    <w:jc w:val="center"/>
                    <w:rPr>
                      <w:rFonts w:hint="default" w:eastAsia="宋体"/>
                      <w:szCs w:val="21"/>
                      <w:lang w:val="en-US" w:eastAsia="zh-CN"/>
                    </w:rPr>
                  </w:pPr>
                  <w:r>
                    <w:rPr>
                      <w:rFonts w:hint="eastAsia"/>
                      <w:szCs w:val="21"/>
                      <w:lang w:val="en-US" w:eastAsia="zh-CN"/>
                    </w:rPr>
                    <w:t>58.1</w:t>
                  </w:r>
                </w:p>
              </w:tc>
              <w:tc>
                <w:tcPr>
                  <w:tcW w:w="569" w:type="pct"/>
                  <w:vAlign w:val="center"/>
                </w:tcPr>
                <w:p w14:paraId="3CD334B2">
                  <w:pPr>
                    <w:adjustRightInd w:val="0"/>
                    <w:snapToGrid w:val="0"/>
                    <w:jc w:val="center"/>
                    <w:rPr>
                      <w:rFonts w:hint="default" w:eastAsia="宋体"/>
                      <w:szCs w:val="21"/>
                      <w:lang w:val="en-US" w:eastAsia="zh-CN"/>
                    </w:rPr>
                  </w:pPr>
                  <w:r>
                    <w:rPr>
                      <w:rFonts w:hint="eastAsia"/>
                      <w:szCs w:val="21"/>
                      <w:lang w:val="en-US" w:eastAsia="zh-CN"/>
                    </w:rPr>
                    <w:t>56.28</w:t>
                  </w:r>
                </w:p>
              </w:tc>
              <w:tc>
                <w:tcPr>
                  <w:tcW w:w="1085" w:type="pct"/>
                  <w:vMerge w:val="restart"/>
                  <w:vAlign w:val="center"/>
                </w:tcPr>
                <w:p w14:paraId="5E9BAA57">
                  <w:pPr>
                    <w:adjustRightInd w:val="0"/>
                    <w:snapToGrid w:val="0"/>
                    <w:jc w:val="center"/>
                    <w:rPr>
                      <w:rFonts w:hint="eastAsia" w:eastAsia="宋体"/>
                      <w:szCs w:val="21"/>
                      <w:lang w:eastAsia="zh-CN"/>
                    </w:rPr>
                  </w:pPr>
                  <w:r>
                    <w:rPr>
                      <w:rFonts w:hint="eastAsia"/>
                      <w:szCs w:val="21"/>
                      <w:lang w:val="en-US" w:eastAsia="zh-CN"/>
                    </w:rPr>
                    <w:t>昼间</w:t>
                  </w:r>
                  <w:r>
                    <w:rPr>
                      <w:rFonts w:hint="eastAsia"/>
                      <w:szCs w:val="21"/>
                    </w:rPr>
                    <w:t>6</w:t>
                  </w:r>
                  <w:r>
                    <w:rPr>
                      <w:rFonts w:hint="eastAsia"/>
                      <w:szCs w:val="21"/>
                      <w:lang w:val="en-US" w:eastAsia="zh-CN"/>
                    </w:rPr>
                    <w:t>5</w:t>
                  </w:r>
                </w:p>
                <w:p w14:paraId="20207158">
                  <w:pPr>
                    <w:adjustRightInd w:val="0"/>
                    <w:snapToGrid w:val="0"/>
                    <w:jc w:val="center"/>
                    <w:rPr>
                      <w:rFonts w:hint="eastAsia" w:eastAsia="宋体"/>
                      <w:szCs w:val="21"/>
                      <w:lang w:eastAsia="zh-CN"/>
                    </w:rPr>
                  </w:pPr>
                  <w:r>
                    <w:rPr>
                      <w:rFonts w:hint="eastAsia"/>
                      <w:szCs w:val="21"/>
                      <w:lang w:val="en-US" w:eastAsia="zh-CN"/>
                    </w:rPr>
                    <w:t>夜间55</w:t>
                  </w:r>
                </w:p>
              </w:tc>
              <w:tc>
                <w:tcPr>
                  <w:tcW w:w="617" w:type="pct"/>
                  <w:vAlign w:val="center"/>
                </w:tcPr>
                <w:p w14:paraId="062B4D47">
                  <w:pPr>
                    <w:adjustRightInd w:val="0"/>
                    <w:snapToGrid w:val="0"/>
                    <w:jc w:val="center"/>
                    <w:rPr>
                      <w:szCs w:val="21"/>
                    </w:rPr>
                  </w:pPr>
                  <w:r>
                    <w:rPr>
                      <w:rFonts w:hint="eastAsia"/>
                      <w:szCs w:val="21"/>
                    </w:rPr>
                    <w:t>达标</w:t>
                  </w:r>
                </w:p>
              </w:tc>
            </w:tr>
            <w:tr w14:paraId="64CA4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Align w:val="center"/>
                </w:tcPr>
                <w:p w14:paraId="35AD6A61">
                  <w:pPr>
                    <w:adjustRightInd w:val="0"/>
                    <w:snapToGrid w:val="0"/>
                    <w:jc w:val="center"/>
                    <w:rPr>
                      <w:szCs w:val="21"/>
                    </w:rPr>
                  </w:pPr>
                  <w:r>
                    <w:rPr>
                      <w:rFonts w:hint="eastAsia"/>
                      <w:szCs w:val="21"/>
                    </w:rPr>
                    <w:t>2#</w:t>
                  </w:r>
                </w:p>
              </w:tc>
              <w:tc>
                <w:tcPr>
                  <w:tcW w:w="938" w:type="pct"/>
                  <w:vAlign w:val="center"/>
                </w:tcPr>
                <w:p w14:paraId="5582A3D3">
                  <w:pPr>
                    <w:adjustRightInd w:val="0"/>
                    <w:snapToGrid w:val="0"/>
                    <w:jc w:val="center"/>
                    <w:rPr>
                      <w:szCs w:val="21"/>
                    </w:rPr>
                  </w:pPr>
                  <w:r>
                    <w:rPr>
                      <w:rFonts w:hint="eastAsia"/>
                      <w:szCs w:val="21"/>
                    </w:rPr>
                    <w:t>南侧厂界</w:t>
                  </w:r>
                </w:p>
              </w:tc>
              <w:tc>
                <w:tcPr>
                  <w:tcW w:w="751" w:type="pct"/>
                  <w:vAlign w:val="center"/>
                </w:tcPr>
                <w:p w14:paraId="58CCD3BD">
                  <w:pPr>
                    <w:adjustRightInd w:val="0"/>
                    <w:snapToGrid w:val="0"/>
                    <w:jc w:val="center"/>
                    <w:rPr>
                      <w:szCs w:val="21"/>
                    </w:rPr>
                  </w:pPr>
                  <w:r>
                    <w:rPr>
                      <w:rFonts w:hint="eastAsia"/>
                      <w:szCs w:val="21"/>
                    </w:rPr>
                    <w:t>1.0</w:t>
                  </w:r>
                </w:p>
              </w:tc>
              <w:tc>
                <w:tcPr>
                  <w:tcW w:w="549" w:type="pct"/>
                  <w:vAlign w:val="center"/>
                </w:tcPr>
                <w:p w14:paraId="7B90BF4A">
                  <w:pPr>
                    <w:adjustRightInd w:val="0"/>
                    <w:snapToGrid w:val="0"/>
                    <w:jc w:val="center"/>
                    <w:rPr>
                      <w:rFonts w:hint="default" w:eastAsia="宋体"/>
                      <w:szCs w:val="21"/>
                      <w:lang w:val="en-US" w:eastAsia="zh-CN"/>
                    </w:rPr>
                  </w:pPr>
                  <w:r>
                    <w:rPr>
                      <w:rFonts w:hint="eastAsia"/>
                      <w:szCs w:val="21"/>
                      <w:lang w:val="en-US" w:eastAsia="zh-CN"/>
                    </w:rPr>
                    <w:t>56</w:t>
                  </w:r>
                </w:p>
              </w:tc>
              <w:tc>
                <w:tcPr>
                  <w:tcW w:w="569" w:type="pct"/>
                  <w:vAlign w:val="center"/>
                </w:tcPr>
                <w:p w14:paraId="026F741F">
                  <w:pPr>
                    <w:adjustRightInd w:val="0"/>
                    <w:snapToGrid w:val="0"/>
                    <w:jc w:val="center"/>
                    <w:rPr>
                      <w:rFonts w:hint="default" w:eastAsia="宋体"/>
                      <w:szCs w:val="21"/>
                      <w:lang w:val="en-US" w:eastAsia="zh-CN"/>
                    </w:rPr>
                  </w:pPr>
                  <w:r>
                    <w:rPr>
                      <w:rFonts w:hint="eastAsia"/>
                      <w:szCs w:val="21"/>
                      <w:lang w:val="en-US" w:eastAsia="zh-CN"/>
                    </w:rPr>
                    <w:t>47.03</w:t>
                  </w:r>
                </w:p>
              </w:tc>
              <w:tc>
                <w:tcPr>
                  <w:tcW w:w="1085" w:type="pct"/>
                  <w:vMerge w:val="continue"/>
                  <w:vAlign w:val="center"/>
                </w:tcPr>
                <w:p w14:paraId="4E9AD9F5">
                  <w:pPr>
                    <w:adjustRightInd w:val="0"/>
                    <w:snapToGrid w:val="0"/>
                    <w:jc w:val="center"/>
                    <w:rPr>
                      <w:szCs w:val="21"/>
                    </w:rPr>
                  </w:pPr>
                </w:p>
              </w:tc>
              <w:tc>
                <w:tcPr>
                  <w:tcW w:w="617" w:type="pct"/>
                  <w:vAlign w:val="center"/>
                </w:tcPr>
                <w:p w14:paraId="40389288">
                  <w:pPr>
                    <w:adjustRightInd w:val="0"/>
                    <w:snapToGrid w:val="0"/>
                    <w:jc w:val="center"/>
                    <w:rPr>
                      <w:szCs w:val="21"/>
                    </w:rPr>
                  </w:pPr>
                  <w:r>
                    <w:rPr>
                      <w:rFonts w:hint="eastAsia"/>
                      <w:szCs w:val="21"/>
                    </w:rPr>
                    <w:t>达标</w:t>
                  </w:r>
                </w:p>
              </w:tc>
            </w:tr>
            <w:tr w14:paraId="11B80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Align w:val="center"/>
                </w:tcPr>
                <w:p w14:paraId="0473677B">
                  <w:pPr>
                    <w:adjustRightInd w:val="0"/>
                    <w:snapToGrid w:val="0"/>
                    <w:jc w:val="center"/>
                    <w:rPr>
                      <w:szCs w:val="21"/>
                    </w:rPr>
                  </w:pPr>
                  <w:r>
                    <w:rPr>
                      <w:rFonts w:hint="eastAsia"/>
                      <w:szCs w:val="21"/>
                    </w:rPr>
                    <w:t>3#</w:t>
                  </w:r>
                </w:p>
              </w:tc>
              <w:tc>
                <w:tcPr>
                  <w:tcW w:w="938" w:type="pct"/>
                  <w:vAlign w:val="center"/>
                </w:tcPr>
                <w:p w14:paraId="2FB2C7D4">
                  <w:pPr>
                    <w:adjustRightInd w:val="0"/>
                    <w:snapToGrid w:val="0"/>
                    <w:jc w:val="center"/>
                    <w:rPr>
                      <w:szCs w:val="21"/>
                    </w:rPr>
                  </w:pPr>
                  <w:r>
                    <w:rPr>
                      <w:rFonts w:hint="eastAsia"/>
                      <w:szCs w:val="21"/>
                    </w:rPr>
                    <w:t>西侧厂界</w:t>
                  </w:r>
                </w:p>
              </w:tc>
              <w:tc>
                <w:tcPr>
                  <w:tcW w:w="751" w:type="pct"/>
                  <w:vAlign w:val="center"/>
                </w:tcPr>
                <w:p w14:paraId="6CA1B7D5">
                  <w:pPr>
                    <w:adjustRightInd w:val="0"/>
                    <w:snapToGrid w:val="0"/>
                    <w:jc w:val="center"/>
                    <w:rPr>
                      <w:szCs w:val="21"/>
                    </w:rPr>
                  </w:pPr>
                  <w:r>
                    <w:rPr>
                      <w:rFonts w:hint="eastAsia"/>
                      <w:szCs w:val="21"/>
                    </w:rPr>
                    <w:t>1.0</w:t>
                  </w:r>
                </w:p>
              </w:tc>
              <w:tc>
                <w:tcPr>
                  <w:tcW w:w="549" w:type="pct"/>
                  <w:vAlign w:val="center"/>
                </w:tcPr>
                <w:p w14:paraId="274E8E92">
                  <w:pPr>
                    <w:adjustRightInd w:val="0"/>
                    <w:snapToGrid w:val="0"/>
                    <w:jc w:val="center"/>
                    <w:rPr>
                      <w:rFonts w:hint="default" w:eastAsia="宋体"/>
                      <w:szCs w:val="21"/>
                      <w:lang w:val="en-US" w:eastAsia="zh-CN"/>
                    </w:rPr>
                  </w:pPr>
                  <w:r>
                    <w:rPr>
                      <w:rFonts w:hint="eastAsia"/>
                      <w:szCs w:val="21"/>
                      <w:lang w:val="en-US" w:eastAsia="zh-CN"/>
                    </w:rPr>
                    <w:t>58</w:t>
                  </w:r>
                </w:p>
              </w:tc>
              <w:tc>
                <w:tcPr>
                  <w:tcW w:w="569" w:type="pct"/>
                  <w:vAlign w:val="center"/>
                </w:tcPr>
                <w:p w14:paraId="79386F1B">
                  <w:pPr>
                    <w:adjustRightInd w:val="0"/>
                    <w:snapToGrid w:val="0"/>
                    <w:jc w:val="center"/>
                    <w:rPr>
                      <w:rFonts w:hint="default" w:eastAsia="宋体"/>
                      <w:szCs w:val="21"/>
                      <w:lang w:val="en-US" w:eastAsia="zh-CN"/>
                    </w:rPr>
                  </w:pPr>
                  <w:r>
                    <w:rPr>
                      <w:rFonts w:hint="eastAsia"/>
                      <w:szCs w:val="21"/>
                      <w:lang w:val="en-US" w:eastAsia="zh-CN"/>
                    </w:rPr>
                    <w:t>48.04</w:t>
                  </w:r>
                </w:p>
              </w:tc>
              <w:tc>
                <w:tcPr>
                  <w:tcW w:w="1085" w:type="pct"/>
                  <w:vMerge w:val="continue"/>
                  <w:vAlign w:val="center"/>
                </w:tcPr>
                <w:p w14:paraId="2E935AB1">
                  <w:pPr>
                    <w:adjustRightInd w:val="0"/>
                    <w:snapToGrid w:val="0"/>
                    <w:jc w:val="center"/>
                    <w:rPr>
                      <w:szCs w:val="21"/>
                    </w:rPr>
                  </w:pPr>
                </w:p>
              </w:tc>
              <w:tc>
                <w:tcPr>
                  <w:tcW w:w="617" w:type="pct"/>
                  <w:vAlign w:val="center"/>
                </w:tcPr>
                <w:p w14:paraId="7D2BF733">
                  <w:pPr>
                    <w:adjustRightInd w:val="0"/>
                    <w:snapToGrid w:val="0"/>
                    <w:jc w:val="center"/>
                    <w:rPr>
                      <w:szCs w:val="21"/>
                    </w:rPr>
                  </w:pPr>
                  <w:r>
                    <w:rPr>
                      <w:rFonts w:hint="eastAsia"/>
                      <w:szCs w:val="21"/>
                    </w:rPr>
                    <w:t>达标</w:t>
                  </w:r>
                </w:p>
              </w:tc>
            </w:tr>
            <w:tr w14:paraId="3D38C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Align w:val="center"/>
                </w:tcPr>
                <w:p w14:paraId="3D23A48D">
                  <w:pPr>
                    <w:adjustRightInd w:val="0"/>
                    <w:snapToGrid w:val="0"/>
                    <w:jc w:val="center"/>
                    <w:rPr>
                      <w:szCs w:val="21"/>
                    </w:rPr>
                  </w:pPr>
                  <w:r>
                    <w:rPr>
                      <w:rFonts w:hint="eastAsia"/>
                      <w:szCs w:val="21"/>
                    </w:rPr>
                    <w:t>4#</w:t>
                  </w:r>
                </w:p>
              </w:tc>
              <w:tc>
                <w:tcPr>
                  <w:tcW w:w="938" w:type="pct"/>
                  <w:vAlign w:val="center"/>
                </w:tcPr>
                <w:p w14:paraId="1333BA55">
                  <w:pPr>
                    <w:adjustRightInd w:val="0"/>
                    <w:snapToGrid w:val="0"/>
                    <w:jc w:val="center"/>
                    <w:rPr>
                      <w:szCs w:val="21"/>
                    </w:rPr>
                  </w:pPr>
                  <w:r>
                    <w:rPr>
                      <w:rFonts w:hint="eastAsia"/>
                      <w:szCs w:val="21"/>
                    </w:rPr>
                    <w:t>北侧厂界</w:t>
                  </w:r>
                </w:p>
              </w:tc>
              <w:tc>
                <w:tcPr>
                  <w:tcW w:w="751" w:type="pct"/>
                  <w:vAlign w:val="center"/>
                </w:tcPr>
                <w:p w14:paraId="307C4417">
                  <w:pPr>
                    <w:adjustRightInd w:val="0"/>
                    <w:snapToGrid w:val="0"/>
                    <w:jc w:val="center"/>
                    <w:rPr>
                      <w:szCs w:val="21"/>
                    </w:rPr>
                  </w:pPr>
                  <w:r>
                    <w:rPr>
                      <w:rFonts w:hint="eastAsia"/>
                      <w:szCs w:val="21"/>
                    </w:rPr>
                    <w:t>1.0</w:t>
                  </w:r>
                </w:p>
              </w:tc>
              <w:tc>
                <w:tcPr>
                  <w:tcW w:w="549" w:type="pct"/>
                  <w:vAlign w:val="center"/>
                </w:tcPr>
                <w:p w14:paraId="0BDD8B49">
                  <w:pPr>
                    <w:adjustRightInd w:val="0"/>
                    <w:snapToGrid w:val="0"/>
                    <w:jc w:val="center"/>
                    <w:rPr>
                      <w:rFonts w:hint="default" w:eastAsia="宋体"/>
                      <w:szCs w:val="21"/>
                      <w:lang w:val="en-US" w:eastAsia="zh-CN"/>
                    </w:rPr>
                  </w:pPr>
                  <w:r>
                    <w:rPr>
                      <w:rFonts w:hint="eastAsia"/>
                      <w:szCs w:val="21"/>
                      <w:lang w:val="en-US" w:eastAsia="zh-CN"/>
                    </w:rPr>
                    <w:t>57.01</w:t>
                  </w:r>
                </w:p>
              </w:tc>
              <w:tc>
                <w:tcPr>
                  <w:tcW w:w="569" w:type="pct"/>
                  <w:vAlign w:val="center"/>
                </w:tcPr>
                <w:p w14:paraId="60CB44E4">
                  <w:pPr>
                    <w:adjustRightInd w:val="0"/>
                    <w:snapToGrid w:val="0"/>
                    <w:jc w:val="center"/>
                    <w:rPr>
                      <w:rFonts w:hint="default" w:eastAsia="宋体"/>
                      <w:szCs w:val="21"/>
                      <w:lang w:val="en-US" w:eastAsia="zh-CN"/>
                    </w:rPr>
                  </w:pPr>
                  <w:r>
                    <w:rPr>
                      <w:rFonts w:hint="eastAsia"/>
                      <w:szCs w:val="21"/>
                      <w:lang w:val="en-US" w:eastAsia="zh-CN"/>
                    </w:rPr>
                    <w:t>46.01</w:t>
                  </w:r>
                </w:p>
              </w:tc>
              <w:tc>
                <w:tcPr>
                  <w:tcW w:w="1085" w:type="pct"/>
                  <w:vMerge w:val="continue"/>
                  <w:vAlign w:val="center"/>
                </w:tcPr>
                <w:p w14:paraId="63A9C6E4">
                  <w:pPr>
                    <w:adjustRightInd w:val="0"/>
                    <w:snapToGrid w:val="0"/>
                    <w:jc w:val="center"/>
                    <w:rPr>
                      <w:szCs w:val="21"/>
                    </w:rPr>
                  </w:pPr>
                </w:p>
              </w:tc>
              <w:tc>
                <w:tcPr>
                  <w:tcW w:w="617" w:type="pct"/>
                  <w:vAlign w:val="center"/>
                </w:tcPr>
                <w:p w14:paraId="74002620">
                  <w:pPr>
                    <w:adjustRightInd w:val="0"/>
                    <w:snapToGrid w:val="0"/>
                    <w:jc w:val="center"/>
                    <w:rPr>
                      <w:szCs w:val="21"/>
                    </w:rPr>
                  </w:pPr>
                  <w:r>
                    <w:rPr>
                      <w:rFonts w:hint="eastAsia"/>
                      <w:szCs w:val="21"/>
                    </w:rPr>
                    <w:t>达标</w:t>
                  </w:r>
                </w:p>
              </w:tc>
            </w:tr>
            <w:tr w14:paraId="5F1BC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Align w:val="center"/>
                </w:tcPr>
                <w:p w14:paraId="15570AF3">
                  <w:pPr>
                    <w:adjustRightInd w:val="0"/>
                    <w:snapToGrid w:val="0"/>
                    <w:jc w:val="center"/>
                    <w:rPr>
                      <w:rFonts w:hint="default" w:eastAsia="宋体"/>
                      <w:szCs w:val="21"/>
                      <w:lang w:val="en-US" w:eastAsia="zh-CN"/>
                    </w:rPr>
                  </w:pPr>
                  <w:r>
                    <w:rPr>
                      <w:rFonts w:hint="eastAsia"/>
                      <w:szCs w:val="21"/>
                      <w:lang w:val="en-US" w:eastAsia="zh-CN"/>
                    </w:rPr>
                    <w:t>5#</w:t>
                  </w:r>
                </w:p>
              </w:tc>
              <w:tc>
                <w:tcPr>
                  <w:tcW w:w="938" w:type="pct"/>
                  <w:vAlign w:val="center"/>
                </w:tcPr>
                <w:p w14:paraId="4A93B284">
                  <w:pPr>
                    <w:adjustRightInd w:val="0"/>
                    <w:snapToGrid w:val="0"/>
                    <w:jc w:val="center"/>
                    <w:rPr>
                      <w:rFonts w:hint="default" w:eastAsia="宋体"/>
                      <w:szCs w:val="21"/>
                      <w:lang w:val="en-US" w:eastAsia="zh-CN"/>
                    </w:rPr>
                  </w:pPr>
                  <w:r>
                    <w:rPr>
                      <w:rFonts w:hint="eastAsia"/>
                      <w:szCs w:val="21"/>
                      <w:lang w:val="en-US" w:eastAsia="zh-CN"/>
                    </w:rPr>
                    <w:t>西华安置小区</w:t>
                  </w:r>
                </w:p>
              </w:tc>
              <w:tc>
                <w:tcPr>
                  <w:tcW w:w="751" w:type="pct"/>
                  <w:vAlign w:val="center"/>
                </w:tcPr>
                <w:p w14:paraId="581CCA45">
                  <w:pPr>
                    <w:adjustRightInd w:val="0"/>
                    <w:snapToGrid w:val="0"/>
                    <w:jc w:val="center"/>
                    <w:rPr>
                      <w:rFonts w:hint="eastAsia" w:eastAsia="宋体"/>
                      <w:szCs w:val="21"/>
                      <w:lang w:val="en-US" w:eastAsia="zh-CN"/>
                    </w:rPr>
                  </w:pPr>
                  <w:r>
                    <w:rPr>
                      <w:rFonts w:hint="eastAsia"/>
                      <w:szCs w:val="21"/>
                      <w:lang w:val="en-US" w:eastAsia="zh-CN"/>
                    </w:rPr>
                    <w:t>60.5</w:t>
                  </w:r>
                </w:p>
              </w:tc>
              <w:tc>
                <w:tcPr>
                  <w:tcW w:w="549" w:type="pct"/>
                  <w:vAlign w:val="center"/>
                </w:tcPr>
                <w:p w14:paraId="3EA43DF5">
                  <w:pPr>
                    <w:adjustRightInd w:val="0"/>
                    <w:snapToGrid w:val="0"/>
                    <w:jc w:val="center"/>
                    <w:rPr>
                      <w:rFonts w:hint="default" w:eastAsia="宋体"/>
                      <w:szCs w:val="21"/>
                      <w:lang w:val="en-US" w:eastAsia="zh-CN"/>
                    </w:rPr>
                  </w:pPr>
                  <w:r>
                    <w:rPr>
                      <w:rFonts w:hint="eastAsia"/>
                      <w:szCs w:val="21"/>
                      <w:lang w:val="en-US" w:eastAsia="zh-CN"/>
                    </w:rPr>
                    <w:t>55.02</w:t>
                  </w:r>
                </w:p>
              </w:tc>
              <w:tc>
                <w:tcPr>
                  <w:tcW w:w="569" w:type="pct"/>
                  <w:vAlign w:val="center"/>
                </w:tcPr>
                <w:p w14:paraId="55FF16BD">
                  <w:pPr>
                    <w:adjustRightInd w:val="0"/>
                    <w:snapToGrid w:val="0"/>
                    <w:jc w:val="center"/>
                    <w:rPr>
                      <w:rFonts w:hint="default" w:eastAsia="宋体"/>
                      <w:szCs w:val="21"/>
                      <w:lang w:val="en-US" w:eastAsia="zh-CN"/>
                    </w:rPr>
                  </w:pPr>
                  <w:r>
                    <w:rPr>
                      <w:rFonts w:hint="eastAsia"/>
                      <w:szCs w:val="21"/>
                      <w:lang w:val="en-US" w:eastAsia="zh-CN"/>
                    </w:rPr>
                    <w:t>48.09</w:t>
                  </w:r>
                </w:p>
              </w:tc>
              <w:tc>
                <w:tcPr>
                  <w:tcW w:w="1085" w:type="pct"/>
                  <w:vAlign w:val="center"/>
                </w:tcPr>
                <w:p w14:paraId="52A12BFB">
                  <w:pPr>
                    <w:adjustRightInd w:val="0"/>
                    <w:snapToGrid w:val="0"/>
                    <w:jc w:val="center"/>
                    <w:rPr>
                      <w:szCs w:val="21"/>
                    </w:rPr>
                  </w:pPr>
                  <w:r>
                    <w:rPr>
                      <w:rFonts w:hint="eastAsia"/>
                      <w:szCs w:val="21"/>
                      <w:lang w:val="en-US" w:eastAsia="zh-CN"/>
                    </w:rPr>
                    <w:t>昼间60；夜间50</w:t>
                  </w:r>
                </w:p>
              </w:tc>
              <w:tc>
                <w:tcPr>
                  <w:tcW w:w="617" w:type="pct"/>
                  <w:vAlign w:val="center"/>
                </w:tcPr>
                <w:p w14:paraId="102DAFCE">
                  <w:pPr>
                    <w:adjustRightInd w:val="0"/>
                    <w:snapToGrid w:val="0"/>
                    <w:jc w:val="center"/>
                    <w:rPr>
                      <w:rFonts w:hint="eastAsia" w:eastAsia="宋体"/>
                      <w:szCs w:val="21"/>
                      <w:lang w:val="en-US" w:eastAsia="zh-CN"/>
                    </w:rPr>
                  </w:pPr>
                  <w:r>
                    <w:rPr>
                      <w:rFonts w:hint="eastAsia"/>
                      <w:szCs w:val="21"/>
                      <w:lang w:val="en-US" w:eastAsia="zh-CN"/>
                    </w:rPr>
                    <w:t>达标</w:t>
                  </w:r>
                </w:p>
              </w:tc>
            </w:tr>
          </w:tbl>
          <w:p w14:paraId="050D9652">
            <w:pPr>
              <w:pStyle w:val="87"/>
              <w:numPr>
                <w:ilvl w:val="0"/>
                <w:numId w:val="0"/>
              </w:numPr>
              <w:jc w:val="center"/>
              <w:rPr>
                <w:rFonts w:hint="eastAsia" w:eastAsia="宋体"/>
                <w:sz w:val="21"/>
                <w:szCs w:val="21"/>
                <w:lang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4476115</wp:posOffset>
                      </wp:positionH>
                      <wp:positionV relativeFrom="paragraph">
                        <wp:posOffset>3303905</wp:posOffset>
                      </wp:positionV>
                      <wp:extent cx="85090" cy="83820"/>
                      <wp:effectExtent l="12700" t="12700" r="24130" b="25400"/>
                      <wp:wrapNone/>
                      <wp:docPr id="25" name="椭圆 25"/>
                      <wp:cNvGraphicFramePr/>
                      <a:graphic xmlns:a="http://schemas.openxmlformats.org/drawingml/2006/main">
                        <a:graphicData uri="http://schemas.microsoft.com/office/word/2010/wordprocessingShape">
                          <wps:wsp>
                            <wps:cNvSpPr/>
                            <wps:spPr>
                              <a:xfrm>
                                <a:off x="5335270" y="4153535"/>
                                <a:ext cx="85090" cy="83820"/>
                              </a:xfrm>
                              <a:prstGeom prst="ellipse">
                                <a:avLst/>
                              </a:prstGeom>
                              <a:solidFill>
                                <a:srgbClr val="D76AD7"/>
                              </a:solidFill>
                              <a:ln>
                                <a:solidFill>
                                  <a:srgbClr val="D76AD7"/>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2.45pt;margin-top:260.15pt;height:6.6pt;width:6.7pt;z-index:251669504;v-text-anchor:middle;mso-width-relative:page;mso-height-relative:page;" fillcolor="#D76AD7" filled="t" stroked="t" coordsize="21600,21600" o:gfxdata="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JYfpD2QAAAAsBAAAPAAAAAAAAAAEAIAAAACIAAABkcnMvZG93bnJl&#10;di54bWxQSwECFAAUAAAACACHTuJA/ItWpW4CAADrBAAADgAAAAAAAAABACAAAAAoAQAAZHJzL2Uy&#10;b0RvYy54bWxQSwUGAAAAAAYABgBZAQAACAYAAAAA&#10;">
                      <v:fill on="t" focussize="0,0"/>
                      <v:stroke weight="2pt" color="#D76AD7 [2404]" joinstyle="round"/>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4416425</wp:posOffset>
                      </wp:positionH>
                      <wp:positionV relativeFrom="paragraph">
                        <wp:posOffset>3493770</wp:posOffset>
                      </wp:positionV>
                      <wp:extent cx="213360" cy="114300"/>
                      <wp:effectExtent l="6350" t="6350" r="8890" b="16510"/>
                      <wp:wrapNone/>
                      <wp:docPr id="26" name="矩形 26"/>
                      <wp:cNvGraphicFramePr/>
                      <a:graphic xmlns:a="http://schemas.openxmlformats.org/drawingml/2006/main">
                        <a:graphicData uri="http://schemas.microsoft.com/office/word/2010/wordprocessingShape">
                          <wps:wsp>
                            <wps:cNvSpPr/>
                            <wps:spPr>
                              <a:xfrm>
                                <a:off x="5365750" y="4328795"/>
                                <a:ext cx="213360" cy="11430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75pt;margin-top:275.1pt;height:9pt;width:16.8pt;z-index:251670528;v-text-anchor:middle;mso-width-relative:page;mso-height-relative:page;" filled="f" stroked="t" coordsize="21600,21600" o:gfxdata="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ozx3jZAAAACwEAAA8AAAAAAAAAAQAgAAAAIgAAAGRycy9kb3ducmV2Lnht&#10;bFBLAQIUABQAAAAIAIdO4kCfr6vwagIAAMEEAAAOAAAAAAAAAAEAIAAAACgBAABkcnMvZTJvRG9j&#10;LnhtbFBLBQYAAAAABgAGAFkBAAAEBgAAAAA=&#10;">
                      <v:fill on="f" focussize="0,0"/>
                      <v:stroke weight="1pt" color="#000000 [3213]" joinstyle="round"/>
                      <v:imagedata o:title=""/>
                      <o:lock v:ext="edit" aspectratio="f"/>
                    </v:rect>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4218940</wp:posOffset>
                      </wp:positionH>
                      <wp:positionV relativeFrom="paragraph">
                        <wp:posOffset>2967990</wp:posOffset>
                      </wp:positionV>
                      <wp:extent cx="1218565" cy="975360"/>
                      <wp:effectExtent l="0" t="0" r="0" b="0"/>
                      <wp:wrapNone/>
                      <wp:docPr id="7" name="文本框 7"/>
                      <wp:cNvGraphicFramePr/>
                      <a:graphic xmlns:a="http://schemas.openxmlformats.org/drawingml/2006/main">
                        <a:graphicData uri="http://schemas.microsoft.com/office/word/2010/wordprocessingShape">
                          <wps:wsp>
                            <wps:cNvSpPr txBox="1"/>
                            <wps:spPr>
                              <a:xfrm>
                                <a:off x="5693410" y="3795395"/>
                                <a:ext cx="1218565" cy="975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A91CF">
                                  <w:pPr>
                                    <w:rPr>
                                      <w:rFonts w:hint="eastAsia"/>
                                      <w:b/>
                                      <w:bCs/>
                                      <w:lang w:val="en-US" w:eastAsia="zh-CN"/>
                                    </w:rPr>
                                  </w:pPr>
                                  <w:r>
                                    <w:rPr>
                                      <w:rFonts w:hint="eastAsia" w:eastAsia="宋体"/>
                                      <w:lang w:eastAsia="zh-CN"/>
                                    </w:rPr>
                                    <w:drawing>
                                      <wp:inline distT="0" distB="0" distL="114300" distR="114300">
                                        <wp:extent cx="381000" cy="190500"/>
                                        <wp:effectExtent l="0" t="0" r="0" b="7620"/>
                                        <wp:docPr id="8" name="图片 8" descr="172913205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9132059406"/>
                                                <pic:cNvPicPr>
                                                  <a:picLocks noChangeAspect="1"/>
                                                </pic:cNvPicPr>
                                              </pic:nvPicPr>
                                              <pic:blipFill>
                                                <a:blip r:embed="rId36"/>
                                                <a:stretch>
                                                  <a:fillRect/>
                                                </a:stretch>
                                              </pic:blipFill>
                                              <pic:spPr>
                                                <a:xfrm>
                                                  <a:off x="0" y="0"/>
                                                  <a:ext cx="381000" cy="190500"/>
                                                </a:xfrm>
                                                <a:prstGeom prst="rect">
                                                  <a:avLst/>
                                                </a:prstGeom>
                                              </pic:spPr>
                                            </pic:pic>
                                          </a:graphicData>
                                        </a:graphic>
                                      </wp:inline>
                                    </w:drawing>
                                  </w:r>
                                  <w:r>
                                    <w:rPr>
                                      <w:rFonts w:hint="eastAsia"/>
                                      <w:lang w:val="en-US" w:eastAsia="zh-CN"/>
                                    </w:rPr>
                                    <w:t xml:space="preserve"> </w:t>
                                  </w:r>
                                  <w:r>
                                    <w:rPr>
                                      <w:rFonts w:hint="eastAsia"/>
                                      <w:b/>
                                      <w:bCs/>
                                      <w:lang w:val="en-US" w:eastAsia="zh-CN"/>
                                    </w:rPr>
                                    <w:t>生产车间</w:t>
                                  </w:r>
                                </w:p>
                                <w:p w14:paraId="44EA94BC">
                                  <w:pPr>
                                    <w:pStyle w:val="5"/>
                                    <w:ind w:left="0" w:leftChars="0" w:firstLine="0" w:firstLineChars="0"/>
                                    <w:rPr>
                                      <w:rFonts w:hint="eastAsia"/>
                                      <w:lang w:val="en-US" w:eastAsia="zh-CN"/>
                                    </w:rPr>
                                  </w:pPr>
                                  <w:r>
                                    <w:rPr>
                                      <w:rFonts w:hint="eastAsia"/>
                                      <w:lang w:val="en-US" w:eastAsia="zh-CN"/>
                                    </w:rPr>
                                    <w:t xml:space="preserve">      点声源</w:t>
                                  </w:r>
                                </w:p>
                                <w:p w14:paraId="70A9CB04">
                                  <w:pPr>
                                    <w:rPr>
                                      <w:rFonts w:hint="default"/>
                                      <w:b/>
                                      <w:bCs/>
                                      <w:lang w:val="en-US" w:eastAsia="zh-CN"/>
                                    </w:rPr>
                                  </w:pPr>
                                  <w:r>
                                    <w:rPr>
                                      <w:rFonts w:hint="eastAsia"/>
                                      <w:lang w:val="en-US" w:eastAsia="zh-CN"/>
                                    </w:rPr>
                                    <w:t xml:space="preserve">       </w:t>
                                  </w:r>
                                  <w:r>
                                    <w:rPr>
                                      <w:rFonts w:hint="eastAsia"/>
                                      <w:b/>
                                      <w:bCs/>
                                      <w:lang w:val="en-US" w:eastAsia="zh-CN"/>
                                    </w:rPr>
                                    <w:t>厂界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2pt;margin-top:233.7pt;height:76.8pt;width:95.95pt;z-index:251668480;mso-width-relative:page;mso-height-relative:page;" filled="f" stroked="f" coordsize="21600,21600" o:gfxdata="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u7l3AAAAAsBAAAPAAAA&#10;AAAAAAEAIAAAACIAAABkcnMvZG93bnJldi54bWxQSwECFAAUAAAACACHTuJAffHVV0oCAAByBAAA&#10;DgAAAAAAAAABACAAAAArAQAAZHJzL2Uyb0RvYy54bWxQSwUGAAAAAAYABgBZAQAA5wUAAAAA&#10;">
                      <v:fill on="f" focussize="0,0"/>
                      <v:stroke on="f" weight="0.5pt"/>
                      <v:imagedata o:title=""/>
                      <o:lock v:ext="edit" aspectratio="f"/>
                      <v:textbox>
                        <w:txbxContent>
                          <w:p w14:paraId="661A91CF">
                            <w:pPr>
                              <w:rPr>
                                <w:rFonts w:hint="eastAsia"/>
                                <w:b/>
                                <w:bCs/>
                                <w:lang w:val="en-US" w:eastAsia="zh-CN"/>
                              </w:rPr>
                            </w:pPr>
                            <w:r>
                              <w:rPr>
                                <w:rFonts w:hint="eastAsia" w:eastAsia="宋体"/>
                                <w:lang w:eastAsia="zh-CN"/>
                              </w:rPr>
                              <w:drawing>
                                <wp:inline distT="0" distB="0" distL="114300" distR="114300">
                                  <wp:extent cx="381000" cy="190500"/>
                                  <wp:effectExtent l="0" t="0" r="0" b="7620"/>
                                  <wp:docPr id="8" name="图片 8" descr="172913205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9132059406"/>
                                          <pic:cNvPicPr>
                                            <a:picLocks noChangeAspect="1"/>
                                          </pic:cNvPicPr>
                                        </pic:nvPicPr>
                                        <pic:blipFill>
                                          <a:blip r:embed="rId36"/>
                                          <a:stretch>
                                            <a:fillRect/>
                                          </a:stretch>
                                        </pic:blipFill>
                                        <pic:spPr>
                                          <a:xfrm>
                                            <a:off x="0" y="0"/>
                                            <a:ext cx="381000" cy="190500"/>
                                          </a:xfrm>
                                          <a:prstGeom prst="rect">
                                            <a:avLst/>
                                          </a:prstGeom>
                                        </pic:spPr>
                                      </pic:pic>
                                    </a:graphicData>
                                  </a:graphic>
                                </wp:inline>
                              </w:drawing>
                            </w:r>
                            <w:r>
                              <w:rPr>
                                <w:rFonts w:hint="eastAsia"/>
                                <w:lang w:val="en-US" w:eastAsia="zh-CN"/>
                              </w:rPr>
                              <w:t xml:space="preserve"> </w:t>
                            </w:r>
                            <w:r>
                              <w:rPr>
                                <w:rFonts w:hint="eastAsia"/>
                                <w:b/>
                                <w:bCs/>
                                <w:lang w:val="en-US" w:eastAsia="zh-CN"/>
                              </w:rPr>
                              <w:t>生产车间</w:t>
                            </w:r>
                          </w:p>
                          <w:p w14:paraId="44EA94BC">
                            <w:pPr>
                              <w:pStyle w:val="5"/>
                              <w:ind w:left="0" w:leftChars="0" w:firstLine="0" w:firstLineChars="0"/>
                              <w:rPr>
                                <w:rFonts w:hint="eastAsia"/>
                                <w:lang w:val="en-US" w:eastAsia="zh-CN"/>
                              </w:rPr>
                            </w:pPr>
                            <w:r>
                              <w:rPr>
                                <w:rFonts w:hint="eastAsia"/>
                                <w:lang w:val="en-US" w:eastAsia="zh-CN"/>
                              </w:rPr>
                              <w:t xml:space="preserve">      点声源</w:t>
                            </w:r>
                          </w:p>
                          <w:p w14:paraId="70A9CB04">
                            <w:pPr>
                              <w:rPr>
                                <w:rFonts w:hint="default"/>
                                <w:b/>
                                <w:bCs/>
                                <w:lang w:val="en-US" w:eastAsia="zh-CN"/>
                              </w:rPr>
                            </w:pPr>
                            <w:r>
                              <w:rPr>
                                <w:rFonts w:hint="eastAsia"/>
                                <w:lang w:val="en-US" w:eastAsia="zh-CN"/>
                              </w:rPr>
                              <w:t xml:space="preserve">       </w:t>
                            </w:r>
                            <w:r>
                              <w:rPr>
                                <w:rFonts w:hint="eastAsia"/>
                                <w:b/>
                                <w:bCs/>
                                <w:lang w:val="en-US" w:eastAsia="zh-CN"/>
                              </w:rPr>
                              <w:t>厂界</w:t>
                            </w:r>
                          </w:p>
                        </w:txbxContent>
                      </v:textbox>
                    </v:shape>
                  </w:pict>
                </mc:Fallback>
              </mc:AlternateContent>
            </w:r>
            <w:r>
              <w:rPr>
                <w:rFonts w:hint="eastAsia" w:eastAsia="宋体"/>
                <w:sz w:val="21"/>
                <w:szCs w:val="21"/>
                <w:lang w:eastAsia="zh-CN"/>
              </w:rPr>
              <w:drawing>
                <wp:inline distT="0" distB="0" distL="114300" distR="114300">
                  <wp:extent cx="5610860" cy="3987165"/>
                  <wp:effectExtent l="0" t="0" r="12700" b="5715"/>
                  <wp:docPr id="27" name="图片 27" descr="172914819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29148191632"/>
                          <pic:cNvPicPr>
                            <a:picLocks noChangeAspect="1"/>
                          </pic:cNvPicPr>
                        </pic:nvPicPr>
                        <pic:blipFill>
                          <a:blip r:embed="rId37"/>
                          <a:stretch>
                            <a:fillRect/>
                          </a:stretch>
                        </pic:blipFill>
                        <pic:spPr>
                          <a:xfrm>
                            <a:off x="0" y="0"/>
                            <a:ext cx="5610860" cy="3987165"/>
                          </a:xfrm>
                          <a:prstGeom prst="rect">
                            <a:avLst/>
                          </a:prstGeom>
                        </pic:spPr>
                      </pic:pic>
                    </a:graphicData>
                  </a:graphic>
                </wp:inline>
              </w:drawing>
            </w:r>
          </w:p>
          <w:p w14:paraId="0BDBC091">
            <w:pPr>
              <w:autoSpaceDE w:val="0"/>
              <w:autoSpaceDN w:val="0"/>
              <w:adjustRightInd w:val="0"/>
              <w:snapToGrid w:val="0"/>
              <w:spacing w:line="360" w:lineRule="auto"/>
              <w:jc w:val="center"/>
              <w:rPr>
                <w:rFonts w:hint="eastAsia"/>
                <w:b/>
                <w:bCs/>
                <w:sz w:val="21"/>
                <w:szCs w:val="21"/>
                <w:highlight w:val="yellow"/>
              </w:rPr>
            </w:pPr>
            <w:r>
              <w:rPr>
                <w:rFonts w:hint="eastAsia" w:cs="Times New Roman"/>
                <w:b/>
                <w:bCs/>
                <w:color w:val="auto"/>
                <w:kern w:val="2"/>
                <w:sz w:val="21"/>
                <w:szCs w:val="21"/>
                <w:lang w:val="en-US" w:eastAsia="zh-CN" w:bidi="ar-SA"/>
              </w:rPr>
              <w:t xml:space="preserve">图4-1 </w:t>
            </w:r>
            <w:r>
              <w:rPr>
                <w:rFonts w:hint="default" w:ascii="Times New Roman" w:hAnsi="Times New Roman" w:eastAsia="宋体" w:cs="Times New Roman"/>
                <w:b/>
                <w:bCs/>
                <w:color w:val="auto"/>
                <w:kern w:val="2"/>
                <w:sz w:val="21"/>
                <w:szCs w:val="21"/>
                <w:lang w:val="en-US" w:eastAsia="zh-CN" w:bidi="ar-SA"/>
              </w:rPr>
              <w:t>厂界噪声贡献值预测图</w:t>
            </w:r>
          </w:p>
          <w:p w14:paraId="3567BD94">
            <w:pPr>
              <w:pStyle w:val="87"/>
              <w:numPr>
                <w:ilvl w:val="0"/>
                <w:numId w:val="0"/>
              </w:numPr>
              <w:ind w:left="527"/>
              <w:rPr>
                <w:sz w:val="21"/>
                <w:szCs w:val="21"/>
              </w:rPr>
            </w:pPr>
            <w:r>
              <w:rPr>
                <w:rFonts w:hint="eastAsia"/>
                <w:sz w:val="21"/>
                <w:szCs w:val="21"/>
                <w:lang w:eastAsia="zh-CN"/>
              </w:rPr>
              <w:t>（</w:t>
            </w:r>
            <w:r>
              <w:rPr>
                <w:rFonts w:hint="eastAsia"/>
                <w:sz w:val="21"/>
                <w:szCs w:val="21"/>
                <w:lang w:val="en-US" w:eastAsia="zh-CN"/>
              </w:rPr>
              <w:t>5</w:t>
            </w:r>
            <w:r>
              <w:rPr>
                <w:rFonts w:hint="eastAsia"/>
                <w:sz w:val="21"/>
                <w:szCs w:val="21"/>
                <w:lang w:eastAsia="zh-CN"/>
              </w:rPr>
              <w:t>）</w:t>
            </w:r>
            <w:r>
              <w:rPr>
                <w:sz w:val="21"/>
                <w:szCs w:val="21"/>
              </w:rPr>
              <w:t>噪声影响达标结论</w:t>
            </w:r>
          </w:p>
          <w:p w14:paraId="30C1460C">
            <w:pPr>
              <w:adjustRightInd w:val="0"/>
              <w:snapToGrid w:val="0"/>
              <w:spacing w:line="420" w:lineRule="auto"/>
              <w:ind w:firstLine="420" w:firstLineChars="200"/>
              <w:rPr>
                <w:rFonts w:hint="eastAsia" w:ascii="Times New Roman" w:hAnsi="Times New Roman" w:eastAsia="宋体" w:cs="Times New Roman"/>
                <w:color w:val="auto"/>
                <w:sz w:val="24"/>
                <w:lang w:val="en-US" w:eastAsia="zh-CN"/>
              </w:rPr>
            </w:pPr>
            <w:r>
              <w:t>通过上表预测结果可知，本项目各噪声源在采取相应的噪声污染治理措施后，厂界噪声能够满足《工业企业厂界环境噪声排放标准》（GB12348-2008）</w:t>
            </w:r>
            <w:r>
              <w:rPr>
                <w:rFonts w:hint="eastAsia"/>
                <w:lang w:val="en-US" w:eastAsia="zh-CN"/>
              </w:rPr>
              <w:t>3</w:t>
            </w:r>
            <w:r>
              <w:t>类标准昼间</w:t>
            </w:r>
            <w:r>
              <w:rPr>
                <w:rFonts w:hint="eastAsia"/>
                <w:lang w:eastAsia="zh-CN"/>
              </w:rPr>
              <w:t>、</w:t>
            </w:r>
            <w:r>
              <w:rPr>
                <w:rFonts w:hint="eastAsia"/>
                <w:lang w:val="en-US" w:eastAsia="zh-CN"/>
              </w:rPr>
              <w:t>夜间</w:t>
            </w:r>
            <w:r>
              <w:t>标准值的要求：昼间6</w:t>
            </w:r>
            <w:r>
              <w:rPr>
                <w:rFonts w:hint="eastAsia"/>
              </w:rPr>
              <w:t>0</w:t>
            </w:r>
            <w:r>
              <w:t>dB（A）。项目</w:t>
            </w:r>
            <w:r>
              <w:rPr>
                <w:rFonts w:hint="eastAsia"/>
                <w:lang w:val="en-US" w:eastAsia="zh-CN"/>
              </w:rPr>
              <w:t>评价范围</w:t>
            </w:r>
            <w:r>
              <w:t>50米内无环境敏感目标，不会对周围环境产生超标影响。</w:t>
            </w:r>
            <w:r>
              <w:rPr>
                <w:rFonts w:hint="eastAsia"/>
                <w:lang w:val="en-US" w:eastAsia="zh-CN"/>
              </w:rPr>
              <w:t>项目56m处西华安置小区预测值满足《声环境质量标准》（</w:t>
            </w:r>
            <w:r>
              <w:rPr>
                <w:rFonts w:hint="default" w:ascii="Times New Roman" w:hAnsi="Times New Roman" w:eastAsia="宋体" w:cs="Times New Roman"/>
                <w:i w:val="0"/>
                <w:iCs w:val="0"/>
                <w:caps w:val="0"/>
                <w:color w:val="333333"/>
                <w:spacing w:val="0"/>
                <w:sz w:val="21"/>
                <w:szCs w:val="21"/>
                <w:shd w:val="clear" w:fill="FFFFFF"/>
              </w:rPr>
              <w:t>GB 3096-2008</w:t>
            </w:r>
            <w:r>
              <w:rPr>
                <w:rFonts w:hint="eastAsia"/>
                <w:lang w:val="en-US" w:eastAsia="zh-CN"/>
              </w:rPr>
              <w:t>）2类</w:t>
            </w:r>
            <w:r>
              <w:t>昼间</w:t>
            </w:r>
            <w:r>
              <w:rPr>
                <w:rFonts w:hint="eastAsia"/>
                <w:lang w:eastAsia="zh-CN"/>
              </w:rPr>
              <w:t>、</w:t>
            </w:r>
            <w:r>
              <w:rPr>
                <w:rFonts w:hint="eastAsia"/>
                <w:lang w:val="en-US" w:eastAsia="zh-CN"/>
              </w:rPr>
              <w:t>夜间</w:t>
            </w:r>
            <w:r>
              <w:t>标准值的要求</w:t>
            </w:r>
            <w:r>
              <w:rPr>
                <w:rFonts w:hint="eastAsia"/>
                <w:lang w:eastAsia="zh-CN"/>
              </w:rPr>
              <w:t>。</w:t>
            </w:r>
          </w:p>
          <w:p w14:paraId="6DA5B9C0">
            <w:pPr>
              <w:spacing w:line="360" w:lineRule="auto"/>
              <w:rPr>
                <w:b/>
                <w:bCs/>
                <w:color w:val="auto"/>
                <w:sz w:val="21"/>
                <w:szCs w:val="21"/>
              </w:rPr>
            </w:pPr>
            <w:r>
              <w:rPr>
                <w:rFonts w:hint="eastAsia"/>
                <w:b/>
                <w:bCs/>
                <w:color w:val="auto"/>
                <w:sz w:val="21"/>
                <w:szCs w:val="21"/>
                <w:lang w:val="en-US" w:eastAsia="zh-CN"/>
              </w:rPr>
              <w:t>四</w:t>
            </w:r>
            <w:r>
              <w:rPr>
                <w:b/>
                <w:bCs/>
                <w:color w:val="auto"/>
                <w:sz w:val="21"/>
                <w:szCs w:val="21"/>
              </w:rPr>
              <w:t>、固体废弃物</w:t>
            </w:r>
          </w:p>
          <w:p w14:paraId="6844412F">
            <w:pPr>
              <w:pStyle w:val="69"/>
              <w:spacing w:line="360" w:lineRule="auto"/>
              <w:ind w:firstLine="48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（1）产生环节</w:t>
            </w:r>
          </w:p>
          <w:p w14:paraId="126BD450">
            <w:pPr>
              <w:spacing w:line="360" w:lineRule="auto"/>
              <w:ind w:firstLine="420" w:firstLineChars="200"/>
              <w:rPr>
                <w:color w:val="auto"/>
                <w:sz w:val="21"/>
                <w:szCs w:val="21"/>
              </w:rPr>
            </w:pPr>
            <w:r>
              <w:rPr>
                <w:color w:val="auto"/>
                <w:sz w:val="21"/>
                <w:szCs w:val="21"/>
              </w:rPr>
              <w:t>运营期间本项目产生的固废主要为：生活垃圾</w:t>
            </w:r>
            <w:r>
              <w:rPr>
                <w:rFonts w:hint="eastAsia"/>
                <w:color w:val="auto"/>
                <w:sz w:val="21"/>
                <w:szCs w:val="21"/>
              </w:rPr>
              <w:t>、</w:t>
            </w:r>
            <w:r>
              <w:rPr>
                <w:rFonts w:hint="eastAsia"/>
                <w:color w:val="auto"/>
                <w:sz w:val="21"/>
                <w:szCs w:val="21"/>
                <w:lang w:val="en-US" w:eastAsia="zh-CN"/>
              </w:rPr>
              <w:t>布袋除尘器粉尘、边角料及不良品、</w:t>
            </w:r>
            <w:r>
              <w:rPr>
                <w:color w:val="auto"/>
                <w:sz w:val="21"/>
                <w:szCs w:val="21"/>
              </w:rPr>
              <w:t>废包装材料，废</w:t>
            </w:r>
            <w:r>
              <w:rPr>
                <w:rFonts w:hint="eastAsia"/>
                <w:color w:val="auto"/>
                <w:sz w:val="21"/>
                <w:szCs w:val="21"/>
                <w:lang w:val="en-US" w:eastAsia="zh-CN"/>
              </w:rPr>
              <w:t>机</w:t>
            </w:r>
            <w:r>
              <w:rPr>
                <w:color w:val="auto"/>
                <w:sz w:val="21"/>
                <w:szCs w:val="21"/>
              </w:rPr>
              <w:t>油及废油桶、废含</w:t>
            </w:r>
            <w:r>
              <w:rPr>
                <w:rFonts w:hint="eastAsia"/>
                <w:color w:val="auto"/>
                <w:sz w:val="21"/>
                <w:szCs w:val="21"/>
                <w:lang w:val="en-US" w:eastAsia="zh-CN"/>
              </w:rPr>
              <w:t>油</w:t>
            </w:r>
            <w:r>
              <w:rPr>
                <w:color w:val="auto"/>
                <w:sz w:val="21"/>
                <w:szCs w:val="21"/>
              </w:rPr>
              <w:t>手套及抹布、</w:t>
            </w:r>
            <w:r>
              <w:rPr>
                <w:rFonts w:hint="eastAsia"/>
                <w:color w:val="auto"/>
                <w:sz w:val="21"/>
                <w:szCs w:val="21"/>
                <w:lang w:eastAsia="zh-CN"/>
              </w:rPr>
              <w:t>废过滤棉、</w:t>
            </w:r>
            <w:r>
              <w:rPr>
                <w:color w:val="auto"/>
                <w:sz w:val="21"/>
                <w:szCs w:val="21"/>
              </w:rPr>
              <w:t>废活性炭</w:t>
            </w:r>
            <w:r>
              <w:rPr>
                <w:rFonts w:hint="eastAsia"/>
                <w:color w:val="auto"/>
                <w:sz w:val="21"/>
                <w:szCs w:val="21"/>
                <w:lang w:eastAsia="zh-CN"/>
              </w:rPr>
              <w:t>、</w:t>
            </w:r>
            <w:r>
              <w:rPr>
                <w:rFonts w:hint="eastAsia"/>
                <w:color w:val="auto"/>
                <w:sz w:val="21"/>
                <w:szCs w:val="21"/>
                <w:lang w:val="en-US" w:eastAsia="zh-CN"/>
              </w:rPr>
              <w:t>废漆桶、废漆渣、喷漆废水</w:t>
            </w:r>
            <w:r>
              <w:rPr>
                <w:color w:val="auto"/>
                <w:sz w:val="21"/>
                <w:szCs w:val="21"/>
              </w:rPr>
              <w:t>。</w:t>
            </w:r>
          </w:p>
          <w:p w14:paraId="1F9C2241">
            <w:pPr>
              <w:spacing w:line="360" w:lineRule="auto"/>
              <w:ind w:firstLine="420" w:firstLineChars="200"/>
              <w:rPr>
                <w:color w:val="auto"/>
                <w:sz w:val="21"/>
                <w:szCs w:val="21"/>
              </w:rPr>
            </w:pPr>
            <w:r>
              <w:rPr>
                <w:color w:val="auto"/>
                <w:sz w:val="21"/>
                <w:szCs w:val="21"/>
              </w:rPr>
              <w:t>①生活垃圾</w:t>
            </w:r>
          </w:p>
          <w:p w14:paraId="0DE9ED79">
            <w:pPr>
              <w:spacing w:line="360" w:lineRule="auto"/>
              <w:ind w:firstLine="420" w:firstLineChars="200"/>
              <w:rPr>
                <w:color w:val="auto"/>
                <w:sz w:val="21"/>
                <w:szCs w:val="21"/>
              </w:rPr>
            </w:pPr>
            <w:r>
              <w:rPr>
                <w:color w:val="auto"/>
                <w:sz w:val="21"/>
                <w:szCs w:val="21"/>
              </w:rPr>
              <w:t>本项目职工定员</w:t>
            </w:r>
            <w:r>
              <w:rPr>
                <w:rFonts w:hint="eastAsia"/>
                <w:color w:val="auto"/>
                <w:sz w:val="21"/>
                <w:szCs w:val="21"/>
                <w:lang w:val="en-US" w:eastAsia="zh-CN"/>
              </w:rPr>
              <w:t>40</w:t>
            </w:r>
            <w:r>
              <w:rPr>
                <w:color w:val="auto"/>
                <w:sz w:val="21"/>
                <w:szCs w:val="21"/>
              </w:rPr>
              <w:t>人，办公生活垃圾按0.4kg/人•d计算，则每天的生活垃圾产生量约为</w:t>
            </w:r>
            <w:r>
              <w:rPr>
                <w:rFonts w:hint="eastAsia"/>
                <w:color w:val="auto"/>
                <w:sz w:val="21"/>
                <w:szCs w:val="21"/>
                <w:lang w:val="en-US" w:eastAsia="zh-CN"/>
              </w:rPr>
              <w:t>16</w:t>
            </w:r>
            <w:r>
              <w:rPr>
                <w:color w:val="auto"/>
                <w:sz w:val="21"/>
                <w:szCs w:val="21"/>
              </w:rPr>
              <w:t>kg，每年的产生量约</w:t>
            </w:r>
            <w:r>
              <w:rPr>
                <w:rFonts w:hint="eastAsia"/>
                <w:color w:val="auto"/>
                <w:sz w:val="21"/>
                <w:szCs w:val="21"/>
                <w:lang w:val="en-US" w:eastAsia="zh-CN"/>
              </w:rPr>
              <w:t>4.8</w:t>
            </w:r>
            <w:r>
              <w:rPr>
                <w:color w:val="auto"/>
                <w:sz w:val="21"/>
                <w:szCs w:val="21"/>
              </w:rPr>
              <w:t>t。统一收集后定期送至垃圾收集点，由蓬溪</w:t>
            </w:r>
            <w:r>
              <w:rPr>
                <w:rFonts w:ascii="Times New Roman" w:hAnsi="Times New Roman" w:eastAsia="宋体" w:cs="Times New Roman"/>
                <w:color w:val="auto"/>
                <w:sz w:val="21"/>
                <w:szCs w:val="21"/>
              </w:rPr>
              <w:t>县环卫部门统一清运。</w:t>
            </w:r>
          </w:p>
          <w:p w14:paraId="6E525BC8">
            <w:pPr>
              <w:spacing w:line="360" w:lineRule="auto"/>
              <w:ind w:firstLine="420" w:firstLineChars="200"/>
              <w:rPr>
                <w:color w:val="auto"/>
                <w:sz w:val="21"/>
                <w:szCs w:val="21"/>
              </w:rPr>
            </w:pPr>
            <w:r>
              <w:rPr>
                <w:color w:val="auto"/>
                <w:sz w:val="21"/>
                <w:szCs w:val="21"/>
              </w:rPr>
              <w:t>②</w:t>
            </w:r>
            <w:r>
              <w:rPr>
                <w:rFonts w:hint="eastAsia"/>
                <w:color w:val="auto"/>
                <w:sz w:val="21"/>
                <w:szCs w:val="21"/>
                <w:lang w:val="en-US" w:eastAsia="zh-CN"/>
              </w:rPr>
              <w:t>除尘器粉尘</w:t>
            </w:r>
          </w:p>
          <w:p w14:paraId="417E648F">
            <w:pPr>
              <w:spacing w:line="360" w:lineRule="auto"/>
              <w:ind w:firstLine="420" w:firstLineChars="200"/>
              <w:rPr>
                <w:color w:val="auto"/>
                <w:sz w:val="21"/>
                <w:szCs w:val="21"/>
              </w:rPr>
            </w:pPr>
            <w:r>
              <w:rPr>
                <w:color w:val="auto"/>
                <w:sz w:val="21"/>
                <w:szCs w:val="21"/>
              </w:rPr>
              <w:t>本项目</w:t>
            </w:r>
            <w:r>
              <w:rPr>
                <w:rFonts w:hint="eastAsia"/>
                <w:color w:val="auto"/>
                <w:sz w:val="21"/>
                <w:szCs w:val="21"/>
                <w:lang w:val="en-US" w:eastAsia="zh-CN"/>
              </w:rPr>
              <w:t>破碎工序设置布袋除尘器一套，根据前文核算，布袋除尘器粉尘收集量约0.0956kg/a，该粉尘作为原料回用于产品</w:t>
            </w:r>
            <w:r>
              <w:rPr>
                <w:color w:val="auto"/>
                <w:sz w:val="21"/>
                <w:szCs w:val="21"/>
              </w:rPr>
              <w:t>。</w:t>
            </w:r>
          </w:p>
          <w:p w14:paraId="4888A38D">
            <w:pPr>
              <w:spacing w:line="360" w:lineRule="auto"/>
              <w:ind w:firstLine="420" w:firstLineChars="200"/>
              <w:rPr>
                <w:rFonts w:hint="eastAsia"/>
                <w:color w:val="auto"/>
                <w:sz w:val="21"/>
                <w:szCs w:val="21"/>
                <w:lang w:val="en-US" w:eastAsia="zh-CN"/>
              </w:rPr>
            </w:pPr>
            <w:r>
              <w:rPr>
                <w:color w:val="auto"/>
                <w:sz w:val="21"/>
                <w:szCs w:val="21"/>
              </w:rPr>
              <w:t>③</w:t>
            </w:r>
            <w:r>
              <w:rPr>
                <w:rFonts w:hint="eastAsia"/>
                <w:color w:val="auto"/>
                <w:sz w:val="21"/>
                <w:szCs w:val="21"/>
                <w:lang w:val="en-US" w:eastAsia="zh-CN"/>
              </w:rPr>
              <w:t>边角料及不良品</w:t>
            </w:r>
          </w:p>
          <w:p w14:paraId="6B6D4F7A">
            <w:pPr>
              <w:spacing w:line="360" w:lineRule="auto"/>
              <w:ind w:firstLine="420" w:firstLineChars="200"/>
              <w:rPr>
                <w:rFonts w:hint="default"/>
                <w:color w:val="auto"/>
                <w:sz w:val="21"/>
                <w:szCs w:val="21"/>
                <w:lang w:val="en-US" w:eastAsia="zh-CN"/>
              </w:rPr>
            </w:pPr>
            <w:r>
              <w:rPr>
                <w:rFonts w:hint="eastAsia"/>
                <w:color w:val="auto"/>
                <w:sz w:val="21"/>
                <w:szCs w:val="21"/>
                <w:lang w:val="en-US" w:eastAsia="zh-CN"/>
              </w:rPr>
              <w:t>根据建设单位提供的数据，项目边角料及不良品产量约为产品产量的1%，因此边角料及不良品产量约0.25t/a。边角料及不良品破碎后作为原料回用。</w:t>
            </w:r>
          </w:p>
          <w:p w14:paraId="57B3D978">
            <w:pPr>
              <w:spacing w:line="360" w:lineRule="auto"/>
              <w:ind w:firstLine="420" w:firstLineChars="20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④</w:t>
            </w:r>
            <w:r>
              <w:rPr>
                <w:rFonts w:hint="eastAsia" w:ascii="Times New Roman" w:hAnsi="Times New Roman" w:eastAsia="宋体" w:cs="Times New Roman"/>
                <w:color w:val="auto"/>
                <w:sz w:val="21"/>
                <w:szCs w:val="21"/>
                <w:lang w:eastAsia="zh-CN"/>
              </w:rPr>
              <w:t>废包装材料</w:t>
            </w:r>
          </w:p>
          <w:p w14:paraId="75E3105F">
            <w:pPr>
              <w:spacing w:line="360" w:lineRule="auto"/>
              <w:ind w:firstLine="420" w:firstLineChars="20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根据建设单位提供的数据，废包装材料产生量约0.2t/a。废包装材料统一收集后出售给资源回收部门。</w:t>
            </w:r>
          </w:p>
          <w:p w14:paraId="385353E9">
            <w:pPr>
              <w:pStyle w:val="43"/>
              <w:spacing w:line="36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⑤</w:t>
            </w:r>
            <w:r>
              <w:rPr>
                <w:rFonts w:ascii="Times New Roman" w:hAnsi="Times New Roman" w:cs="Times New Roman"/>
                <w:color w:val="auto"/>
                <w:sz w:val="21"/>
                <w:szCs w:val="21"/>
              </w:rPr>
              <w:t>废油及废油桶、废含油手套及抹布</w:t>
            </w:r>
          </w:p>
          <w:p w14:paraId="6B190DBA">
            <w:pPr>
              <w:spacing w:line="360" w:lineRule="auto"/>
              <w:ind w:firstLine="420" w:firstLineChars="200"/>
              <w:rPr>
                <w:color w:val="auto"/>
                <w:sz w:val="21"/>
                <w:szCs w:val="21"/>
              </w:rPr>
            </w:pPr>
            <w:r>
              <w:rPr>
                <w:rFonts w:hint="eastAsia" w:ascii="Times New Roman" w:hAnsi="Times New Roman" w:cs="Times New Roman"/>
                <w:sz w:val="21"/>
                <w:szCs w:val="21"/>
                <w:lang w:val="en-US" w:eastAsia="zh-CN"/>
              </w:rPr>
              <w:t>本项目</w:t>
            </w:r>
            <w:r>
              <w:rPr>
                <w:rFonts w:hint="default" w:ascii="Times New Roman" w:hAnsi="Times New Roman" w:cs="Times New Roman"/>
                <w:sz w:val="21"/>
                <w:szCs w:val="21"/>
              </w:rPr>
              <w:t>生产车间对设备的维护、保养过程中</w:t>
            </w:r>
            <w:r>
              <w:rPr>
                <w:rFonts w:hint="eastAsia" w:ascii="Times New Roman" w:hAnsi="Times New Roman" w:cs="Times New Roman"/>
                <w:sz w:val="21"/>
                <w:szCs w:val="21"/>
                <w:lang w:val="en-US" w:eastAsia="zh-CN"/>
              </w:rPr>
              <w:t>会产生一定量的废机油</w:t>
            </w:r>
            <w:r>
              <w:rPr>
                <w:color w:val="auto"/>
                <w:sz w:val="21"/>
                <w:szCs w:val="21"/>
              </w:rPr>
              <w:t>，废油产生量约0.</w:t>
            </w:r>
            <w:r>
              <w:rPr>
                <w:rFonts w:hint="eastAsia"/>
                <w:color w:val="auto"/>
                <w:sz w:val="21"/>
                <w:szCs w:val="21"/>
                <w:lang w:val="en-US" w:eastAsia="zh-CN"/>
              </w:rPr>
              <w:t>01</w:t>
            </w:r>
            <w:r>
              <w:rPr>
                <w:color w:val="auto"/>
                <w:sz w:val="21"/>
                <w:szCs w:val="21"/>
              </w:rPr>
              <w:t>t，废油属于HW08类危险废物</w:t>
            </w:r>
            <w:r>
              <w:rPr>
                <w:rFonts w:hint="eastAsia"/>
                <w:color w:val="auto"/>
                <w:sz w:val="21"/>
                <w:szCs w:val="21"/>
                <w:lang w:eastAsia="zh-CN"/>
              </w:rPr>
              <w:t>（</w:t>
            </w:r>
            <w:r>
              <w:rPr>
                <w:color w:val="auto"/>
                <w:sz w:val="21"/>
                <w:szCs w:val="21"/>
              </w:rPr>
              <w:t>HW08 900-21</w:t>
            </w:r>
            <w:r>
              <w:rPr>
                <w:rFonts w:hint="eastAsia"/>
                <w:color w:val="auto"/>
                <w:sz w:val="21"/>
                <w:szCs w:val="21"/>
                <w:lang w:val="en-US" w:eastAsia="zh-CN"/>
              </w:rPr>
              <w:t>4</w:t>
            </w:r>
            <w:r>
              <w:rPr>
                <w:color w:val="auto"/>
                <w:sz w:val="21"/>
                <w:szCs w:val="21"/>
              </w:rPr>
              <w:t>-08)，应按照危废交由相应的资质单位处置，存储</w:t>
            </w:r>
            <w:r>
              <w:rPr>
                <w:rFonts w:hint="eastAsia"/>
                <w:color w:val="auto"/>
                <w:sz w:val="21"/>
                <w:szCs w:val="21"/>
                <w:lang w:val="en-US" w:eastAsia="zh-CN"/>
              </w:rPr>
              <w:t>机</w:t>
            </w:r>
            <w:r>
              <w:rPr>
                <w:color w:val="auto"/>
                <w:sz w:val="21"/>
                <w:szCs w:val="21"/>
              </w:rPr>
              <w:t>油的废弃油桶属于HW08类危险废物，废弃油桶</w:t>
            </w:r>
            <w:r>
              <w:rPr>
                <w:rFonts w:hint="eastAsia"/>
                <w:color w:val="auto"/>
                <w:sz w:val="21"/>
                <w:szCs w:val="21"/>
              </w:rPr>
              <w:t>（</w:t>
            </w:r>
            <w:r>
              <w:rPr>
                <w:color w:val="auto"/>
                <w:sz w:val="21"/>
                <w:szCs w:val="21"/>
              </w:rPr>
              <w:t>HW08 900-2</w:t>
            </w:r>
            <w:r>
              <w:rPr>
                <w:rFonts w:hint="eastAsia"/>
                <w:color w:val="auto"/>
                <w:sz w:val="21"/>
                <w:szCs w:val="21"/>
                <w:lang w:val="en-US" w:eastAsia="zh-CN"/>
              </w:rPr>
              <w:t>49</w:t>
            </w:r>
            <w:r>
              <w:rPr>
                <w:color w:val="auto"/>
                <w:sz w:val="21"/>
                <w:szCs w:val="21"/>
              </w:rPr>
              <w:t>-08</w:t>
            </w:r>
            <w:r>
              <w:rPr>
                <w:rFonts w:hint="eastAsia"/>
                <w:color w:val="auto"/>
                <w:sz w:val="21"/>
                <w:szCs w:val="21"/>
              </w:rPr>
              <w:t>）</w:t>
            </w:r>
            <w:r>
              <w:rPr>
                <w:color w:val="auto"/>
                <w:sz w:val="21"/>
                <w:szCs w:val="21"/>
              </w:rPr>
              <w:t>约0.0</w:t>
            </w:r>
            <w:r>
              <w:rPr>
                <w:rFonts w:hint="eastAsia"/>
                <w:color w:val="auto"/>
                <w:sz w:val="21"/>
                <w:szCs w:val="21"/>
                <w:lang w:val="en-US" w:eastAsia="zh-CN"/>
              </w:rPr>
              <w:t>5</w:t>
            </w:r>
            <w:r>
              <w:rPr>
                <w:color w:val="auto"/>
                <w:sz w:val="21"/>
                <w:szCs w:val="21"/>
              </w:rPr>
              <w:t>t/a，维护机械设备产生的废含油手套</w:t>
            </w:r>
            <w:r>
              <w:rPr>
                <w:rFonts w:hint="eastAsia"/>
                <w:color w:val="auto"/>
                <w:sz w:val="21"/>
                <w:szCs w:val="21"/>
              </w:rPr>
              <w:t>（</w:t>
            </w:r>
            <w:r>
              <w:rPr>
                <w:color w:val="auto"/>
                <w:sz w:val="21"/>
                <w:szCs w:val="21"/>
              </w:rPr>
              <w:t>HW49 900-041-49</w:t>
            </w:r>
            <w:r>
              <w:rPr>
                <w:rFonts w:hint="eastAsia"/>
                <w:color w:val="auto"/>
                <w:sz w:val="21"/>
                <w:szCs w:val="21"/>
              </w:rPr>
              <w:t>）</w:t>
            </w:r>
            <w:r>
              <w:rPr>
                <w:color w:val="auto"/>
                <w:sz w:val="21"/>
                <w:szCs w:val="21"/>
              </w:rPr>
              <w:t>约0.01t/a收集后交由相应的资质单位处置。</w:t>
            </w:r>
          </w:p>
          <w:p w14:paraId="16E374C6">
            <w:pPr>
              <w:spacing w:line="360" w:lineRule="auto"/>
              <w:ind w:firstLine="420" w:firstLineChars="200"/>
              <w:rPr>
                <w:rFonts w:hint="eastAsia" w:eastAsia="宋体"/>
                <w:color w:val="auto"/>
                <w:sz w:val="21"/>
                <w:szCs w:val="21"/>
                <w:lang w:eastAsia="zh-CN"/>
              </w:rPr>
            </w:pPr>
            <w:r>
              <w:rPr>
                <w:rFonts w:hint="eastAsia" w:ascii="Times New Roman" w:hAnsi="Times New Roman" w:cs="Times New Roman"/>
                <w:color w:val="auto"/>
                <w:sz w:val="21"/>
                <w:szCs w:val="21"/>
                <w:lang w:val="en-US" w:eastAsia="zh-CN"/>
              </w:rPr>
              <w:t>⑥</w:t>
            </w:r>
            <w:r>
              <w:rPr>
                <w:rFonts w:hint="eastAsia"/>
                <w:color w:val="auto"/>
                <w:sz w:val="21"/>
                <w:szCs w:val="21"/>
                <w:lang w:eastAsia="zh-CN"/>
              </w:rPr>
              <w:t>废过滤棉</w:t>
            </w:r>
          </w:p>
          <w:p w14:paraId="0F954916">
            <w:pPr>
              <w:spacing w:line="360" w:lineRule="auto"/>
              <w:ind w:firstLine="420" w:firstLineChars="200"/>
              <w:rPr>
                <w:color w:val="auto"/>
                <w:sz w:val="21"/>
                <w:szCs w:val="21"/>
              </w:rPr>
            </w:pPr>
            <w:r>
              <w:rPr>
                <w:rFonts w:hint="eastAsia"/>
                <w:color w:val="auto"/>
                <w:sz w:val="21"/>
                <w:szCs w:val="21"/>
                <w:lang w:eastAsia="zh-CN"/>
              </w:rPr>
              <w:t>本项目</w:t>
            </w:r>
            <w:r>
              <w:rPr>
                <w:rFonts w:hint="eastAsia"/>
                <w:color w:val="auto"/>
                <w:sz w:val="21"/>
                <w:szCs w:val="21"/>
                <w:lang w:val="en-US" w:eastAsia="zh-CN"/>
              </w:rPr>
              <w:t>挤出压片废气含有一定的颗粒物，项目采用过滤棉过滤</w:t>
            </w:r>
            <w:r>
              <w:rPr>
                <w:rFonts w:hint="eastAsia"/>
                <w:color w:val="auto"/>
                <w:sz w:val="21"/>
                <w:szCs w:val="21"/>
                <w:lang w:eastAsia="zh-CN"/>
              </w:rPr>
              <w:t>，</w:t>
            </w:r>
            <w:r>
              <w:rPr>
                <w:rFonts w:hint="eastAsia"/>
                <w:color w:val="auto"/>
                <w:sz w:val="21"/>
                <w:szCs w:val="21"/>
                <w:lang w:val="en-US" w:eastAsia="zh-CN"/>
              </w:rPr>
              <w:t>根据估算废过滤棉产生量约0.06t/a。</w:t>
            </w:r>
            <w:r>
              <w:rPr>
                <w:rFonts w:hint="eastAsia"/>
                <w:color w:val="auto"/>
                <w:sz w:val="21"/>
                <w:szCs w:val="21"/>
                <w:lang w:eastAsia="zh-CN"/>
              </w:rPr>
              <w:t>废过滤棉</w:t>
            </w:r>
            <w:r>
              <w:rPr>
                <w:rFonts w:hint="eastAsia"/>
                <w:color w:val="auto"/>
                <w:sz w:val="21"/>
                <w:szCs w:val="21"/>
              </w:rPr>
              <w:t>（</w:t>
            </w:r>
            <w:r>
              <w:rPr>
                <w:color w:val="auto"/>
                <w:kern w:val="0"/>
                <w:sz w:val="21"/>
                <w:szCs w:val="21"/>
                <w:lang w:bidi="ar"/>
              </w:rPr>
              <w:t>HW49 900-0</w:t>
            </w:r>
            <w:r>
              <w:rPr>
                <w:rFonts w:hint="eastAsia"/>
                <w:color w:val="auto"/>
                <w:kern w:val="0"/>
                <w:sz w:val="21"/>
                <w:szCs w:val="21"/>
                <w:lang w:bidi="ar"/>
              </w:rPr>
              <w:t>41</w:t>
            </w:r>
            <w:r>
              <w:rPr>
                <w:color w:val="auto"/>
                <w:kern w:val="0"/>
                <w:sz w:val="21"/>
                <w:szCs w:val="21"/>
                <w:lang w:bidi="ar"/>
              </w:rPr>
              <w:t>-49</w:t>
            </w:r>
            <w:r>
              <w:rPr>
                <w:rFonts w:hint="eastAsia"/>
                <w:color w:val="auto"/>
                <w:sz w:val="21"/>
                <w:szCs w:val="21"/>
              </w:rPr>
              <w:t>）</w:t>
            </w:r>
            <w:r>
              <w:rPr>
                <w:color w:val="auto"/>
                <w:sz w:val="21"/>
                <w:szCs w:val="21"/>
              </w:rPr>
              <w:t>统一收集后出售</w:t>
            </w:r>
            <w:r>
              <w:rPr>
                <w:rFonts w:hint="eastAsia"/>
                <w:color w:val="auto"/>
                <w:sz w:val="21"/>
                <w:szCs w:val="21"/>
              </w:rPr>
              <w:t>交由资质单位处置</w:t>
            </w:r>
            <w:r>
              <w:rPr>
                <w:color w:val="auto"/>
                <w:sz w:val="21"/>
                <w:szCs w:val="21"/>
              </w:rPr>
              <w:t>。</w:t>
            </w:r>
          </w:p>
          <w:p w14:paraId="60778A2A">
            <w:pPr>
              <w:spacing w:line="360" w:lineRule="auto"/>
              <w:ind w:firstLine="420" w:firstLineChars="200"/>
              <w:rPr>
                <w:color w:val="auto"/>
                <w:sz w:val="21"/>
                <w:szCs w:val="21"/>
              </w:rPr>
            </w:pPr>
            <w:r>
              <w:rPr>
                <w:rFonts w:hint="eastAsia"/>
                <w:color w:val="auto"/>
                <w:sz w:val="21"/>
                <w:szCs w:val="21"/>
                <w:lang w:val="en-US" w:eastAsia="zh-CN"/>
              </w:rPr>
              <w:t>⑦</w:t>
            </w:r>
            <w:r>
              <w:rPr>
                <w:color w:val="auto"/>
                <w:sz w:val="21"/>
                <w:szCs w:val="21"/>
              </w:rPr>
              <w:t>废活性炭</w:t>
            </w:r>
          </w:p>
          <w:p w14:paraId="64C23773">
            <w:pPr>
              <w:spacing w:line="360" w:lineRule="auto"/>
              <w:ind w:firstLine="420" w:firstLineChars="200"/>
              <w:rPr>
                <w:rFonts w:hint="eastAsia"/>
                <w:color w:val="auto"/>
                <w:sz w:val="21"/>
                <w:szCs w:val="21"/>
              </w:rPr>
            </w:pPr>
            <w:r>
              <w:rPr>
                <w:color w:val="auto"/>
                <w:sz w:val="21"/>
                <w:szCs w:val="21"/>
              </w:rPr>
              <w:t>本项目</w:t>
            </w:r>
            <w:r>
              <w:rPr>
                <w:rFonts w:hint="eastAsia"/>
                <w:color w:val="auto"/>
                <w:sz w:val="21"/>
                <w:szCs w:val="21"/>
                <w:lang w:val="en-US" w:eastAsia="zh-CN"/>
              </w:rPr>
              <w:t>注塑</w:t>
            </w:r>
            <w:r>
              <w:rPr>
                <w:color w:val="auto"/>
                <w:sz w:val="21"/>
                <w:szCs w:val="21"/>
              </w:rPr>
              <w:t>有机废气</w:t>
            </w:r>
            <w:r>
              <w:rPr>
                <w:rFonts w:hint="eastAsia"/>
                <w:color w:val="auto"/>
                <w:sz w:val="21"/>
                <w:szCs w:val="21"/>
                <w:lang w:eastAsia="zh-CN"/>
              </w:rPr>
              <w:t>、</w:t>
            </w:r>
            <w:r>
              <w:rPr>
                <w:rFonts w:hint="eastAsia"/>
                <w:color w:val="auto"/>
                <w:sz w:val="21"/>
                <w:szCs w:val="21"/>
                <w:lang w:val="en-US" w:eastAsia="zh-CN"/>
              </w:rPr>
              <w:t>喷涂有机废气</w:t>
            </w:r>
            <w:r>
              <w:rPr>
                <w:color w:val="auto"/>
                <w:sz w:val="21"/>
                <w:szCs w:val="21"/>
              </w:rPr>
              <w:t>采用活性炭处理，根据前文计算，VOC</w:t>
            </w:r>
            <w:r>
              <w:rPr>
                <w:rFonts w:hint="eastAsia"/>
                <w:color w:val="auto"/>
                <w:sz w:val="21"/>
                <w:szCs w:val="21"/>
                <w:lang w:val="en-US" w:eastAsia="zh-CN"/>
              </w:rPr>
              <w:t>s收集处理量约为6.928t</w:t>
            </w:r>
            <w:r>
              <w:rPr>
                <w:color w:val="auto"/>
                <w:sz w:val="21"/>
                <w:szCs w:val="21"/>
              </w:rPr>
              <w:t>，</w:t>
            </w:r>
            <w:r>
              <w:rPr>
                <w:color w:val="auto"/>
              </w:rPr>
              <w:t>参考《简明通风设计手册》，1kg活性炭吸附有机废气量约为200g，</w:t>
            </w:r>
            <w:r>
              <w:rPr>
                <w:rFonts w:hint="eastAsia"/>
                <w:color w:val="auto"/>
                <w:sz w:val="21"/>
                <w:szCs w:val="21"/>
                <w:lang w:val="en-US" w:eastAsia="zh-CN"/>
              </w:rPr>
              <w:t>则</w:t>
            </w:r>
            <w:r>
              <w:rPr>
                <w:color w:val="auto"/>
                <w:sz w:val="21"/>
                <w:szCs w:val="21"/>
              </w:rPr>
              <w:t>废活性炭产生量为</w:t>
            </w:r>
            <w:r>
              <w:rPr>
                <w:rFonts w:hint="eastAsia"/>
                <w:color w:val="auto"/>
                <w:sz w:val="21"/>
                <w:szCs w:val="21"/>
                <w:lang w:val="en-US" w:eastAsia="zh-CN"/>
              </w:rPr>
              <w:t>34.64</w:t>
            </w:r>
            <w:r>
              <w:rPr>
                <w:color w:val="auto"/>
                <w:sz w:val="21"/>
                <w:szCs w:val="21"/>
              </w:rPr>
              <w:t>t/a。废活性炭</w:t>
            </w:r>
            <w:r>
              <w:rPr>
                <w:rFonts w:hint="eastAsia"/>
                <w:color w:val="auto"/>
                <w:sz w:val="21"/>
                <w:szCs w:val="21"/>
              </w:rPr>
              <w:t>（</w:t>
            </w:r>
            <w:r>
              <w:rPr>
                <w:color w:val="auto"/>
                <w:kern w:val="0"/>
                <w:sz w:val="21"/>
                <w:szCs w:val="21"/>
                <w:lang w:bidi="ar"/>
              </w:rPr>
              <w:t>HW49 900-039-49</w:t>
            </w:r>
            <w:r>
              <w:rPr>
                <w:rFonts w:hint="eastAsia"/>
                <w:color w:val="auto"/>
                <w:sz w:val="21"/>
                <w:szCs w:val="21"/>
              </w:rPr>
              <w:t>）</w:t>
            </w:r>
            <w:r>
              <w:rPr>
                <w:color w:val="auto"/>
                <w:sz w:val="21"/>
                <w:szCs w:val="21"/>
              </w:rPr>
              <w:t>统一收集交由资质单位处置。</w:t>
            </w:r>
            <w:r>
              <w:rPr>
                <w:rFonts w:hint="eastAsia"/>
                <w:color w:val="auto"/>
                <w:sz w:val="21"/>
                <w:szCs w:val="21"/>
              </w:rPr>
              <w:t>环评建议建设单位采用活性炭</w:t>
            </w:r>
            <w:r>
              <w:rPr>
                <w:rFonts w:hint="eastAsia"/>
                <w:color w:val="auto"/>
                <w:sz w:val="21"/>
                <w:szCs w:val="21"/>
                <w:lang w:val="en-US" w:eastAsia="zh-CN"/>
              </w:rPr>
              <w:t>吸附碘值不低于800mg</w:t>
            </w:r>
            <w:r>
              <w:rPr>
                <w:rFonts w:hint="eastAsia"/>
                <w:color w:val="auto"/>
                <w:sz w:val="21"/>
                <w:szCs w:val="21"/>
                <w:lang w:eastAsia="zh-CN"/>
              </w:rPr>
              <w:t>。</w:t>
            </w:r>
            <w:r>
              <w:rPr>
                <w:rFonts w:hint="default" w:ascii="Times New Roman" w:hAnsi="Times New Roman" w:cs="Times New Roman"/>
                <w:color w:val="auto"/>
                <w:sz w:val="21"/>
                <w:szCs w:val="21"/>
                <w:highlight w:val="none"/>
              </w:rPr>
              <w:t>为保证处理效率，建议平均约</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个月更换1次（具体根据实际生产情况而定，确保活性炭处理效率）</w:t>
            </w:r>
            <w:r>
              <w:rPr>
                <w:rFonts w:hint="eastAsia"/>
                <w:color w:val="auto"/>
                <w:sz w:val="21"/>
                <w:szCs w:val="21"/>
              </w:rPr>
              <w:t>。</w:t>
            </w:r>
          </w:p>
          <w:p w14:paraId="7F014780">
            <w:pPr>
              <w:pStyle w:val="5"/>
              <w:spacing w:line="360" w:lineRule="auto"/>
              <w:ind w:left="0" w:leftChars="0"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⑧废漆桶</w:t>
            </w:r>
          </w:p>
          <w:p w14:paraId="7FF4BD08">
            <w:pPr>
              <w:spacing w:line="360" w:lineRule="auto"/>
              <w:ind w:firstLine="420" w:firstLineChars="200"/>
              <w:rPr>
                <w:rFonts w:hint="default"/>
                <w:color w:val="auto"/>
                <w:sz w:val="21"/>
                <w:szCs w:val="21"/>
                <w:lang w:val="en-US" w:eastAsia="zh-CN"/>
              </w:rPr>
            </w:pPr>
            <w:r>
              <w:rPr>
                <w:rFonts w:hint="eastAsia"/>
                <w:color w:val="auto"/>
                <w:sz w:val="21"/>
                <w:szCs w:val="21"/>
              </w:rPr>
              <w:t>本项目油漆用量为</w:t>
            </w:r>
            <w:r>
              <w:rPr>
                <w:rFonts w:hint="eastAsia"/>
                <w:color w:val="auto"/>
                <w:sz w:val="21"/>
                <w:szCs w:val="21"/>
                <w:lang w:val="en-US" w:eastAsia="zh-CN"/>
              </w:rPr>
              <w:t>10.2</w:t>
            </w:r>
            <w:r>
              <w:rPr>
                <w:rFonts w:hint="eastAsia"/>
                <w:color w:val="auto"/>
                <w:sz w:val="21"/>
                <w:szCs w:val="21"/>
              </w:rPr>
              <w:t>t/a，油漆</w:t>
            </w:r>
            <w:r>
              <w:rPr>
                <w:rFonts w:hint="eastAsia"/>
                <w:color w:val="auto"/>
                <w:sz w:val="21"/>
                <w:szCs w:val="21"/>
                <w:lang w:val="en-US" w:eastAsia="zh-CN"/>
              </w:rPr>
              <w:t>18</w:t>
            </w:r>
            <w:r>
              <w:rPr>
                <w:rFonts w:hint="eastAsia"/>
                <w:color w:val="auto"/>
                <w:sz w:val="21"/>
                <w:szCs w:val="21"/>
              </w:rPr>
              <w:t>kg/桶，漆桶约</w:t>
            </w:r>
            <w:r>
              <w:rPr>
                <w:rFonts w:hint="eastAsia"/>
                <w:color w:val="auto"/>
                <w:sz w:val="21"/>
                <w:szCs w:val="21"/>
                <w:lang w:val="en-US" w:eastAsia="zh-CN"/>
              </w:rPr>
              <w:t>567</w:t>
            </w:r>
            <w:r>
              <w:rPr>
                <w:rFonts w:hint="eastAsia"/>
                <w:color w:val="auto"/>
                <w:sz w:val="21"/>
                <w:szCs w:val="21"/>
              </w:rPr>
              <w:t>只/a，以1.0kg/只计</w:t>
            </w:r>
            <w:r>
              <w:rPr>
                <w:color w:val="auto"/>
                <w:sz w:val="21"/>
                <w:szCs w:val="21"/>
              </w:rPr>
              <w:t>，</w:t>
            </w:r>
            <w:r>
              <w:rPr>
                <w:rFonts w:hint="eastAsia"/>
                <w:color w:val="auto"/>
                <w:sz w:val="21"/>
                <w:szCs w:val="21"/>
              </w:rPr>
              <w:t>本项目废漆桶</w:t>
            </w:r>
            <w:r>
              <w:rPr>
                <w:color w:val="auto"/>
                <w:sz w:val="21"/>
                <w:szCs w:val="21"/>
              </w:rPr>
              <w:t>产生量</w:t>
            </w:r>
            <w:r>
              <w:rPr>
                <w:rFonts w:hint="eastAsia"/>
                <w:color w:val="auto"/>
                <w:sz w:val="21"/>
                <w:szCs w:val="21"/>
              </w:rPr>
              <w:t>0.</w:t>
            </w:r>
            <w:r>
              <w:rPr>
                <w:rFonts w:hint="eastAsia"/>
                <w:color w:val="auto"/>
                <w:sz w:val="21"/>
                <w:szCs w:val="21"/>
                <w:lang w:val="en-US" w:eastAsia="zh-CN"/>
              </w:rPr>
              <w:t>567</w:t>
            </w:r>
            <w:r>
              <w:rPr>
                <w:color w:val="auto"/>
                <w:sz w:val="21"/>
                <w:szCs w:val="21"/>
              </w:rPr>
              <w:t>t/a，</w:t>
            </w:r>
            <w:r>
              <w:rPr>
                <w:rFonts w:hint="eastAsia"/>
                <w:color w:val="auto"/>
                <w:sz w:val="21"/>
                <w:szCs w:val="21"/>
              </w:rPr>
              <w:t>根据《国家危险废物名录》（</w:t>
            </w:r>
            <w:r>
              <w:rPr>
                <w:color w:val="auto"/>
                <w:sz w:val="21"/>
                <w:szCs w:val="21"/>
              </w:rPr>
              <w:t>2021年版）</w:t>
            </w:r>
            <w:r>
              <w:rPr>
                <w:rFonts w:hint="eastAsia"/>
                <w:color w:val="auto"/>
                <w:sz w:val="21"/>
                <w:szCs w:val="21"/>
              </w:rPr>
              <w:t>废油漆</w:t>
            </w:r>
            <w:r>
              <w:rPr>
                <w:color w:val="auto"/>
                <w:sz w:val="21"/>
                <w:szCs w:val="21"/>
              </w:rPr>
              <w:t>属于危险废物HW49，废物代码900-041-49，经收集后，暂存于厂区</w:t>
            </w:r>
            <w:r>
              <w:rPr>
                <w:rFonts w:hint="eastAsia"/>
                <w:color w:val="auto"/>
                <w:sz w:val="21"/>
                <w:szCs w:val="21"/>
              </w:rPr>
              <w:t>危废间</w:t>
            </w:r>
            <w:r>
              <w:rPr>
                <w:color w:val="auto"/>
                <w:sz w:val="21"/>
                <w:szCs w:val="21"/>
              </w:rPr>
              <w:t>，定期交由有资质的危险废物处置单位处置。</w:t>
            </w:r>
          </w:p>
          <w:p w14:paraId="6EBBBB87">
            <w:pPr>
              <w:pStyle w:val="5"/>
              <w:spacing w:line="360" w:lineRule="auto"/>
              <w:ind w:left="0" w:leftChars="0"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⑨废漆渣</w:t>
            </w:r>
          </w:p>
          <w:p w14:paraId="06D17C0E">
            <w:pPr>
              <w:spacing w:line="360" w:lineRule="auto"/>
              <w:ind w:firstLine="420" w:firstLineChars="200"/>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喷漆房</w:t>
            </w:r>
            <w:r>
              <w:rPr>
                <w:rFonts w:hint="default" w:ascii="Times New Roman" w:hAnsi="Times New Roman" w:cs="Times New Roman"/>
                <w:sz w:val="21"/>
                <w:szCs w:val="21"/>
              </w:rPr>
              <w:t>通过水帘去除的漆雾</w:t>
            </w:r>
            <w:r>
              <w:rPr>
                <w:rFonts w:hint="eastAsia" w:ascii="Times New Roman" w:hAnsi="Times New Roman" w:cs="Times New Roman"/>
                <w:sz w:val="21"/>
                <w:szCs w:val="21"/>
                <w:lang w:val="en-US" w:eastAsia="zh-CN"/>
              </w:rPr>
              <w:t>量</w:t>
            </w:r>
            <w:r>
              <w:rPr>
                <w:rFonts w:hint="default" w:ascii="Times New Roman" w:hAnsi="Times New Roman" w:cs="Times New Roman"/>
                <w:sz w:val="21"/>
                <w:szCs w:val="21"/>
              </w:rPr>
              <w:t>为</w:t>
            </w:r>
            <w:r>
              <w:rPr>
                <w:rFonts w:hint="eastAsia" w:ascii="Times New Roman" w:hAnsi="Times New Roman" w:cs="Times New Roman"/>
                <w:bCs/>
                <w:sz w:val="21"/>
                <w:szCs w:val="21"/>
                <w:lang w:val="en-US" w:eastAsia="zh-CN"/>
              </w:rPr>
              <w:t>1.82</w:t>
            </w:r>
            <w:r>
              <w:rPr>
                <w:rFonts w:hint="default" w:ascii="Times New Roman" w:hAnsi="Times New Roman" w:cs="Times New Roman"/>
                <w:bCs/>
                <w:sz w:val="21"/>
                <w:szCs w:val="21"/>
              </w:rPr>
              <w:t>t/a ，絮凝剂使用量为0.</w:t>
            </w:r>
            <w:r>
              <w:rPr>
                <w:rFonts w:hint="eastAsia" w:ascii="Times New Roman" w:hAnsi="Times New Roman" w:cs="Times New Roman"/>
                <w:bCs/>
                <w:sz w:val="21"/>
                <w:szCs w:val="21"/>
                <w:lang w:val="en-US" w:eastAsia="zh-CN"/>
              </w:rPr>
              <w:t>4</w:t>
            </w:r>
            <w:r>
              <w:rPr>
                <w:rFonts w:hint="default" w:ascii="Times New Roman" w:hAnsi="Times New Roman" w:cs="Times New Roman"/>
                <w:bCs/>
                <w:sz w:val="21"/>
                <w:szCs w:val="21"/>
              </w:rPr>
              <w:t xml:space="preserve"> t/a，假设水中的漆雾均通过絮凝沉淀，全部以漆渣的形式被打捞，则本项目漆渣产生量为</w:t>
            </w:r>
            <w:r>
              <w:rPr>
                <w:rFonts w:hint="eastAsia" w:ascii="Times New Roman" w:hAnsi="Times New Roman" w:cs="Times New Roman"/>
                <w:bCs/>
                <w:sz w:val="21"/>
                <w:szCs w:val="21"/>
                <w:lang w:val="en-US" w:eastAsia="zh-CN"/>
              </w:rPr>
              <w:t>2.22</w:t>
            </w:r>
            <w:r>
              <w:rPr>
                <w:rFonts w:hint="default" w:ascii="Times New Roman" w:hAnsi="Times New Roman" w:cs="Times New Roman"/>
                <w:bCs/>
                <w:sz w:val="21"/>
                <w:szCs w:val="21"/>
              </w:rPr>
              <w:t>t/a。</w:t>
            </w:r>
            <w:r>
              <w:rPr>
                <w:rFonts w:hint="default" w:ascii="Times New Roman" w:hAnsi="Times New Roman" w:cs="Times New Roman"/>
                <w:sz w:val="21"/>
                <w:szCs w:val="21"/>
              </w:rPr>
              <w:t>对照《国家危险废物名录》，</w:t>
            </w:r>
            <w:r>
              <w:rPr>
                <w:rFonts w:hint="eastAsia" w:ascii="Times New Roman" w:hAnsi="Times New Roman" w:cs="Times New Roman"/>
                <w:sz w:val="21"/>
                <w:szCs w:val="21"/>
                <w:lang w:val="en-US" w:eastAsia="zh-CN"/>
              </w:rPr>
              <w:t>漆渣</w:t>
            </w:r>
            <w:r>
              <w:rPr>
                <w:rFonts w:hint="default" w:ascii="Times New Roman" w:hAnsi="Times New Roman" w:cs="Times New Roman"/>
                <w:sz w:val="21"/>
                <w:szCs w:val="21"/>
              </w:rPr>
              <w:t>属HW</w:t>
            </w:r>
            <w:r>
              <w:rPr>
                <w:rFonts w:hint="eastAsia" w:ascii="Times New Roman" w:hAnsi="Times New Roman" w:cs="Times New Roman"/>
                <w:sz w:val="21"/>
                <w:szCs w:val="21"/>
                <w:lang w:val="en-US" w:eastAsia="zh-CN"/>
              </w:rPr>
              <w:t>12</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染料、涂料废物</w:t>
            </w:r>
            <w:r>
              <w:rPr>
                <w:rFonts w:hint="default" w:ascii="Times New Roman" w:hAnsi="Times New Roman" w:cs="Times New Roman"/>
                <w:sz w:val="21"/>
                <w:szCs w:val="21"/>
              </w:rPr>
              <w:t>”类危废，废物代码900-</w:t>
            </w:r>
            <w:r>
              <w:rPr>
                <w:rFonts w:hint="eastAsia" w:ascii="Times New Roman" w:hAnsi="Times New Roman" w:cs="Times New Roman"/>
                <w:sz w:val="21"/>
                <w:szCs w:val="21"/>
                <w:lang w:val="en-US" w:eastAsia="zh-CN"/>
              </w:rPr>
              <w:t>252-12</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漆渣定期打捞收集暂存于危废暂存间，交由资质单位处置。</w:t>
            </w:r>
          </w:p>
          <w:p w14:paraId="56579DA9">
            <w:pPr>
              <w:pStyle w:val="2"/>
              <w:ind w:firstLine="420" w:firstLineChars="200"/>
              <w:rPr>
                <w:rFonts w:hint="eastAsia" w:cs="Times New Roman"/>
                <w:sz w:val="21"/>
                <w:szCs w:val="21"/>
                <w:lang w:val="en-US" w:eastAsia="zh-CN"/>
              </w:rPr>
            </w:pPr>
            <w:r>
              <w:rPr>
                <w:rFonts w:hint="eastAsia" w:cs="Times New Roman"/>
                <w:sz w:val="21"/>
                <w:szCs w:val="21"/>
                <w:lang w:val="en-US" w:eastAsia="zh-CN"/>
              </w:rPr>
              <w:t>⑩喷漆废水</w:t>
            </w:r>
          </w:p>
          <w:p w14:paraId="5FBECBE0">
            <w:pPr>
              <w:pStyle w:val="2"/>
              <w:spacing w:line="360" w:lineRule="auto"/>
              <w:ind w:firstLine="420" w:firstLineChars="200"/>
              <w:rPr>
                <w:rFonts w:hint="eastAsia" w:eastAsia="宋体" w:cs="Times New Roman"/>
                <w:sz w:val="21"/>
                <w:szCs w:val="21"/>
                <w:lang w:val="en-US" w:eastAsia="zh-CN"/>
              </w:rPr>
            </w:pPr>
            <w:r>
              <w:rPr>
                <w:rFonts w:hint="eastAsia" w:ascii="Times New Roman" w:hAnsi="Times New Roman" w:cs="Times New Roman"/>
                <w:sz w:val="21"/>
                <w:szCs w:val="21"/>
                <w:lang w:val="en-US" w:eastAsia="zh-CN"/>
              </w:rPr>
              <w:t>喷漆房</w:t>
            </w:r>
            <w:r>
              <w:rPr>
                <w:rFonts w:hint="default" w:ascii="Times New Roman" w:hAnsi="Times New Roman" w:cs="Times New Roman"/>
                <w:sz w:val="21"/>
                <w:szCs w:val="21"/>
              </w:rPr>
              <w:t>通过水帘去除漆雾</w:t>
            </w:r>
            <w:r>
              <w:rPr>
                <w:rFonts w:hint="eastAsia" w:cs="Times New Roman"/>
                <w:sz w:val="21"/>
                <w:szCs w:val="21"/>
                <w:lang w:eastAsia="zh-CN"/>
              </w:rPr>
              <w:t>，</w:t>
            </w:r>
            <w:r>
              <w:rPr>
                <w:rFonts w:hint="eastAsia" w:cs="Times New Roman"/>
                <w:sz w:val="21"/>
                <w:szCs w:val="21"/>
                <w:lang w:val="en-US" w:eastAsia="zh-CN"/>
              </w:rPr>
              <w:t>根据上文水平衡计算，喷漆废水产生量为48</w:t>
            </w:r>
            <w:r>
              <w:rPr>
                <w:rFonts w:hint="default" w:ascii="Times New Roman" w:hAnsi="Times New Roman" w:cs="Times New Roman"/>
                <w:bCs/>
                <w:sz w:val="21"/>
                <w:szCs w:val="21"/>
              </w:rPr>
              <w:t>t/a</w:t>
            </w:r>
            <w:r>
              <w:rPr>
                <w:rFonts w:hint="eastAsia" w:cs="Times New Roman"/>
                <w:bCs/>
                <w:sz w:val="21"/>
                <w:szCs w:val="21"/>
                <w:lang w:eastAsia="zh-CN"/>
              </w:rPr>
              <w:t>。</w:t>
            </w:r>
            <w:r>
              <w:rPr>
                <w:rFonts w:hint="default" w:ascii="Times New Roman" w:hAnsi="Times New Roman" w:cs="Times New Roman"/>
                <w:sz w:val="21"/>
                <w:szCs w:val="21"/>
              </w:rPr>
              <w:t>对照《国家危险废物名录》，</w:t>
            </w:r>
            <w:r>
              <w:rPr>
                <w:rFonts w:hint="eastAsia" w:ascii="Times New Roman" w:hAnsi="Times New Roman" w:cs="Times New Roman"/>
                <w:sz w:val="21"/>
                <w:szCs w:val="21"/>
                <w:lang w:val="en-US" w:eastAsia="zh-CN"/>
              </w:rPr>
              <w:t>漆渣</w:t>
            </w:r>
            <w:r>
              <w:rPr>
                <w:rFonts w:hint="default" w:ascii="Times New Roman" w:hAnsi="Times New Roman" w:cs="Times New Roman"/>
                <w:sz w:val="21"/>
                <w:szCs w:val="21"/>
              </w:rPr>
              <w:t>属HW</w:t>
            </w:r>
            <w:r>
              <w:rPr>
                <w:rFonts w:hint="eastAsia" w:ascii="Times New Roman" w:hAnsi="Times New Roman" w:cs="Times New Roman"/>
                <w:sz w:val="21"/>
                <w:szCs w:val="21"/>
                <w:lang w:val="en-US" w:eastAsia="zh-CN"/>
              </w:rPr>
              <w:t>12</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染料、涂料废物</w:t>
            </w:r>
            <w:r>
              <w:rPr>
                <w:rFonts w:hint="default" w:ascii="Times New Roman" w:hAnsi="Times New Roman" w:cs="Times New Roman"/>
                <w:sz w:val="21"/>
                <w:szCs w:val="21"/>
              </w:rPr>
              <w:t>”类危废，废物代码900-</w:t>
            </w:r>
            <w:r>
              <w:rPr>
                <w:rFonts w:hint="eastAsia" w:ascii="Times New Roman" w:hAnsi="Times New Roman" w:cs="Times New Roman"/>
                <w:sz w:val="21"/>
                <w:szCs w:val="21"/>
                <w:lang w:val="en-US" w:eastAsia="zh-CN"/>
              </w:rPr>
              <w:t>252-12</w:t>
            </w:r>
            <w:r>
              <w:rPr>
                <w:rFonts w:hint="default" w:ascii="Times New Roman" w:hAnsi="Times New Roman" w:cs="Times New Roman"/>
                <w:sz w:val="21"/>
                <w:szCs w:val="21"/>
              </w:rPr>
              <w:t>，</w:t>
            </w:r>
            <w:r>
              <w:rPr>
                <w:rFonts w:hint="eastAsia" w:cs="Times New Roman"/>
                <w:sz w:val="21"/>
                <w:szCs w:val="21"/>
                <w:lang w:val="en-US" w:eastAsia="zh-CN"/>
              </w:rPr>
              <w:t>喷漆废水</w:t>
            </w:r>
            <w:r>
              <w:rPr>
                <w:rFonts w:hint="eastAsia" w:ascii="Times New Roman" w:hAnsi="Times New Roman" w:cs="Times New Roman"/>
                <w:sz w:val="21"/>
                <w:szCs w:val="21"/>
                <w:lang w:val="en-US" w:eastAsia="zh-CN"/>
              </w:rPr>
              <w:t>定期收集暂存于危废暂存间，交由资质单位处置。</w:t>
            </w:r>
          </w:p>
          <w:p w14:paraId="7FEF5196">
            <w:pPr>
              <w:spacing w:before="120" w:beforeLines="50" w:line="420" w:lineRule="auto"/>
              <w:ind w:firstLine="422" w:firstLineChars="200"/>
              <w:rPr>
                <w:rFonts w:hint="default" w:eastAsia="宋体"/>
                <w:b/>
                <w:bCs/>
                <w:sz w:val="21"/>
                <w:szCs w:val="21"/>
                <w:lang w:val="en-US" w:eastAsia="zh-CN"/>
              </w:rPr>
            </w:pPr>
            <w:r>
              <w:rPr>
                <w:b/>
                <w:bCs/>
                <w:sz w:val="21"/>
                <w:szCs w:val="21"/>
              </w:rPr>
              <w:t>（2）固废信息汇总</w:t>
            </w:r>
          </w:p>
          <w:p w14:paraId="641DD824">
            <w:pPr>
              <w:adjustRightInd w:val="0"/>
              <w:snapToGrid w:val="0"/>
              <w:spacing w:before="120" w:beforeLines="50" w:line="240" w:lineRule="auto"/>
              <w:jc w:val="center"/>
              <w:rPr>
                <w:b/>
                <w:sz w:val="21"/>
                <w:szCs w:val="21"/>
              </w:rPr>
            </w:pPr>
            <w:r>
              <w:rPr>
                <w:b/>
                <w:sz w:val="21"/>
                <w:szCs w:val="21"/>
              </w:rPr>
              <w:t>表4-</w:t>
            </w:r>
            <w:r>
              <w:rPr>
                <w:rFonts w:hint="eastAsia"/>
                <w:b/>
                <w:sz w:val="21"/>
                <w:szCs w:val="21"/>
                <w:lang w:val="en-US" w:eastAsia="zh-CN"/>
              </w:rPr>
              <w:t>19</w:t>
            </w:r>
            <w:r>
              <w:rPr>
                <w:b/>
                <w:sz w:val="21"/>
                <w:szCs w:val="21"/>
              </w:rPr>
              <w:t>固废产生及处置表</w:t>
            </w:r>
          </w:p>
          <w:tbl>
            <w:tblPr>
              <w:tblStyle w:val="27"/>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14"/>
              <w:gridCol w:w="1156"/>
              <w:gridCol w:w="1267"/>
              <w:gridCol w:w="775"/>
              <w:gridCol w:w="595"/>
              <w:gridCol w:w="557"/>
              <w:gridCol w:w="1150"/>
              <w:gridCol w:w="1157"/>
              <w:gridCol w:w="1069"/>
            </w:tblGrid>
            <w:tr w14:paraId="027135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630" w:type="pct"/>
                  <w:noWrap w:val="0"/>
                  <w:vAlign w:val="center"/>
                </w:tcPr>
                <w:p w14:paraId="4B33885B">
                  <w:pPr>
                    <w:widowControl/>
                    <w:spacing w:line="240" w:lineRule="auto"/>
                    <w:jc w:val="center"/>
                    <w:textAlignment w:val="center"/>
                    <w:rPr>
                      <w:b/>
                      <w:bCs/>
                      <w:sz w:val="21"/>
                      <w:szCs w:val="21"/>
                    </w:rPr>
                  </w:pPr>
                  <w:r>
                    <w:rPr>
                      <w:b/>
                      <w:bCs/>
                      <w:kern w:val="0"/>
                      <w:sz w:val="21"/>
                      <w:szCs w:val="21"/>
                      <w:lang w:bidi="ar"/>
                    </w:rPr>
                    <w:t>废物种类</w:t>
                  </w:r>
                </w:p>
              </w:tc>
              <w:tc>
                <w:tcPr>
                  <w:tcW w:w="653" w:type="pct"/>
                  <w:noWrap w:val="0"/>
                  <w:vAlign w:val="center"/>
                </w:tcPr>
                <w:p w14:paraId="24ED6F5C">
                  <w:pPr>
                    <w:widowControl/>
                    <w:spacing w:line="240" w:lineRule="auto"/>
                    <w:jc w:val="center"/>
                    <w:textAlignment w:val="center"/>
                    <w:rPr>
                      <w:b/>
                      <w:bCs/>
                      <w:sz w:val="21"/>
                      <w:szCs w:val="21"/>
                    </w:rPr>
                  </w:pPr>
                  <w:r>
                    <w:rPr>
                      <w:b/>
                      <w:bCs/>
                      <w:kern w:val="0"/>
                      <w:sz w:val="21"/>
                      <w:szCs w:val="21"/>
                      <w:lang w:bidi="ar"/>
                    </w:rPr>
                    <w:t>产生量</w:t>
                  </w:r>
                </w:p>
              </w:tc>
              <w:tc>
                <w:tcPr>
                  <w:tcW w:w="716" w:type="pct"/>
                  <w:noWrap w:val="0"/>
                  <w:vAlign w:val="center"/>
                </w:tcPr>
                <w:p w14:paraId="184E9286">
                  <w:pPr>
                    <w:widowControl/>
                    <w:spacing w:line="240" w:lineRule="auto"/>
                    <w:jc w:val="center"/>
                    <w:textAlignment w:val="center"/>
                    <w:rPr>
                      <w:b/>
                      <w:bCs/>
                      <w:sz w:val="21"/>
                      <w:szCs w:val="21"/>
                    </w:rPr>
                  </w:pPr>
                  <w:r>
                    <w:rPr>
                      <w:b/>
                      <w:bCs/>
                      <w:kern w:val="0"/>
                      <w:sz w:val="21"/>
                      <w:szCs w:val="21"/>
                      <w:lang w:bidi="ar"/>
                    </w:rPr>
                    <w:t>废物类别</w:t>
                  </w:r>
                </w:p>
              </w:tc>
              <w:tc>
                <w:tcPr>
                  <w:tcW w:w="438" w:type="pct"/>
                  <w:noWrap w:val="0"/>
                  <w:vAlign w:val="center"/>
                </w:tcPr>
                <w:p w14:paraId="2EB3A8EA">
                  <w:pPr>
                    <w:widowControl/>
                    <w:spacing w:line="240" w:lineRule="auto"/>
                    <w:jc w:val="center"/>
                    <w:textAlignment w:val="center"/>
                    <w:rPr>
                      <w:b/>
                      <w:bCs/>
                      <w:kern w:val="0"/>
                      <w:sz w:val="21"/>
                      <w:szCs w:val="21"/>
                      <w:lang w:bidi="ar"/>
                    </w:rPr>
                  </w:pPr>
                  <w:r>
                    <w:rPr>
                      <w:b/>
                      <w:bCs/>
                      <w:kern w:val="0"/>
                      <w:sz w:val="21"/>
                      <w:szCs w:val="21"/>
                      <w:lang w:bidi="ar"/>
                    </w:rPr>
                    <w:t>有害物质名称</w:t>
                  </w:r>
                </w:p>
              </w:tc>
              <w:tc>
                <w:tcPr>
                  <w:tcW w:w="336" w:type="pct"/>
                  <w:noWrap w:val="0"/>
                  <w:vAlign w:val="center"/>
                </w:tcPr>
                <w:p w14:paraId="774B40DC">
                  <w:pPr>
                    <w:widowControl/>
                    <w:spacing w:line="240" w:lineRule="auto"/>
                    <w:jc w:val="center"/>
                    <w:textAlignment w:val="center"/>
                    <w:rPr>
                      <w:b/>
                      <w:bCs/>
                      <w:kern w:val="0"/>
                      <w:sz w:val="21"/>
                      <w:szCs w:val="21"/>
                      <w:lang w:bidi="ar"/>
                    </w:rPr>
                  </w:pPr>
                  <w:r>
                    <w:rPr>
                      <w:b/>
                      <w:bCs/>
                      <w:kern w:val="0"/>
                      <w:sz w:val="21"/>
                      <w:szCs w:val="21"/>
                      <w:lang w:bidi="ar"/>
                    </w:rPr>
                    <w:t>物理性状</w:t>
                  </w:r>
                </w:p>
              </w:tc>
              <w:tc>
                <w:tcPr>
                  <w:tcW w:w="315" w:type="pct"/>
                  <w:noWrap w:val="0"/>
                  <w:vAlign w:val="center"/>
                </w:tcPr>
                <w:p w14:paraId="6B964049">
                  <w:pPr>
                    <w:widowControl/>
                    <w:spacing w:line="240" w:lineRule="auto"/>
                    <w:jc w:val="center"/>
                    <w:textAlignment w:val="center"/>
                    <w:rPr>
                      <w:b/>
                      <w:bCs/>
                      <w:kern w:val="0"/>
                      <w:sz w:val="21"/>
                      <w:szCs w:val="21"/>
                      <w:lang w:bidi="ar"/>
                    </w:rPr>
                  </w:pPr>
                  <w:r>
                    <w:rPr>
                      <w:b/>
                      <w:bCs/>
                      <w:kern w:val="0"/>
                      <w:sz w:val="21"/>
                      <w:szCs w:val="21"/>
                      <w:lang w:bidi="ar"/>
                    </w:rPr>
                    <w:t>危险性</w:t>
                  </w:r>
                </w:p>
              </w:tc>
              <w:tc>
                <w:tcPr>
                  <w:tcW w:w="650" w:type="pct"/>
                  <w:noWrap w:val="0"/>
                  <w:vAlign w:val="center"/>
                </w:tcPr>
                <w:p w14:paraId="4180B24C">
                  <w:pPr>
                    <w:widowControl/>
                    <w:spacing w:line="240" w:lineRule="auto"/>
                    <w:jc w:val="center"/>
                    <w:textAlignment w:val="center"/>
                    <w:rPr>
                      <w:b/>
                      <w:bCs/>
                      <w:kern w:val="0"/>
                      <w:sz w:val="21"/>
                      <w:szCs w:val="21"/>
                      <w:lang w:bidi="ar"/>
                    </w:rPr>
                  </w:pPr>
                  <w:r>
                    <w:rPr>
                      <w:b/>
                      <w:bCs/>
                      <w:kern w:val="0"/>
                      <w:sz w:val="21"/>
                      <w:szCs w:val="21"/>
                      <w:lang w:bidi="ar"/>
                    </w:rPr>
                    <w:t>贮存方式</w:t>
                  </w:r>
                </w:p>
              </w:tc>
              <w:tc>
                <w:tcPr>
                  <w:tcW w:w="654" w:type="pct"/>
                  <w:noWrap w:val="0"/>
                  <w:vAlign w:val="center"/>
                </w:tcPr>
                <w:p w14:paraId="708DF284">
                  <w:pPr>
                    <w:widowControl/>
                    <w:spacing w:line="240" w:lineRule="auto"/>
                    <w:jc w:val="center"/>
                    <w:textAlignment w:val="center"/>
                    <w:rPr>
                      <w:b/>
                      <w:bCs/>
                      <w:kern w:val="0"/>
                      <w:sz w:val="21"/>
                      <w:szCs w:val="21"/>
                      <w:lang w:bidi="ar"/>
                    </w:rPr>
                  </w:pPr>
                  <w:r>
                    <w:rPr>
                      <w:b/>
                      <w:bCs/>
                      <w:kern w:val="0"/>
                      <w:sz w:val="21"/>
                      <w:szCs w:val="21"/>
                      <w:lang w:bidi="ar"/>
                    </w:rPr>
                    <w:t>利用或处置量</w:t>
                  </w:r>
                </w:p>
              </w:tc>
              <w:tc>
                <w:tcPr>
                  <w:tcW w:w="604" w:type="pct"/>
                  <w:noWrap w:val="0"/>
                  <w:vAlign w:val="center"/>
                </w:tcPr>
                <w:p w14:paraId="1D7013CA">
                  <w:pPr>
                    <w:widowControl/>
                    <w:spacing w:line="240" w:lineRule="auto"/>
                    <w:jc w:val="center"/>
                    <w:textAlignment w:val="center"/>
                    <w:rPr>
                      <w:b/>
                      <w:bCs/>
                      <w:sz w:val="21"/>
                      <w:szCs w:val="21"/>
                    </w:rPr>
                  </w:pPr>
                  <w:r>
                    <w:rPr>
                      <w:b/>
                      <w:bCs/>
                      <w:kern w:val="0"/>
                      <w:sz w:val="21"/>
                      <w:szCs w:val="21"/>
                      <w:lang w:bidi="ar"/>
                    </w:rPr>
                    <w:t>处理措施及处理去向</w:t>
                  </w:r>
                </w:p>
              </w:tc>
            </w:tr>
            <w:tr w14:paraId="127DBA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630" w:type="pct"/>
                  <w:noWrap w:val="0"/>
                  <w:vAlign w:val="center"/>
                </w:tcPr>
                <w:p w14:paraId="69263C98">
                  <w:pPr>
                    <w:widowControl/>
                    <w:spacing w:line="240" w:lineRule="auto"/>
                    <w:jc w:val="center"/>
                    <w:textAlignment w:val="center"/>
                    <w:rPr>
                      <w:sz w:val="21"/>
                      <w:szCs w:val="21"/>
                    </w:rPr>
                  </w:pPr>
                  <w:r>
                    <w:rPr>
                      <w:kern w:val="0"/>
                      <w:sz w:val="21"/>
                      <w:szCs w:val="21"/>
                      <w:lang w:bidi="ar"/>
                    </w:rPr>
                    <w:t>生活垃圾</w:t>
                  </w:r>
                </w:p>
              </w:tc>
              <w:tc>
                <w:tcPr>
                  <w:tcW w:w="653" w:type="pct"/>
                  <w:noWrap w:val="0"/>
                  <w:vAlign w:val="center"/>
                </w:tcPr>
                <w:p w14:paraId="2B7EF7C2">
                  <w:pPr>
                    <w:widowControl/>
                    <w:spacing w:line="240" w:lineRule="auto"/>
                    <w:jc w:val="center"/>
                    <w:textAlignment w:val="center"/>
                    <w:rPr>
                      <w:sz w:val="21"/>
                      <w:szCs w:val="21"/>
                    </w:rPr>
                  </w:pPr>
                  <w:r>
                    <w:rPr>
                      <w:rFonts w:hint="eastAsia"/>
                      <w:kern w:val="0"/>
                      <w:sz w:val="21"/>
                      <w:szCs w:val="21"/>
                      <w:lang w:val="en-US" w:eastAsia="zh-CN" w:bidi="ar"/>
                    </w:rPr>
                    <w:t>4.8</w:t>
                  </w:r>
                  <w:r>
                    <w:rPr>
                      <w:kern w:val="0"/>
                      <w:sz w:val="21"/>
                      <w:szCs w:val="21"/>
                      <w:lang w:bidi="ar"/>
                    </w:rPr>
                    <w:t>t/a</w:t>
                  </w:r>
                </w:p>
              </w:tc>
              <w:tc>
                <w:tcPr>
                  <w:tcW w:w="716" w:type="pct"/>
                  <w:noWrap w:val="0"/>
                  <w:vAlign w:val="center"/>
                </w:tcPr>
                <w:p w14:paraId="3FA68700">
                  <w:pPr>
                    <w:widowControl/>
                    <w:spacing w:line="240" w:lineRule="auto"/>
                    <w:jc w:val="center"/>
                    <w:textAlignment w:val="center"/>
                    <w:rPr>
                      <w:sz w:val="21"/>
                      <w:szCs w:val="21"/>
                    </w:rPr>
                  </w:pPr>
                  <w:r>
                    <w:rPr>
                      <w:kern w:val="0"/>
                      <w:sz w:val="21"/>
                      <w:szCs w:val="21"/>
                      <w:lang w:bidi="ar"/>
                    </w:rPr>
                    <w:t>一般固废</w:t>
                  </w:r>
                </w:p>
              </w:tc>
              <w:tc>
                <w:tcPr>
                  <w:tcW w:w="438" w:type="pct"/>
                  <w:noWrap w:val="0"/>
                  <w:vAlign w:val="center"/>
                </w:tcPr>
                <w:p w14:paraId="04AABD99">
                  <w:pPr>
                    <w:widowControl/>
                    <w:spacing w:line="240" w:lineRule="auto"/>
                    <w:jc w:val="center"/>
                    <w:textAlignment w:val="center"/>
                    <w:rPr>
                      <w:sz w:val="21"/>
                      <w:szCs w:val="21"/>
                    </w:rPr>
                  </w:pPr>
                  <w:r>
                    <w:rPr>
                      <w:kern w:val="0"/>
                      <w:sz w:val="21"/>
                      <w:szCs w:val="21"/>
                      <w:lang w:bidi="ar"/>
                    </w:rPr>
                    <w:t>/</w:t>
                  </w:r>
                </w:p>
              </w:tc>
              <w:tc>
                <w:tcPr>
                  <w:tcW w:w="336" w:type="pct"/>
                  <w:noWrap w:val="0"/>
                  <w:vAlign w:val="center"/>
                </w:tcPr>
                <w:p w14:paraId="51FFDE7D">
                  <w:pPr>
                    <w:widowControl/>
                    <w:spacing w:line="240" w:lineRule="auto"/>
                    <w:jc w:val="center"/>
                    <w:textAlignment w:val="center"/>
                    <w:rPr>
                      <w:sz w:val="21"/>
                      <w:szCs w:val="21"/>
                    </w:rPr>
                  </w:pPr>
                  <w:r>
                    <w:rPr>
                      <w:kern w:val="0"/>
                      <w:sz w:val="21"/>
                      <w:szCs w:val="21"/>
                      <w:lang w:bidi="ar"/>
                    </w:rPr>
                    <w:t>固体</w:t>
                  </w:r>
                </w:p>
              </w:tc>
              <w:tc>
                <w:tcPr>
                  <w:tcW w:w="315" w:type="pct"/>
                  <w:noWrap w:val="0"/>
                  <w:vAlign w:val="center"/>
                </w:tcPr>
                <w:p w14:paraId="2F702413">
                  <w:pPr>
                    <w:widowControl/>
                    <w:spacing w:line="240" w:lineRule="auto"/>
                    <w:jc w:val="center"/>
                    <w:textAlignment w:val="center"/>
                    <w:rPr>
                      <w:sz w:val="21"/>
                      <w:szCs w:val="21"/>
                    </w:rPr>
                  </w:pPr>
                  <w:r>
                    <w:rPr>
                      <w:kern w:val="0"/>
                      <w:sz w:val="21"/>
                      <w:szCs w:val="21"/>
                      <w:lang w:bidi="ar"/>
                    </w:rPr>
                    <w:t>/</w:t>
                  </w:r>
                </w:p>
              </w:tc>
              <w:tc>
                <w:tcPr>
                  <w:tcW w:w="650" w:type="pct"/>
                  <w:noWrap w:val="0"/>
                  <w:vAlign w:val="center"/>
                </w:tcPr>
                <w:p w14:paraId="6BA0E290">
                  <w:pPr>
                    <w:widowControl/>
                    <w:spacing w:line="240" w:lineRule="auto"/>
                    <w:jc w:val="center"/>
                    <w:textAlignment w:val="center"/>
                    <w:rPr>
                      <w:sz w:val="21"/>
                      <w:szCs w:val="21"/>
                    </w:rPr>
                  </w:pPr>
                  <w:r>
                    <w:rPr>
                      <w:kern w:val="0"/>
                      <w:sz w:val="21"/>
                      <w:szCs w:val="21"/>
                      <w:lang w:bidi="ar"/>
                    </w:rPr>
                    <w:t>一般固废暂存间暂存</w:t>
                  </w:r>
                </w:p>
              </w:tc>
              <w:tc>
                <w:tcPr>
                  <w:tcW w:w="654" w:type="pct"/>
                  <w:noWrap w:val="0"/>
                  <w:vAlign w:val="center"/>
                </w:tcPr>
                <w:p w14:paraId="0DB77215">
                  <w:pPr>
                    <w:widowControl/>
                    <w:spacing w:line="240" w:lineRule="auto"/>
                    <w:jc w:val="center"/>
                    <w:textAlignment w:val="center"/>
                    <w:rPr>
                      <w:kern w:val="0"/>
                      <w:sz w:val="21"/>
                      <w:szCs w:val="21"/>
                      <w:lang w:bidi="ar"/>
                    </w:rPr>
                  </w:pPr>
                  <w:r>
                    <w:rPr>
                      <w:rFonts w:hint="eastAsia"/>
                      <w:kern w:val="0"/>
                      <w:sz w:val="21"/>
                      <w:szCs w:val="21"/>
                      <w:lang w:val="en-US" w:eastAsia="zh-CN" w:bidi="ar"/>
                    </w:rPr>
                    <w:t>4.8</w:t>
                  </w:r>
                  <w:r>
                    <w:rPr>
                      <w:kern w:val="0"/>
                      <w:sz w:val="21"/>
                      <w:szCs w:val="21"/>
                      <w:lang w:bidi="ar"/>
                    </w:rPr>
                    <w:t>t/a</w:t>
                  </w:r>
                </w:p>
              </w:tc>
              <w:tc>
                <w:tcPr>
                  <w:tcW w:w="604" w:type="pct"/>
                  <w:noWrap w:val="0"/>
                  <w:vAlign w:val="center"/>
                </w:tcPr>
                <w:p w14:paraId="738E2BD1">
                  <w:pPr>
                    <w:widowControl/>
                    <w:spacing w:line="240" w:lineRule="auto"/>
                    <w:jc w:val="center"/>
                    <w:textAlignment w:val="center"/>
                    <w:rPr>
                      <w:sz w:val="21"/>
                      <w:szCs w:val="21"/>
                    </w:rPr>
                  </w:pPr>
                  <w:r>
                    <w:rPr>
                      <w:kern w:val="0"/>
                      <w:sz w:val="21"/>
                      <w:szCs w:val="21"/>
                      <w:lang w:bidi="ar"/>
                    </w:rPr>
                    <w:t>交由蓬溪环卫部门处置</w:t>
                  </w:r>
                </w:p>
              </w:tc>
            </w:tr>
            <w:tr w14:paraId="3B30C0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58" w:hRule="atLeast"/>
                <w:jc w:val="center"/>
              </w:trPr>
              <w:tc>
                <w:tcPr>
                  <w:tcW w:w="630" w:type="pct"/>
                  <w:noWrap w:val="0"/>
                  <w:vAlign w:val="center"/>
                </w:tcPr>
                <w:p w14:paraId="32C3A1EE">
                  <w:pPr>
                    <w:widowControl/>
                    <w:spacing w:line="240" w:lineRule="auto"/>
                    <w:jc w:val="center"/>
                    <w:textAlignment w:val="center"/>
                    <w:rPr>
                      <w:rFonts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边角料及不良品</w:t>
                  </w:r>
                </w:p>
              </w:tc>
              <w:tc>
                <w:tcPr>
                  <w:tcW w:w="653" w:type="pct"/>
                  <w:noWrap w:val="0"/>
                  <w:vAlign w:val="center"/>
                </w:tcPr>
                <w:p w14:paraId="24A51B2B">
                  <w:pPr>
                    <w:widowControl/>
                    <w:spacing w:line="240" w:lineRule="auto"/>
                    <w:jc w:val="center"/>
                    <w:textAlignment w:val="center"/>
                    <w:rPr>
                      <w:sz w:val="21"/>
                      <w:szCs w:val="21"/>
                    </w:rPr>
                  </w:pPr>
                  <w:r>
                    <w:rPr>
                      <w:rFonts w:hint="eastAsia"/>
                      <w:kern w:val="0"/>
                      <w:sz w:val="21"/>
                      <w:szCs w:val="21"/>
                      <w:lang w:val="en-US" w:eastAsia="zh-CN" w:bidi="ar"/>
                    </w:rPr>
                    <w:t>0.25</w:t>
                  </w:r>
                  <w:r>
                    <w:rPr>
                      <w:kern w:val="0"/>
                      <w:sz w:val="21"/>
                      <w:szCs w:val="21"/>
                      <w:lang w:bidi="ar"/>
                    </w:rPr>
                    <w:t>t/a</w:t>
                  </w:r>
                </w:p>
              </w:tc>
              <w:tc>
                <w:tcPr>
                  <w:tcW w:w="716" w:type="pct"/>
                  <w:noWrap w:val="0"/>
                  <w:vAlign w:val="center"/>
                </w:tcPr>
                <w:p w14:paraId="5F3D2743">
                  <w:pPr>
                    <w:widowControl/>
                    <w:spacing w:line="240" w:lineRule="auto"/>
                    <w:jc w:val="center"/>
                    <w:textAlignment w:val="center"/>
                    <w:rPr>
                      <w:sz w:val="21"/>
                      <w:szCs w:val="21"/>
                    </w:rPr>
                  </w:pPr>
                  <w:r>
                    <w:rPr>
                      <w:kern w:val="0"/>
                      <w:sz w:val="21"/>
                      <w:szCs w:val="21"/>
                      <w:lang w:bidi="ar"/>
                    </w:rPr>
                    <w:t>一般固废</w:t>
                  </w:r>
                </w:p>
              </w:tc>
              <w:tc>
                <w:tcPr>
                  <w:tcW w:w="438" w:type="pct"/>
                  <w:noWrap w:val="0"/>
                  <w:vAlign w:val="center"/>
                </w:tcPr>
                <w:p w14:paraId="0549B716">
                  <w:pPr>
                    <w:widowControl/>
                    <w:spacing w:line="240" w:lineRule="auto"/>
                    <w:jc w:val="center"/>
                    <w:textAlignment w:val="center"/>
                    <w:rPr>
                      <w:sz w:val="21"/>
                      <w:szCs w:val="21"/>
                    </w:rPr>
                  </w:pPr>
                  <w:r>
                    <w:rPr>
                      <w:kern w:val="0"/>
                      <w:sz w:val="21"/>
                      <w:szCs w:val="21"/>
                      <w:lang w:bidi="ar"/>
                    </w:rPr>
                    <w:t>/</w:t>
                  </w:r>
                </w:p>
              </w:tc>
              <w:tc>
                <w:tcPr>
                  <w:tcW w:w="336" w:type="pct"/>
                  <w:noWrap w:val="0"/>
                  <w:vAlign w:val="center"/>
                </w:tcPr>
                <w:p w14:paraId="24366734">
                  <w:pPr>
                    <w:widowControl/>
                    <w:spacing w:line="240" w:lineRule="auto"/>
                    <w:jc w:val="center"/>
                    <w:textAlignment w:val="center"/>
                    <w:rPr>
                      <w:sz w:val="21"/>
                      <w:szCs w:val="21"/>
                    </w:rPr>
                  </w:pPr>
                  <w:r>
                    <w:rPr>
                      <w:kern w:val="0"/>
                      <w:sz w:val="21"/>
                      <w:szCs w:val="21"/>
                      <w:lang w:bidi="ar"/>
                    </w:rPr>
                    <w:t>固体</w:t>
                  </w:r>
                </w:p>
              </w:tc>
              <w:tc>
                <w:tcPr>
                  <w:tcW w:w="315" w:type="pct"/>
                  <w:noWrap w:val="0"/>
                  <w:vAlign w:val="center"/>
                </w:tcPr>
                <w:p w14:paraId="7BC2DEE2">
                  <w:pPr>
                    <w:widowControl/>
                    <w:spacing w:line="240" w:lineRule="auto"/>
                    <w:jc w:val="center"/>
                    <w:textAlignment w:val="center"/>
                    <w:rPr>
                      <w:sz w:val="21"/>
                      <w:szCs w:val="21"/>
                    </w:rPr>
                  </w:pPr>
                  <w:r>
                    <w:rPr>
                      <w:kern w:val="0"/>
                      <w:sz w:val="21"/>
                      <w:szCs w:val="21"/>
                      <w:lang w:bidi="ar"/>
                    </w:rPr>
                    <w:t>/</w:t>
                  </w:r>
                </w:p>
              </w:tc>
              <w:tc>
                <w:tcPr>
                  <w:tcW w:w="650" w:type="pct"/>
                  <w:noWrap w:val="0"/>
                  <w:vAlign w:val="center"/>
                </w:tcPr>
                <w:p w14:paraId="61B0E4F5">
                  <w:pPr>
                    <w:widowControl/>
                    <w:spacing w:line="240" w:lineRule="auto"/>
                    <w:jc w:val="center"/>
                    <w:textAlignment w:val="center"/>
                    <w:rPr>
                      <w:sz w:val="21"/>
                      <w:szCs w:val="21"/>
                    </w:rPr>
                  </w:pPr>
                  <w:r>
                    <w:rPr>
                      <w:kern w:val="0"/>
                      <w:sz w:val="21"/>
                      <w:szCs w:val="21"/>
                      <w:lang w:bidi="ar"/>
                    </w:rPr>
                    <w:t>一般固废暂存间暂存</w:t>
                  </w:r>
                </w:p>
              </w:tc>
              <w:tc>
                <w:tcPr>
                  <w:tcW w:w="654" w:type="pct"/>
                  <w:noWrap w:val="0"/>
                  <w:vAlign w:val="center"/>
                </w:tcPr>
                <w:p w14:paraId="47B94F9A">
                  <w:pPr>
                    <w:widowControl/>
                    <w:spacing w:line="240" w:lineRule="auto"/>
                    <w:jc w:val="center"/>
                    <w:textAlignment w:val="center"/>
                    <w:rPr>
                      <w:kern w:val="0"/>
                      <w:sz w:val="21"/>
                      <w:szCs w:val="21"/>
                      <w:lang w:bidi="ar"/>
                    </w:rPr>
                  </w:pPr>
                  <w:r>
                    <w:rPr>
                      <w:rFonts w:hint="eastAsia"/>
                      <w:kern w:val="0"/>
                      <w:sz w:val="21"/>
                      <w:szCs w:val="21"/>
                      <w:lang w:val="en-US" w:eastAsia="zh-CN" w:bidi="ar"/>
                    </w:rPr>
                    <w:t>0.25</w:t>
                  </w:r>
                  <w:r>
                    <w:rPr>
                      <w:kern w:val="0"/>
                      <w:sz w:val="21"/>
                      <w:szCs w:val="21"/>
                      <w:lang w:bidi="ar"/>
                    </w:rPr>
                    <w:t>t/a</w:t>
                  </w:r>
                </w:p>
              </w:tc>
              <w:tc>
                <w:tcPr>
                  <w:tcW w:w="604" w:type="pct"/>
                  <w:noWrap w:val="0"/>
                  <w:vAlign w:val="center"/>
                </w:tcPr>
                <w:p w14:paraId="5A806928">
                  <w:pPr>
                    <w:widowControl/>
                    <w:spacing w:line="240" w:lineRule="auto"/>
                    <w:jc w:val="center"/>
                    <w:textAlignment w:val="center"/>
                    <w:rPr>
                      <w:rFonts w:hint="default" w:eastAsia="宋体"/>
                      <w:sz w:val="21"/>
                      <w:szCs w:val="21"/>
                      <w:lang w:val="en-US" w:eastAsia="zh-CN"/>
                    </w:rPr>
                  </w:pPr>
                  <w:r>
                    <w:rPr>
                      <w:rFonts w:hint="eastAsia"/>
                      <w:kern w:val="0"/>
                      <w:sz w:val="21"/>
                      <w:szCs w:val="21"/>
                      <w:lang w:val="en-US" w:eastAsia="zh-CN" w:bidi="ar"/>
                    </w:rPr>
                    <w:t>破碎后生产回用</w:t>
                  </w:r>
                </w:p>
              </w:tc>
            </w:tr>
            <w:tr w14:paraId="504BBF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1" w:hRule="atLeast"/>
                <w:jc w:val="center"/>
              </w:trPr>
              <w:tc>
                <w:tcPr>
                  <w:tcW w:w="630" w:type="pct"/>
                  <w:noWrap w:val="0"/>
                  <w:vAlign w:val="center"/>
                </w:tcPr>
                <w:p w14:paraId="5DE6C9C5">
                  <w:pPr>
                    <w:widowControl/>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除尘器粉尘</w:t>
                  </w:r>
                </w:p>
              </w:tc>
              <w:tc>
                <w:tcPr>
                  <w:tcW w:w="653" w:type="pct"/>
                  <w:noWrap w:val="0"/>
                  <w:vAlign w:val="center"/>
                </w:tcPr>
                <w:p w14:paraId="3AB0A123">
                  <w:pPr>
                    <w:widowControl/>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eastAsia"/>
                      <w:color w:val="auto"/>
                      <w:sz w:val="21"/>
                      <w:szCs w:val="21"/>
                      <w:lang w:val="en-US" w:eastAsia="zh-CN"/>
                    </w:rPr>
                    <w:t>0.0956kg/a</w:t>
                  </w:r>
                </w:p>
              </w:tc>
              <w:tc>
                <w:tcPr>
                  <w:tcW w:w="716" w:type="pct"/>
                  <w:noWrap w:val="0"/>
                  <w:vAlign w:val="center"/>
                </w:tcPr>
                <w:p w14:paraId="740B9E3C">
                  <w:pPr>
                    <w:widowControl/>
                    <w:spacing w:line="240" w:lineRule="auto"/>
                    <w:jc w:val="center"/>
                    <w:textAlignment w:val="center"/>
                    <w:rPr>
                      <w:kern w:val="0"/>
                      <w:sz w:val="21"/>
                      <w:szCs w:val="21"/>
                      <w:lang w:bidi="ar"/>
                    </w:rPr>
                  </w:pPr>
                  <w:r>
                    <w:rPr>
                      <w:kern w:val="0"/>
                      <w:sz w:val="21"/>
                      <w:szCs w:val="21"/>
                      <w:lang w:bidi="ar"/>
                    </w:rPr>
                    <w:t>一般固废</w:t>
                  </w:r>
                </w:p>
              </w:tc>
              <w:tc>
                <w:tcPr>
                  <w:tcW w:w="438" w:type="pct"/>
                  <w:noWrap w:val="0"/>
                  <w:vAlign w:val="center"/>
                </w:tcPr>
                <w:p w14:paraId="4CA33BED">
                  <w:pPr>
                    <w:widowControl/>
                    <w:spacing w:line="240" w:lineRule="auto"/>
                    <w:jc w:val="center"/>
                    <w:textAlignment w:val="center"/>
                    <w:rPr>
                      <w:kern w:val="0"/>
                      <w:sz w:val="21"/>
                      <w:szCs w:val="21"/>
                      <w:lang w:bidi="ar"/>
                    </w:rPr>
                  </w:pPr>
                  <w:r>
                    <w:rPr>
                      <w:kern w:val="0"/>
                      <w:sz w:val="21"/>
                      <w:szCs w:val="21"/>
                      <w:lang w:bidi="ar"/>
                    </w:rPr>
                    <w:t>/</w:t>
                  </w:r>
                </w:p>
              </w:tc>
              <w:tc>
                <w:tcPr>
                  <w:tcW w:w="336" w:type="pct"/>
                  <w:noWrap w:val="0"/>
                  <w:vAlign w:val="center"/>
                </w:tcPr>
                <w:p w14:paraId="09D3E1E7">
                  <w:pPr>
                    <w:widowControl/>
                    <w:spacing w:line="240" w:lineRule="auto"/>
                    <w:jc w:val="center"/>
                    <w:textAlignment w:val="center"/>
                    <w:rPr>
                      <w:kern w:val="0"/>
                      <w:sz w:val="21"/>
                      <w:szCs w:val="21"/>
                      <w:lang w:bidi="ar"/>
                    </w:rPr>
                  </w:pPr>
                  <w:r>
                    <w:rPr>
                      <w:kern w:val="0"/>
                      <w:sz w:val="21"/>
                      <w:szCs w:val="21"/>
                      <w:lang w:bidi="ar"/>
                    </w:rPr>
                    <w:t>固体</w:t>
                  </w:r>
                </w:p>
              </w:tc>
              <w:tc>
                <w:tcPr>
                  <w:tcW w:w="315" w:type="pct"/>
                  <w:noWrap w:val="0"/>
                  <w:vAlign w:val="center"/>
                </w:tcPr>
                <w:p w14:paraId="1D75B5BB">
                  <w:pPr>
                    <w:widowControl/>
                    <w:spacing w:line="240" w:lineRule="auto"/>
                    <w:jc w:val="center"/>
                    <w:textAlignment w:val="center"/>
                    <w:rPr>
                      <w:kern w:val="0"/>
                      <w:sz w:val="21"/>
                      <w:szCs w:val="21"/>
                      <w:lang w:bidi="ar"/>
                    </w:rPr>
                  </w:pPr>
                  <w:r>
                    <w:rPr>
                      <w:kern w:val="0"/>
                      <w:sz w:val="21"/>
                      <w:szCs w:val="21"/>
                      <w:lang w:bidi="ar"/>
                    </w:rPr>
                    <w:t>/</w:t>
                  </w:r>
                </w:p>
              </w:tc>
              <w:tc>
                <w:tcPr>
                  <w:tcW w:w="650" w:type="pct"/>
                  <w:noWrap w:val="0"/>
                  <w:vAlign w:val="center"/>
                </w:tcPr>
                <w:p w14:paraId="4C1E3799">
                  <w:pPr>
                    <w:widowControl/>
                    <w:spacing w:line="240" w:lineRule="auto"/>
                    <w:jc w:val="center"/>
                    <w:textAlignment w:val="center"/>
                    <w:rPr>
                      <w:kern w:val="0"/>
                      <w:sz w:val="21"/>
                      <w:szCs w:val="21"/>
                      <w:lang w:bidi="ar"/>
                    </w:rPr>
                  </w:pPr>
                  <w:r>
                    <w:rPr>
                      <w:kern w:val="0"/>
                      <w:sz w:val="21"/>
                      <w:szCs w:val="21"/>
                      <w:lang w:bidi="ar"/>
                    </w:rPr>
                    <w:t>一般固废暂存间暂存</w:t>
                  </w:r>
                </w:p>
              </w:tc>
              <w:tc>
                <w:tcPr>
                  <w:tcW w:w="654" w:type="pct"/>
                  <w:noWrap w:val="0"/>
                  <w:vAlign w:val="center"/>
                </w:tcPr>
                <w:p w14:paraId="79219835">
                  <w:pPr>
                    <w:widowControl/>
                    <w:spacing w:line="240" w:lineRule="auto"/>
                    <w:jc w:val="center"/>
                    <w:textAlignment w:val="center"/>
                    <w:rPr>
                      <w:rFonts w:hint="eastAsia"/>
                      <w:kern w:val="0"/>
                      <w:sz w:val="21"/>
                      <w:szCs w:val="21"/>
                      <w:lang w:bidi="ar"/>
                    </w:rPr>
                  </w:pPr>
                  <w:r>
                    <w:rPr>
                      <w:rFonts w:hint="eastAsia"/>
                      <w:color w:val="auto"/>
                      <w:sz w:val="21"/>
                      <w:szCs w:val="21"/>
                      <w:lang w:val="en-US" w:eastAsia="zh-CN"/>
                    </w:rPr>
                    <w:t>0.0956kg/a</w:t>
                  </w:r>
                </w:p>
              </w:tc>
              <w:tc>
                <w:tcPr>
                  <w:tcW w:w="604" w:type="pct"/>
                  <w:noWrap w:val="0"/>
                  <w:vAlign w:val="center"/>
                </w:tcPr>
                <w:p w14:paraId="3746B316">
                  <w:pPr>
                    <w:widowControl/>
                    <w:spacing w:line="240" w:lineRule="auto"/>
                    <w:jc w:val="center"/>
                    <w:textAlignment w:val="center"/>
                    <w:rPr>
                      <w:kern w:val="0"/>
                      <w:sz w:val="21"/>
                      <w:szCs w:val="21"/>
                      <w:lang w:bidi="ar"/>
                    </w:rPr>
                  </w:pPr>
                  <w:r>
                    <w:rPr>
                      <w:rFonts w:hint="eastAsia"/>
                      <w:kern w:val="0"/>
                      <w:sz w:val="21"/>
                      <w:szCs w:val="21"/>
                      <w:lang w:val="en-US" w:eastAsia="zh-CN" w:bidi="ar"/>
                    </w:rPr>
                    <w:t>生产回用</w:t>
                  </w:r>
                </w:p>
              </w:tc>
            </w:tr>
            <w:tr w14:paraId="257169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67" w:hRule="atLeast"/>
                <w:jc w:val="center"/>
              </w:trPr>
              <w:tc>
                <w:tcPr>
                  <w:tcW w:w="630" w:type="pct"/>
                  <w:noWrap w:val="0"/>
                  <w:vAlign w:val="center"/>
                </w:tcPr>
                <w:p w14:paraId="1D74418B">
                  <w:pPr>
                    <w:widowControl/>
                    <w:spacing w:line="240" w:lineRule="auto"/>
                    <w:jc w:val="center"/>
                    <w:textAlignment w:val="center"/>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废包装物</w:t>
                  </w:r>
                </w:p>
              </w:tc>
              <w:tc>
                <w:tcPr>
                  <w:tcW w:w="653" w:type="pct"/>
                  <w:noWrap w:val="0"/>
                  <w:vAlign w:val="center"/>
                </w:tcPr>
                <w:p w14:paraId="6E3EF49F">
                  <w:pPr>
                    <w:widowControl/>
                    <w:spacing w:line="240" w:lineRule="auto"/>
                    <w:jc w:val="center"/>
                    <w:textAlignment w:val="center"/>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0.</w:t>
                  </w:r>
                  <w:r>
                    <w:rPr>
                      <w:rFonts w:hint="eastAsia" w:ascii="Times New Roman" w:hAnsi="Times New Roman" w:eastAsia="宋体" w:cs="Times New Roman"/>
                      <w:kern w:val="0"/>
                      <w:sz w:val="21"/>
                      <w:szCs w:val="21"/>
                      <w:lang w:val="en-US" w:eastAsia="zh-CN" w:bidi="ar"/>
                    </w:rPr>
                    <w:t>2</w:t>
                  </w:r>
                  <w:r>
                    <w:rPr>
                      <w:rFonts w:ascii="Times New Roman" w:hAnsi="Times New Roman" w:eastAsia="宋体" w:cs="Times New Roman"/>
                      <w:kern w:val="0"/>
                      <w:sz w:val="21"/>
                      <w:szCs w:val="21"/>
                      <w:lang w:bidi="ar"/>
                    </w:rPr>
                    <w:t>t/a</w:t>
                  </w:r>
                </w:p>
              </w:tc>
              <w:tc>
                <w:tcPr>
                  <w:tcW w:w="716" w:type="pct"/>
                  <w:noWrap w:val="0"/>
                  <w:vAlign w:val="center"/>
                </w:tcPr>
                <w:p w14:paraId="2DE2F89E">
                  <w:pPr>
                    <w:widowControl/>
                    <w:spacing w:line="240" w:lineRule="auto"/>
                    <w:jc w:val="center"/>
                    <w:textAlignment w:val="center"/>
                    <w:rPr>
                      <w:sz w:val="21"/>
                      <w:szCs w:val="21"/>
                    </w:rPr>
                  </w:pPr>
                  <w:r>
                    <w:rPr>
                      <w:kern w:val="0"/>
                      <w:sz w:val="21"/>
                      <w:szCs w:val="21"/>
                      <w:lang w:bidi="ar"/>
                    </w:rPr>
                    <w:t>一般固废</w:t>
                  </w:r>
                </w:p>
              </w:tc>
              <w:tc>
                <w:tcPr>
                  <w:tcW w:w="438" w:type="pct"/>
                  <w:noWrap w:val="0"/>
                  <w:vAlign w:val="center"/>
                </w:tcPr>
                <w:p w14:paraId="1E9BD8E5">
                  <w:pPr>
                    <w:widowControl/>
                    <w:spacing w:line="240" w:lineRule="auto"/>
                    <w:jc w:val="center"/>
                    <w:textAlignment w:val="center"/>
                    <w:rPr>
                      <w:sz w:val="21"/>
                      <w:szCs w:val="21"/>
                    </w:rPr>
                  </w:pPr>
                  <w:r>
                    <w:rPr>
                      <w:kern w:val="0"/>
                      <w:sz w:val="21"/>
                      <w:szCs w:val="21"/>
                      <w:lang w:bidi="ar"/>
                    </w:rPr>
                    <w:t>/</w:t>
                  </w:r>
                </w:p>
              </w:tc>
              <w:tc>
                <w:tcPr>
                  <w:tcW w:w="336" w:type="pct"/>
                  <w:noWrap w:val="0"/>
                  <w:vAlign w:val="center"/>
                </w:tcPr>
                <w:p w14:paraId="77587868">
                  <w:pPr>
                    <w:widowControl/>
                    <w:spacing w:line="240" w:lineRule="auto"/>
                    <w:jc w:val="center"/>
                    <w:textAlignment w:val="center"/>
                    <w:rPr>
                      <w:sz w:val="21"/>
                      <w:szCs w:val="21"/>
                    </w:rPr>
                  </w:pPr>
                  <w:r>
                    <w:rPr>
                      <w:kern w:val="0"/>
                      <w:sz w:val="21"/>
                      <w:szCs w:val="21"/>
                      <w:lang w:bidi="ar"/>
                    </w:rPr>
                    <w:t>固体</w:t>
                  </w:r>
                </w:p>
              </w:tc>
              <w:tc>
                <w:tcPr>
                  <w:tcW w:w="315" w:type="pct"/>
                  <w:noWrap w:val="0"/>
                  <w:vAlign w:val="center"/>
                </w:tcPr>
                <w:p w14:paraId="1C1F5A07">
                  <w:pPr>
                    <w:widowControl/>
                    <w:spacing w:line="240" w:lineRule="auto"/>
                    <w:jc w:val="center"/>
                    <w:textAlignment w:val="center"/>
                    <w:rPr>
                      <w:sz w:val="21"/>
                      <w:szCs w:val="21"/>
                    </w:rPr>
                  </w:pPr>
                  <w:r>
                    <w:rPr>
                      <w:kern w:val="0"/>
                      <w:sz w:val="21"/>
                      <w:szCs w:val="21"/>
                      <w:lang w:bidi="ar"/>
                    </w:rPr>
                    <w:t>/</w:t>
                  </w:r>
                </w:p>
              </w:tc>
              <w:tc>
                <w:tcPr>
                  <w:tcW w:w="650" w:type="pct"/>
                  <w:noWrap w:val="0"/>
                  <w:vAlign w:val="center"/>
                </w:tcPr>
                <w:p w14:paraId="5EBE3257">
                  <w:pPr>
                    <w:widowControl/>
                    <w:spacing w:line="240" w:lineRule="auto"/>
                    <w:jc w:val="center"/>
                    <w:textAlignment w:val="center"/>
                    <w:rPr>
                      <w:sz w:val="21"/>
                      <w:szCs w:val="21"/>
                    </w:rPr>
                  </w:pPr>
                  <w:r>
                    <w:rPr>
                      <w:kern w:val="0"/>
                      <w:sz w:val="21"/>
                      <w:szCs w:val="21"/>
                      <w:lang w:bidi="ar"/>
                    </w:rPr>
                    <w:t>一般固废暂存间暂存</w:t>
                  </w:r>
                </w:p>
              </w:tc>
              <w:tc>
                <w:tcPr>
                  <w:tcW w:w="654" w:type="pct"/>
                  <w:noWrap w:val="0"/>
                  <w:vAlign w:val="center"/>
                </w:tcPr>
                <w:p w14:paraId="551C198C">
                  <w:pPr>
                    <w:widowControl/>
                    <w:spacing w:line="240" w:lineRule="auto"/>
                    <w:jc w:val="center"/>
                    <w:textAlignment w:val="center"/>
                    <w:rPr>
                      <w:kern w:val="0"/>
                      <w:sz w:val="21"/>
                      <w:szCs w:val="21"/>
                      <w:lang w:bidi="ar"/>
                    </w:rPr>
                  </w:pPr>
                  <w:r>
                    <w:rPr>
                      <w:rFonts w:ascii="Times New Roman" w:hAnsi="Times New Roman" w:eastAsia="宋体" w:cs="Times New Roman"/>
                      <w:kern w:val="0"/>
                      <w:sz w:val="21"/>
                      <w:szCs w:val="21"/>
                      <w:lang w:bidi="ar"/>
                    </w:rPr>
                    <w:t>0.</w:t>
                  </w:r>
                  <w:r>
                    <w:rPr>
                      <w:rFonts w:hint="eastAsia" w:ascii="Times New Roman" w:hAnsi="Times New Roman" w:eastAsia="宋体" w:cs="Times New Roman"/>
                      <w:kern w:val="0"/>
                      <w:sz w:val="21"/>
                      <w:szCs w:val="21"/>
                      <w:lang w:val="en-US" w:eastAsia="zh-CN" w:bidi="ar"/>
                    </w:rPr>
                    <w:t>1</w:t>
                  </w:r>
                  <w:r>
                    <w:rPr>
                      <w:rFonts w:ascii="Times New Roman" w:hAnsi="Times New Roman" w:eastAsia="宋体" w:cs="Times New Roman"/>
                      <w:kern w:val="0"/>
                      <w:sz w:val="21"/>
                      <w:szCs w:val="21"/>
                      <w:lang w:bidi="ar"/>
                    </w:rPr>
                    <w:t>t/a</w:t>
                  </w:r>
                </w:p>
              </w:tc>
              <w:tc>
                <w:tcPr>
                  <w:tcW w:w="604" w:type="pct"/>
                  <w:noWrap w:val="0"/>
                  <w:vAlign w:val="center"/>
                </w:tcPr>
                <w:p w14:paraId="0A8F3DEC">
                  <w:pPr>
                    <w:widowControl/>
                    <w:spacing w:line="240" w:lineRule="auto"/>
                    <w:jc w:val="center"/>
                    <w:textAlignment w:val="center"/>
                    <w:rPr>
                      <w:sz w:val="21"/>
                      <w:szCs w:val="21"/>
                    </w:rPr>
                  </w:pPr>
                  <w:r>
                    <w:rPr>
                      <w:kern w:val="0"/>
                      <w:sz w:val="21"/>
                      <w:szCs w:val="21"/>
                      <w:lang w:bidi="ar"/>
                    </w:rPr>
                    <w:t>收集后统一出售给资源回收部门</w:t>
                  </w:r>
                </w:p>
              </w:tc>
            </w:tr>
            <w:tr w14:paraId="5606B7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630" w:type="pct"/>
                  <w:noWrap w:val="0"/>
                  <w:vAlign w:val="center"/>
                </w:tcPr>
                <w:p w14:paraId="2B7937DD">
                  <w:pPr>
                    <w:widowControl/>
                    <w:spacing w:line="240" w:lineRule="auto"/>
                    <w:jc w:val="center"/>
                    <w:textAlignment w:val="center"/>
                    <w:rPr>
                      <w:sz w:val="21"/>
                      <w:szCs w:val="21"/>
                    </w:rPr>
                  </w:pPr>
                  <w:r>
                    <w:rPr>
                      <w:kern w:val="0"/>
                      <w:sz w:val="21"/>
                      <w:szCs w:val="21"/>
                      <w:lang w:bidi="ar"/>
                    </w:rPr>
                    <w:t>废</w:t>
                  </w:r>
                  <w:r>
                    <w:rPr>
                      <w:rFonts w:hint="eastAsia"/>
                      <w:kern w:val="0"/>
                      <w:sz w:val="21"/>
                      <w:szCs w:val="21"/>
                      <w:lang w:val="en-US" w:eastAsia="zh-CN" w:bidi="ar"/>
                    </w:rPr>
                    <w:t>机</w:t>
                  </w:r>
                  <w:r>
                    <w:rPr>
                      <w:kern w:val="0"/>
                      <w:sz w:val="21"/>
                      <w:szCs w:val="21"/>
                      <w:lang w:bidi="ar"/>
                    </w:rPr>
                    <w:t>油</w:t>
                  </w:r>
                </w:p>
              </w:tc>
              <w:tc>
                <w:tcPr>
                  <w:tcW w:w="653" w:type="pct"/>
                  <w:noWrap w:val="0"/>
                  <w:vAlign w:val="center"/>
                </w:tcPr>
                <w:p w14:paraId="2D014626">
                  <w:pPr>
                    <w:widowControl/>
                    <w:spacing w:line="240" w:lineRule="auto"/>
                    <w:jc w:val="center"/>
                    <w:textAlignment w:val="center"/>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0.</w:t>
                  </w:r>
                  <w:r>
                    <w:rPr>
                      <w:rFonts w:hint="eastAsia" w:cs="Times New Roman"/>
                      <w:kern w:val="0"/>
                      <w:sz w:val="21"/>
                      <w:szCs w:val="21"/>
                      <w:lang w:val="en-US" w:eastAsia="zh-CN" w:bidi="ar"/>
                    </w:rPr>
                    <w:t>0</w:t>
                  </w:r>
                  <w:r>
                    <w:rPr>
                      <w:rFonts w:hint="eastAsia" w:ascii="Times New Roman" w:hAnsi="Times New Roman" w:eastAsia="宋体" w:cs="Times New Roman"/>
                      <w:kern w:val="0"/>
                      <w:sz w:val="21"/>
                      <w:szCs w:val="21"/>
                      <w:lang w:val="en-US" w:eastAsia="zh-CN" w:bidi="ar"/>
                    </w:rPr>
                    <w:t>1</w:t>
                  </w:r>
                  <w:r>
                    <w:rPr>
                      <w:rFonts w:ascii="Times New Roman" w:hAnsi="Times New Roman" w:eastAsia="宋体" w:cs="Times New Roman"/>
                      <w:kern w:val="0"/>
                      <w:sz w:val="21"/>
                      <w:szCs w:val="21"/>
                      <w:lang w:bidi="ar"/>
                    </w:rPr>
                    <w:t>t/a</w:t>
                  </w:r>
                </w:p>
              </w:tc>
              <w:tc>
                <w:tcPr>
                  <w:tcW w:w="716" w:type="pct"/>
                  <w:noWrap w:val="0"/>
                  <w:vAlign w:val="center"/>
                </w:tcPr>
                <w:p w14:paraId="79B1C601">
                  <w:pPr>
                    <w:widowControl/>
                    <w:spacing w:line="240" w:lineRule="auto"/>
                    <w:jc w:val="center"/>
                    <w:textAlignment w:val="center"/>
                    <w:rPr>
                      <w:kern w:val="0"/>
                      <w:sz w:val="21"/>
                      <w:szCs w:val="21"/>
                      <w:lang w:bidi="ar"/>
                    </w:rPr>
                  </w:pPr>
                  <w:r>
                    <w:rPr>
                      <w:kern w:val="0"/>
                      <w:sz w:val="21"/>
                      <w:szCs w:val="21"/>
                      <w:lang w:bidi="ar"/>
                    </w:rPr>
                    <w:t>危险废物</w:t>
                  </w:r>
                </w:p>
                <w:p w14:paraId="35645464">
                  <w:pPr>
                    <w:widowControl/>
                    <w:spacing w:line="240" w:lineRule="auto"/>
                    <w:jc w:val="center"/>
                    <w:textAlignment w:val="center"/>
                    <w:rPr>
                      <w:sz w:val="21"/>
                      <w:szCs w:val="21"/>
                    </w:rPr>
                  </w:pPr>
                  <w:r>
                    <w:rPr>
                      <w:kern w:val="0"/>
                      <w:sz w:val="21"/>
                      <w:szCs w:val="21"/>
                      <w:lang w:bidi="ar"/>
                    </w:rPr>
                    <w:t>(HW</w:t>
                  </w:r>
                  <w:r>
                    <w:rPr>
                      <w:rFonts w:hint="eastAsia"/>
                      <w:kern w:val="0"/>
                      <w:sz w:val="21"/>
                      <w:szCs w:val="21"/>
                      <w:lang w:bidi="ar"/>
                    </w:rPr>
                    <w:t>08</w:t>
                  </w:r>
                  <w:r>
                    <w:rPr>
                      <w:kern w:val="0"/>
                      <w:sz w:val="21"/>
                      <w:szCs w:val="21"/>
                      <w:lang w:bidi="ar"/>
                    </w:rPr>
                    <w:t xml:space="preserve"> 900-</w:t>
                  </w:r>
                  <w:r>
                    <w:rPr>
                      <w:rFonts w:hint="eastAsia"/>
                      <w:kern w:val="0"/>
                      <w:sz w:val="21"/>
                      <w:szCs w:val="21"/>
                      <w:lang w:bidi="ar"/>
                    </w:rPr>
                    <w:t>217</w:t>
                  </w:r>
                  <w:r>
                    <w:rPr>
                      <w:kern w:val="0"/>
                      <w:sz w:val="21"/>
                      <w:szCs w:val="21"/>
                      <w:lang w:bidi="ar"/>
                    </w:rPr>
                    <w:t>-</w:t>
                  </w:r>
                  <w:r>
                    <w:rPr>
                      <w:rFonts w:hint="eastAsia"/>
                      <w:kern w:val="0"/>
                      <w:sz w:val="21"/>
                      <w:szCs w:val="21"/>
                      <w:lang w:bidi="ar"/>
                    </w:rPr>
                    <w:t>08</w:t>
                  </w:r>
                  <w:r>
                    <w:rPr>
                      <w:kern w:val="0"/>
                      <w:sz w:val="21"/>
                      <w:szCs w:val="21"/>
                      <w:lang w:bidi="ar"/>
                    </w:rPr>
                    <w:t>)</w:t>
                  </w:r>
                </w:p>
              </w:tc>
              <w:tc>
                <w:tcPr>
                  <w:tcW w:w="438" w:type="pct"/>
                  <w:noWrap w:val="0"/>
                  <w:vAlign w:val="center"/>
                </w:tcPr>
                <w:p w14:paraId="14CBAF11">
                  <w:pPr>
                    <w:widowControl/>
                    <w:spacing w:line="240" w:lineRule="auto"/>
                    <w:jc w:val="center"/>
                    <w:textAlignment w:val="center"/>
                    <w:rPr>
                      <w:sz w:val="21"/>
                      <w:szCs w:val="21"/>
                    </w:rPr>
                  </w:pPr>
                  <w:r>
                    <w:rPr>
                      <w:kern w:val="0"/>
                      <w:sz w:val="21"/>
                      <w:szCs w:val="21"/>
                      <w:lang w:bidi="ar"/>
                    </w:rPr>
                    <w:t>矿物油</w:t>
                  </w:r>
                </w:p>
              </w:tc>
              <w:tc>
                <w:tcPr>
                  <w:tcW w:w="336" w:type="pct"/>
                  <w:noWrap w:val="0"/>
                  <w:vAlign w:val="center"/>
                </w:tcPr>
                <w:p w14:paraId="2545BB7F">
                  <w:pPr>
                    <w:widowControl/>
                    <w:spacing w:line="240" w:lineRule="auto"/>
                    <w:jc w:val="center"/>
                    <w:textAlignment w:val="center"/>
                    <w:rPr>
                      <w:sz w:val="21"/>
                      <w:szCs w:val="21"/>
                    </w:rPr>
                  </w:pPr>
                  <w:r>
                    <w:rPr>
                      <w:kern w:val="0"/>
                      <w:sz w:val="21"/>
                      <w:szCs w:val="21"/>
                      <w:lang w:bidi="ar"/>
                    </w:rPr>
                    <w:t>液态</w:t>
                  </w:r>
                </w:p>
              </w:tc>
              <w:tc>
                <w:tcPr>
                  <w:tcW w:w="315" w:type="pct"/>
                  <w:noWrap w:val="0"/>
                  <w:vAlign w:val="center"/>
                </w:tcPr>
                <w:p w14:paraId="41E6984E">
                  <w:pPr>
                    <w:spacing w:line="240" w:lineRule="auto"/>
                    <w:jc w:val="center"/>
                    <w:rPr>
                      <w:sz w:val="21"/>
                      <w:szCs w:val="21"/>
                    </w:rPr>
                  </w:pPr>
                  <w:r>
                    <w:rPr>
                      <w:sz w:val="21"/>
                      <w:szCs w:val="21"/>
                    </w:rPr>
                    <w:t>T,I</w:t>
                  </w:r>
                </w:p>
              </w:tc>
              <w:tc>
                <w:tcPr>
                  <w:tcW w:w="650" w:type="pct"/>
                  <w:noWrap w:val="0"/>
                  <w:vAlign w:val="center"/>
                </w:tcPr>
                <w:p w14:paraId="5C19B86E">
                  <w:pPr>
                    <w:widowControl/>
                    <w:spacing w:line="240" w:lineRule="auto"/>
                    <w:jc w:val="center"/>
                    <w:textAlignment w:val="center"/>
                    <w:rPr>
                      <w:sz w:val="21"/>
                      <w:szCs w:val="21"/>
                    </w:rPr>
                  </w:pPr>
                  <w:r>
                    <w:rPr>
                      <w:kern w:val="0"/>
                      <w:sz w:val="21"/>
                      <w:szCs w:val="21"/>
                      <w:lang w:bidi="ar"/>
                    </w:rPr>
                    <w:t>危废间暂存</w:t>
                  </w:r>
                </w:p>
              </w:tc>
              <w:tc>
                <w:tcPr>
                  <w:tcW w:w="654" w:type="pct"/>
                  <w:noWrap w:val="0"/>
                  <w:vAlign w:val="center"/>
                </w:tcPr>
                <w:p w14:paraId="0C978ACC">
                  <w:pPr>
                    <w:widowControl/>
                    <w:spacing w:line="240" w:lineRule="auto"/>
                    <w:jc w:val="center"/>
                    <w:textAlignment w:val="center"/>
                    <w:rPr>
                      <w:sz w:val="21"/>
                      <w:szCs w:val="21"/>
                    </w:rPr>
                  </w:pPr>
                  <w:r>
                    <w:rPr>
                      <w:rFonts w:ascii="Times New Roman" w:hAnsi="Times New Roman" w:eastAsia="宋体" w:cs="Times New Roman"/>
                      <w:kern w:val="0"/>
                      <w:sz w:val="21"/>
                      <w:szCs w:val="21"/>
                      <w:lang w:bidi="ar"/>
                    </w:rPr>
                    <w:t>0.0</w:t>
                  </w:r>
                  <w:r>
                    <w:rPr>
                      <w:rFonts w:hint="eastAsia" w:cs="Times New Roman"/>
                      <w:kern w:val="0"/>
                      <w:sz w:val="21"/>
                      <w:szCs w:val="21"/>
                      <w:lang w:val="en-US" w:eastAsia="zh-CN" w:bidi="ar"/>
                    </w:rPr>
                    <w:t>1</w:t>
                  </w:r>
                  <w:r>
                    <w:rPr>
                      <w:rFonts w:ascii="Times New Roman" w:hAnsi="Times New Roman" w:eastAsia="宋体" w:cs="Times New Roman"/>
                      <w:kern w:val="0"/>
                      <w:sz w:val="21"/>
                      <w:szCs w:val="21"/>
                      <w:lang w:bidi="ar"/>
                    </w:rPr>
                    <w:t>t/a</w:t>
                  </w:r>
                </w:p>
              </w:tc>
              <w:tc>
                <w:tcPr>
                  <w:tcW w:w="604" w:type="pct"/>
                  <w:vMerge w:val="restart"/>
                  <w:noWrap w:val="0"/>
                  <w:vAlign w:val="center"/>
                </w:tcPr>
                <w:p w14:paraId="4C47119A">
                  <w:pPr>
                    <w:widowControl/>
                    <w:spacing w:line="240" w:lineRule="auto"/>
                    <w:jc w:val="center"/>
                    <w:textAlignment w:val="center"/>
                    <w:rPr>
                      <w:kern w:val="0"/>
                      <w:sz w:val="21"/>
                      <w:szCs w:val="21"/>
                      <w:lang w:bidi="ar"/>
                    </w:rPr>
                  </w:pPr>
                  <w:r>
                    <w:rPr>
                      <w:kern w:val="0"/>
                      <w:sz w:val="21"/>
                      <w:szCs w:val="21"/>
                      <w:lang w:bidi="ar"/>
                    </w:rPr>
                    <w:t>交由资质单位处置</w:t>
                  </w:r>
                </w:p>
              </w:tc>
            </w:tr>
            <w:tr w14:paraId="69A0D5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630" w:type="pct"/>
                  <w:noWrap w:val="0"/>
                  <w:vAlign w:val="center"/>
                </w:tcPr>
                <w:p w14:paraId="688A688D">
                  <w:pPr>
                    <w:widowControl/>
                    <w:spacing w:line="240" w:lineRule="auto"/>
                    <w:jc w:val="center"/>
                    <w:textAlignment w:val="center"/>
                    <w:rPr>
                      <w:sz w:val="21"/>
                      <w:szCs w:val="21"/>
                    </w:rPr>
                  </w:pPr>
                  <w:r>
                    <w:rPr>
                      <w:kern w:val="0"/>
                      <w:sz w:val="21"/>
                      <w:szCs w:val="21"/>
                      <w:lang w:bidi="ar"/>
                    </w:rPr>
                    <w:t>废</w:t>
                  </w:r>
                  <w:r>
                    <w:rPr>
                      <w:rFonts w:hint="eastAsia"/>
                      <w:kern w:val="0"/>
                      <w:sz w:val="21"/>
                      <w:szCs w:val="21"/>
                      <w:lang w:val="en-US" w:eastAsia="zh-CN" w:bidi="ar"/>
                    </w:rPr>
                    <w:t>机</w:t>
                  </w:r>
                  <w:r>
                    <w:rPr>
                      <w:kern w:val="0"/>
                      <w:sz w:val="21"/>
                      <w:szCs w:val="21"/>
                      <w:lang w:bidi="ar"/>
                    </w:rPr>
                    <w:t>油桶</w:t>
                  </w:r>
                </w:p>
              </w:tc>
              <w:tc>
                <w:tcPr>
                  <w:tcW w:w="653" w:type="pct"/>
                  <w:noWrap w:val="0"/>
                  <w:vAlign w:val="center"/>
                </w:tcPr>
                <w:p w14:paraId="628A45D4">
                  <w:pPr>
                    <w:widowControl/>
                    <w:spacing w:line="240" w:lineRule="auto"/>
                    <w:jc w:val="center"/>
                    <w:textAlignment w:val="center"/>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0.0</w:t>
                  </w:r>
                  <w:r>
                    <w:rPr>
                      <w:rFonts w:hint="eastAsia" w:ascii="Times New Roman" w:hAnsi="Times New Roman" w:eastAsia="宋体" w:cs="Times New Roman"/>
                      <w:kern w:val="0"/>
                      <w:sz w:val="21"/>
                      <w:szCs w:val="21"/>
                      <w:lang w:val="en-US" w:eastAsia="zh-CN" w:bidi="ar"/>
                    </w:rPr>
                    <w:t>5</w:t>
                  </w:r>
                  <w:r>
                    <w:rPr>
                      <w:rFonts w:ascii="Times New Roman" w:hAnsi="Times New Roman" w:eastAsia="宋体" w:cs="Times New Roman"/>
                      <w:kern w:val="0"/>
                      <w:sz w:val="21"/>
                      <w:szCs w:val="21"/>
                      <w:lang w:bidi="ar"/>
                    </w:rPr>
                    <w:t>t/a</w:t>
                  </w:r>
                </w:p>
              </w:tc>
              <w:tc>
                <w:tcPr>
                  <w:tcW w:w="716" w:type="pct"/>
                  <w:noWrap w:val="0"/>
                  <w:vAlign w:val="center"/>
                </w:tcPr>
                <w:p w14:paraId="04A158B1">
                  <w:pPr>
                    <w:widowControl/>
                    <w:spacing w:line="240" w:lineRule="auto"/>
                    <w:jc w:val="center"/>
                    <w:textAlignment w:val="center"/>
                    <w:rPr>
                      <w:kern w:val="0"/>
                      <w:sz w:val="21"/>
                      <w:szCs w:val="21"/>
                      <w:lang w:bidi="ar"/>
                    </w:rPr>
                  </w:pPr>
                  <w:r>
                    <w:rPr>
                      <w:kern w:val="0"/>
                      <w:sz w:val="21"/>
                      <w:szCs w:val="21"/>
                      <w:lang w:bidi="ar"/>
                    </w:rPr>
                    <w:t>危险废物</w:t>
                  </w:r>
                </w:p>
                <w:p w14:paraId="3EC49C50">
                  <w:pPr>
                    <w:widowControl/>
                    <w:spacing w:line="240" w:lineRule="auto"/>
                    <w:jc w:val="center"/>
                    <w:textAlignment w:val="center"/>
                    <w:rPr>
                      <w:sz w:val="21"/>
                      <w:szCs w:val="21"/>
                    </w:rPr>
                  </w:pPr>
                  <w:r>
                    <w:rPr>
                      <w:kern w:val="0"/>
                      <w:sz w:val="21"/>
                      <w:szCs w:val="21"/>
                      <w:lang w:bidi="ar"/>
                    </w:rPr>
                    <w:t>(HW08 900-</w:t>
                  </w:r>
                  <w:r>
                    <w:rPr>
                      <w:rFonts w:hint="eastAsia"/>
                      <w:kern w:val="0"/>
                      <w:sz w:val="21"/>
                      <w:szCs w:val="21"/>
                      <w:lang w:bidi="ar"/>
                    </w:rPr>
                    <w:t>249</w:t>
                  </w:r>
                  <w:r>
                    <w:rPr>
                      <w:kern w:val="0"/>
                      <w:sz w:val="21"/>
                      <w:szCs w:val="21"/>
                      <w:lang w:bidi="ar"/>
                    </w:rPr>
                    <w:t>-08)</w:t>
                  </w:r>
                </w:p>
              </w:tc>
              <w:tc>
                <w:tcPr>
                  <w:tcW w:w="438" w:type="pct"/>
                  <w:noWrap w:val="0"/>
                  <w:vAlign w:val="center"/>
                </w:tcPr>
                <w:p w14:paraId="58253199">
                  <w:pPr>
                    <w:widowControl/>
                    <w:spacing w:line="240" w:lineRule="auto"/>
                    <w:jc w:val="center"/>
                    <w:textAlignment w:val="center"/>
                    <w:rPr>
                      <w:sz w:val="21"/>
                      <w:szCs w:val="21"/>
                    </w:rPr>
                  </w:pPr>
                  <w:r>
                    <w:rPr>
                      <w:kern w:val="0"/>
                      <w:sz w:val="21"/>
                      <w:szCs w:val="21"/>
                      <w:lang w:bidi="ar"/>
                    </w:rPr>
                    <w:t>矿物油</w:t>
                  </w:r>
                </w:p>
              </w:tc>
              <w:tc>
                <w:tcPr>
                  <w:tcW w:w="336" w:type="pct"/>
                  <w:noWrap w:val="0"/>
                  <w:vAlign w:val="center"/>
                </w:tcPr>
                <w:p w14:paraId="3F660F41">
                  <w:pPr>
                    <w:widowControl/>
                    <w:spacing w:line="240" w:lineRule="auto"/>
                    <w:jc w:val="center"/>
                    <w:textAlignment w:val="center"/>
                    <w:rPr>
                      <w:sz w:val="21"/>
                      <w:szCs w:val="21"/>
                    </w:rPr>
                  </w:pPr>
                  <w:r>
                    <w:rPr>
                      <w:kern w:val="0"/>
                      <w:sz w:val="21"/>
                      <w:szCs w:val="21"/>
                      <w:lang w:bidi="ar"/>
                    </w:rPr>
                    <w:t>固体</w:t>
                  </w:r>
                </w:p>
              </w:tc>
              <w:tc>
                <w:tcPr>
                  <w:tcW w:w="315" w:type="pct"/>
                  <w:noWrap w:val="0"/>
                  <w:vAlign w:val="center"/>
                </w:tcPr>
                <w:p w14:paraId="478569DC">
                  <w:pPr>
                    <w:spacing w:line="240" w:lineRule="auto"/>
                    <w:jc w:val="center"/>
                    <w:rPr>
                      <w:sz w:val="21"/>
                      <w:szCs w:val="21"/>
                    </w:rPr>
                  </w:pPr>
                  <w:r>
                    <w:rPr>
                      <w:sz w:val="21"/>
                      <w:szCs w:val="21"/>
                    </w:rPr>
                    <w:t>T,I</w:t>
                  </w:r>
                </w:p>
              </w:tc>
              <w:tc>
                <w:tcPr>
                  <w:tcW w:w="650" w:type="pct"/>
                  <w:noWrap w:val="0"/>
                  <w:vAlign w:val="center"/>
                </w:tcPr>
                <w:p w14:paraId="4135CF24">
                  <w:pPr>
                    <w:widowControl/>
                    <w:spacing w:line="240" w:lineRule="auto"/>
                    <w:jc w:val="center"/>
                    <w:textAlignment w:val="center"/>
                    <w:rPr>
                      <w:sz w:val="21"/>
                      <w:szCs w:val="21"/>
                    </w:rPr>
                  </w:pPr>
                  <w:r>
                    <w:rPr>
                      <w:kern w:val="0"/>
                      <w:sz w:val="21"/>
                      <w:szCs w:val="21"/>
                      <w:lang w:bidi="ar"/>
                    </w:rPr>
                    <w:t>危废间暂存</w:t>
                  </w:r>
                </w:p>
              </w:tc>
              <w:tc>
                <w:tcPr>
                  <w:tcW w:w="654" w:type="pct"/>
                  <w:noWrap w:val="0"/>
                  <w:vAlign w:val="center"/>
                </w:tcPr>
                <w:p w14:paraId="4B64C349">
                  <w:pPr>
                    <w:widowControl/>
                    <w:spacing w:line="240" w:lineRule="auto"/>
                    <w:jc w:val="center"/>
                    <w:textAlignment w:val="center"/>
                    <w:rPr>
                      <w:sz w:val="21"/>
                      <w:szCs w:val="21"/>
                    </w:rPr>
                  </w:pPr>
                  <w:r>
                    <w:rPr>
                      <w:rFonts w:ascii="Times New Roman" w:hAnsi="Times New Roman" w:eastAsia="宋体" w:cs="Times New Roman"/>
                      <w:kern w:val="0"/>
                      <w:sz w:val="21"/>
                      <w:szCs w:val="21"/>
                      <w:lang w:bidi="ar"/>
                    </w:rPr>
                    <w:t>0.0</w:t>
                  </w:r>
                  <w:r>
                    <w:rPr>
                      <w:rFonts w:hint="eastAsia" w:cs="Times New Roman"/>
                      <w:kern w:val="0"/>
                      <w:sz w:val="21"/>
                      <w:szCs w:val="21"/>
                      <w:lang w:val="en-US" w:eastAsia="zh-CN" w:bidi="ar"/>
                    </w:rPr>
                    <w:t>5</w:t>
                  </w:r>
                  <w:r>
                    <w:rPr>
                      <w:rFonts w:ascii="Times New Roman" w:hAnsi="Times New Roman" w:eastAsia="宋体" w:cs="Times New Roman"/>
                      <w:kern w:val="0"/>
                      <w:sz w:val="21"/>
                      <w:szCs w:val="21"/>
                      <w:lang w:bidi="ar"/>
                    </w:rPr>
                    <w:t>t/a</w:t>
                  </w:r>
                </w:p>
              </w:tc>
              <w:tc>
                <w:tcPr>
                  <w:tcW w:w="604" w:type="pct"/>
                  <w:vMerge w:val="continue"/>
                  <w:noWrap w:val="0"/>
                  <w:vAlign w:val="center"/>
                </w:tcPr>
                <w:p w14:paraId="4B5E39C6">
                  <w:pPr>
                    <w:widowControl/>
                    <w:spacing w:line="240" w:lineRule="auto"/>
                    <w:jc w:val="center"/>
                    <w:textAlignment w:val="center"/>
                    <w:rPr>
                      <w:sz w:val="21"/>
                      <w:szCs w:val="21"/>
                    </w:rPr>
                  </w:pPr>
                </w:p>
              </w:tc>
            </w:tr>
            <w:tr w14:paraId="16B38E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630" w:type="pct"/>
                  <w:noWrap w:val="0"/>
                  <w:vAlign w:val="center"/>
                </w:tcPr>
                <w:p w14:paraId="491335BA">
                  <w:pPr>
                    <w:widowControl/>
                    <w:spacing w:line="240" w:lineRule="auto"/>
                    <w:jc w:val="center"/>
                    <w:textAlignment w:val="center"/>
                    <w:rPr>
                      <w:sz w:val="21"/>
                      <w:szCs w:val="21"/>
                    </w:rPr>
                  </w:pPr>
                  <w:r>
                    <w:rPr>
                      <w:kern w:val="0"/>
                      <w:sz w:val="21"/>
                      <w:szCs w:val="21"/>
                      <w:lang w:bidi="ar"/>
                    </w:rPr>
                    <w:t>废含油手套及抹布</w:t>
                  </w:r>
                </w:p>
              </w:tc>
              <w:tc>
                <w:tcPr>
                  <w:tcW w:w="653" w:type="pct"/>
                  <w:noWrap w:val="0"/>
                  <w:vAlign w:val="center"/>
                </w:tcPr>
                <w:p w14:paraId="5D4C87C0">
                  <w:pPr>
                    <w:widowControl/>
                    <w:spacing w:line="240" w:lineRule="auto"/>
                    <w:jc w:val="center"/>
                    <w:textAlignment w:val="center"/>
                    <w:rPr>
                      <w:rFonts w:ascii="Times New Roman" w:hAnsi="Times New Roman" w:eastAsia="宋体" w:cs="Times New Roman"/>
                      <w:kern w:val="0"/>
                      <w:sz w:val="21"/>
                      <w:szCs w:val="21"/>
                      <w:lang w:bidi="ar"/>
                    </w:rPr>
                  </w:pPr>
                  <w:r>
                    <w:rPr>
                      <w:rFonts w:ascii="Times New Roman" w:hAnsi="Times New Roman" w:eastAsia="宋体" w:cs="Times New Roman"/>
                      <w:kern w:val="0"/>
                      <w:sz w:val="21"/>
                      <w:szCs w:val="21"/>
                      <w:lang w:bidi="ar"/>
                    </w:rPr>
                    <w:t>0.01t/a</w:t>
                  </w:r>
                </w:p>
              </w:tc>
              <w:tc>
                <w:tcPr>
                  <w:tcW w:w="716" w:type="pct"/>
                  <w:noWrap w:val="0"/>
                  <w:vAlign w:val="center"/>
                </w:tcPr>
                <w:p w14:paraId="655145F3">
                  <w:pPr>
                    <w:widowControl/>
                    <w:spacing w:line="240" w:lineRule="auto"/>
                    <w:jc w:val="center"/>
                    <w:textAlignment w:val="center"/>
                    <w:rPr>
                      <w:kern w:val="0"/>
                      <w:sz w:val="21"/>
                      <w:szCs w:val="21"/>
                      <w:lang w:bidi="ar"/>
                    </w:rPr>
                  </w:pPr>
                  <w:r>
                    <w:rPr>
                      <w:kern w:val="0"/>
                      <w:sz w:val="21"/>
                      <w:szCs w:val="21"/>
                      <w:lang w:bidi="ar"/>
                    </w:rPr>
                    <w:t>危险废物</w:t>
                  </w:r>
                </w:p>
                <w:p w14:paraId="2B0734A1">
                  <w:pPr>
                    <w:widowControl/>
                    <w:spacing w:line="240" w:lineRule="auto"/>
                    <w:jc w:val="center"/>
                    <w:textAlignment w:val="center"/>
                    <w:rPr>
                      <w:sz w:val="21"/>
                      <w:szCs w:val="21"/>
                    </w:rPr>
                  </w:pPr>
                  <w:r>
                    <w:rPr>
                      <w:kern w:val="0"/>
                      <w:sz w:val="21"/>
                      <w:szCs w:val="21"/>
                      <w:lang w:bidi="ar"/>
                    </w:rPr>
                    <w:t>(HW49 900-041-49)</w:t>
                  </w:r>
                </w:p>
              </w:tc>
              <w:tc>
                <w:tcPr>
                  <w:tcW w:w="438" w:type="pct"/>
                  <w:noWrap w:val="0"/>
                  <w:vAlign w:val="center"/>
                </w:tcPr>
                <w:p w14:paraId="556FBEB7">
                  <w:pPr>
                    <w:widowControl/>
                    <w:spacing w:line="240" w:lineRule="auto"/>
                    <w:jc w:val="center"/>
                    <w:textAlignment w:val="center"/>
                    <w:rPr>
                      <w:sz w:val="21"/>
                      <w:szCs w:val="21"/>
                    </w:rPr>
                  </w:pPr>
                  <w:r>
                    <w:rPr>
                      <w:kern w:val="0"/>
                      <w:sz w:val="21"/>
                      <w:szCs w:val="21"/>
                      <w:lang w:bidi="ar"/>
                    </w:rPr>
                    <w:t>矿物油</w:t>
                  </w:r>
                </w:p>
              </w:tc>
              <w:tc>
                <w:tcPr>
                  <w:tcW w:w="336" w:type="pct"/>
                  <w:noWrap w:val="0"/>
                  <w:vAlign w:val="center"/>
                </w:tcPr>
                <w:p w14:paraId="3DE1021C">
                  <w:pPr>
                    <w:widowControl/>
                    <w:spacing w:line="240" w:lineRule="auto"/>
                    <w:jc w:val="center"/>
                    <w:textAlignment w:val="center"/>
                    <w:rPr>
                      <w:sz w:val="21"/>
                      <w:szCs w:val="21"/>
                    </w:rPr>
                  </w:pPr>
                  <w:r>
                    <w:rPr>
                      <w:kern w:val="0"/>
                      <w:sz w:val="21"/>
                      <w:szCs w:val="21"/>
                      <w:lang w:bidi="ar"/>
                    </w:rPr>
                    <w:t>固体</w:t>
                  </w:r>
                </w:p>
              </w:tc>
              <w:tc>
                <w:tcPr>
                  <w:tcW w:w="315" w:type="pct"/>
                  <w:noWrap w:val="0"/>
                  <w:vAlign w:val="center"/>
                </w:tcPr>
                <w:p w14:paraId="2A01A821">
                  <w:pPr>
                    <w:spacing w:line="240" w:lineRule="auto"/>
                    <w:jc w:val="center"/>
                    <w:rPr>
                      <w:sz w:val="21"/>
                      <w:szCs w:val="21"/>
                    </w:rPr>
                  </w:pPr>
                  <w:r>
                    <w:rPr>
                      <w:sz w:val="21"/>
                      <w:szCs w:val="21"/>
                    </w:rPr>
                    <w:t>T,In</w:t>
                  </w:r>
                </w:p>
              </w:tc>
              <w:tc>
                <w:tcPr>
                  <w:tcW w:w="650" w:type="pct"/>
                  <w:noWrap w:val="0"/>
                  <w:vAlign w:val="center"/>
                </w:tcPr>
                <w:p w14:paraId="3F097ECC">
                  <w:pPr>
                    <w:widowControl/>
                    <w:spacing w:line="240" w:lineRule="auto"/>
                    <w:jc w:val="center"/>
                    <w:textAlignment w:val="center"/>
                    <w:rPr>
                      <w:sz w:val="21"/>
                      <w:szCs w:val="21"/>
                    </w:rPr>
                  </w:pPr>
                  <w:r>
                    <w:rPr>
                      <w:kern w:val="0"/>
                      <w:sz w:val="21"/>
                      <w:szCs w:val="21"/>
                      <w:lang w:bidi="ar"/>
                    </w:rPr>
                    <w:t>危废间暂存</w:t>
                  </w:r>
                </w:p>
              </w:tc>
              <w:tc>
                <w:tcPr>
                  <w:tcW w:w="654" w:type="pct"/>
                  <w:noWrap w:val="0"/>
                  <w:vAlign w:val="center"/>
                </w:tcPr>
                <w:p w14:paraId="45257EEA">
                  <w:pPr>
                    <w:widowControl/>
                    <w:spacing w:line="240" w:lineRule="auto"/>
                    <w:jc w:val="center"/>
                    <w:textAlignment w:val="center"/>
                    <w:rPr>
                      <w:sz w:val="21"/>
                      <w:szCs w:val="21"/>
                    </w:rPr>
                  </w:pPr>
                  <w:r>
                    <w:rPr>
                      <w:rFonts w:hint="eastAsia" w:cs="Times New Roman"/>
                      <w:kern w:val="0"/>
                      <w:sz w:val="21"/>
                      <w:szCs w:val="21"/>
                      <w:lang w:val="en-US" w:eastAsia="zh-CN" w:bidi="ar"/>
                    </w:rPr>
                    <w:t>0.01</w:t>
                  </w:r>
                  <w:r>
                    <w:rPr>
                      <w:rFonts w:ascii="Times New Roman" w:hAnsi="Times New Roman" w:eastAsia="宋体" w:cs="Times New Roman"/>
                      <w:kern w:val="0"/>
                      <w:sz w:val="21"/>
                      <w:szCs w:val="21"/>
                      <w:lang w:bidi="ar"/>
                    </w:rPr>
                    <w:t>t/a</w:t>
                  </w:r>
                </w:p>
              </w:tc>
              <w:tc>
                <w:tcPr>
                  <w:tcW w:w="604" w:type="pct"/>
                  <w:vMerge w:val="continue"/>
                  <w:noWrap w:val="0"/>
                  <w:vAlign w:val="center"/>
                </w:tcPr>
                <w:p w14:paraId="4466ED38">
                  <w:pPr>
                    <w:widowControl/>
                    <w:spacing w:line="240" w:lineRule="auto"/>
                    <w:jc w:val="center"/>
                    <w:textAlignment w:val="center"/>
                    <w:rPr>
                      <w:sz w:val="21"/>
                      <w:szCs w:val="21"/>
                    </w:rPr>
                  </w:pPr>
                </w:p>
              </w:tc>
            </w:tr>
            <w:tr w14:paraId="1D5726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9" w:hRule="atLeast"/>
                <w:jc w:val="center"/>
              </w:trPr>
              <w:tc>
                <w:tcPr>
                  <w:tcW w:w="630" w:type="pct"/>
                  <w:noWrap w:val="0"/>
                  <w:vAlign w:val="center"/>
                </w:tcPr>
                <w:p w14:paraId="79C6453E">
                  <w:pPr>
                    <w:widowControl/>
                    <w:spacing w:line="240" w:lineRule="auto"/>
                    <w:jc w:val="center"/>
                    <w:textAlignment w:val="center"/>
                    <w:rPr>
                      <w:kern w:val="0"/>
                      <w:sz w:val="21"/>
                      <w:szCs w:val="21"/>
                      <w:lang w:bidi="ar"/>
                    </w:rPr>
                  </w:pPr>
                  <w:r>
                    <w:rPr>
                      <w:kern w:val="0"/>
                      <w:sz w:val="21"/>
                      <w:szCs w:val="21"/>
                      <w:lang w:bidi="ar"/>
                    </w:rPr>
                    <w:t>废活性炭</w:t>
                  </w:r>
                </w:p>
              </w:tc>
              <w:tc>
                <w:tcPr>
                  <w:tcW w:w="653" w:type="pct"/>
                  <w:noWrap w:val="0"/>
                  <w:vAlign w:val="center"/>
                </w:tcPr>
                <w:p w14:paraId="22AF8D07">
                  <w:pPr>
                    <w:widowControl/>
                    <w:spacing w:line="240" w:lineRule="auto"/>
                    <w:jc w:val="center"/>
                    <w:textAlignment w:val="center"/>
                    <w:rPr>
                      <w:rFonts w:ascii="Times New Roman" w:hAnsi="Times New Roman" w:eastAsia="宋体" w:cs="Times New Roman"/>
                      <w:kern w:val="0"/>
                      <w:sz w:val="21"/>
                      <w:szCs w:val="21"/>
                      <w:lang w:bidi="ar"/>
                    </w:rPr>
                  </w:pPr>
                  <w:r>
                    <w:rPr>
                      <w:rFonts w:hint="eastAsia"/>
                      <w:color w:val="auto"/>
                      <w:sz w:val="21"/>
                      <w:szCs w:val="21"/>
                      <w:lang w:val="en-US" w:eastAsia="zh-CN"/>
                    </w:rPr>
                    <w:t>34.64</w:t>
                  </w:r>
                  <w:r>
                    <w:rPr>
                      <w:rFonts w:ascii="Times New Roman" w:hAnsi="Times New Roman" w:eastAsia="宋体" w:cs="Times New Roman"/>
                      <w:kern w:val="0"/>
                      <w:sz w:val="21"/>
                      <w:szCs w:val="21"/>
                      <w:lang w:bidi="ar"/>
                    </w:rPr>
                    <w:t>t/a</w:t>
                  </w:r>
                </w:p>
              </w:tc>
              <w:tc>
                <w:tcPr>
                  <w:tcW w:w="716" w:type="pct"/>
                  <w:noWrap w:val="0"/>
                  <w:vAlign w:val="center"/>
                </w:tcPr>
                <w:p w14:paraId="131C232F">
                  <w:pPr>
                    <w:widowControl/>
                    <w:spacing w:line="240" w:lineRule="auto"/>
                    <w:jc w:val="center"/>
                    <w:textAlignment w:val="center"/>
                    <w:rPr>
                      <w:kern w:val="0"/>
                      <w:sz w:val="21"/>
                      <w:szCs w:val="21"/>
                      <w:lang w:bidi="ar"/>
                    </w:rPr>
                  </w:pPr>
                  <w:r>
                    <w:rPr>
                      <w:kern w:val="0"/>
                      <w:sz w:val="21"/>
                      <w:szCs w:val="21"/>
                      <w:lang w:bidi="ar"/>
                    </w:rPr>
                    <w:t>危险废物</w:t>
                  </w:r>
                </w:p>
                <w:p w14:paraId="49A147C8">
                  <w:pPr>
                    <w:widowControl/>
                    <w:spacing w:line="240" w:lineRule="auto"/>
                    <w:jc w:val="center"/>
                    <w:textAlignment w:val="center"/>
                    <w:rPr>
                      <w:kern w:val="0"/>
                      <w:sz w:val="21"/>
                      <w:szCs w:val="21"/>
                      <w:lang w:bidi="ar"/>
                    </w:rPr>
                  </w:pPr>
                  <w:r>
                    <w:rPr>
                      <w:kern w:val="0"/>
                      <w:sz w:val="21"/>
                      <w:szCs w:val="21"/>
                      <w:lang w:bidi="ar"/>
                    </w:rPr>
                    <w:t>(HW49 900-039-49)</w:t>
                  </w:r>
                </w:p>
              </w:tc>
              <w:tc>
                <w:tcPr>
                  <w:tcW w:w="438" w:type="pct"/>
                  <w:noWrap w:val="0"/>
                  <w:vAlign w:val="center"/>
                </w:tcPr>
                <w:p w14:paraId="337AA851">
                  <w:pPr>
                    <w:widowControl/>
                    <w:spacing w:line="240" w:lineRule="auto"/>
                    <w:jc w:val="center"/>
                    <w:textAlignment w:val="center"/>
                    <w:rPr>
                      <w:kern w:val="0"/>
                      <w:sz w:val="21"/>
                      <w:szCs w:val="21"/>
                      <w:lang w:bidi="ar"/>
                    </w:rPr>
                  </w:pPr>
                  <w:r>
                    <w:rPr>
                      <w:kern w:val="0"/>
                      <w:sz w:val="21"/>
                      <w:szCs w:val="21"/>
                      <w:lang w:bidi="ar"/>
                    </w:rPr>
                    <w:t>VOC</w:t>
                  </w:r>
                </w:p>
              </w:tc>
              <w:tc>
                <w:tcPr>
                  <w:tcW w:w="336" w:type="pct"/>
                  <w:noWrap w:val="0"/>
                  <w:vAlign w:val="center"/>
                </w:tcPr>
                <w:p w14:paraId="0B3CBB2B">
                  <w:pPr>
                    <w:widowControl/>
                    <w:spacing w:line="240" w:lineRule="auto"/>
                    <w:jc w:val="center"/>
                    <w:textAlignment w:val="center"/>
                    <w:rPr>
                      <w:kern w:val="0"/>
                      <w:sz w:val="21"/>
                      <w:szCs w:val="21"/>
                      <w:lang w:bidi="ar"/>
                    </w:rPr>
                  </w:pPr>
                  <w:r>
                    <w:rPr>
                      <w:kern w:val="0"/>
                      <w:sz w:val="21"/>
                      <w:szCs w:val="21"/>
                      <w:lang w:bidi="ar"/>
                    </w:rPr>
                    <w:t>固体</w:t>
                  </w:r>
                </w:p>
              </w:tc>
              <w:tc>
                <w:tcPr>
                  <w:tcW w:w="315" w:type="pct"/>
                  <w:noWrap w:val="0"/>
                  <w:vAlign w:val="center"/>
                </w:tcPr>
                <w:p w14:paraId="52700545">
                  <w:pPr>
                    <w:spacing w:line="240" w:lineRule="auto"/>
                    <w:jc w:val="center"/>
                    <w:rPr>
                      <w:sz w:val="21"/>
                      <w:szCs w:val="21"/>
                    </w:rPr>
                  </w:pPr>
                  <w:r>
                    <w:rPr>
                      <w:sz w:val="21"/>
                      <w:szCs w:val="21"/>
                    </w:rPr>
                    <w:t>T</w:t>
                  </w:r>
                </w:p>
              </w:tc>
              <w:tc>
                <w:tcPr>
                  <w:tcW w:w="650" w:type="pct"/>
                  <w:noWrap w:val="0"/>
                  <w:vAlign w:val="center"/>
                </w:tcPr>
                <w:p w14:paraId="530D941D">
                  <w:pPr>
                    <w:widowControl/>
                    <w:spacing w:line="240" w:lineRule="auto"/>
                    <w:jc w:val="center"/>
                    <w:textAlignment w:val="center"/>
                    <w:rPr>
                      <w:kern w:val="0"/>
                      <w:sz w:val="21"/>
                      <w:szCs w:val="21"/>
                      <w:lang w:bidi="ar"/>
                    </w:rPr>
                  </w:pPr>
                  <w:r>
                    <w:rPr>
                      <w:kern w:val="0"/>
                      <w:sz w:val="21"/>
                      <w:szCs w:val="21"/>
                      <w:lang w:bidi="ar"/>
                    </w:rPr>
                    <w:t>危废间暂存</w:t>
                  </w:r>
                </w:p>
              </w:tc>
              <w:tc>
                <w:tcPr>
                  <w:tcW w:w="654" w:type="pct"/>
                  <w:noWrap w:val="0"/>
                  <w:vAlign w:val="center"/>
                </w:tcPr>
                <w:p w14:paraId="16A6CEFA">
                  <w:pPr>
                    <w:widowControl/>
                    <w:spacing w:line="240" w:lineRule="auto"/>
                    <w:jc w:val="center"/>
                    <w:textAlignment w:val="center"/>
                    <w:rPr>
                      <w:kern w:val="0"/>
                      <w:sz w:val="21"/>
                      <w:szCs w:val="21"/>
                      <w:lang w:bidi="ar"/>
                    </w:rPr>
                  </w:pPr>
                  <w:r>
                    <w:rPr>
                      <w:rFonts w:hint="eastAsia"/>
                      <w:color w:val="auto"/>
                      <w:sz w:val="21"/>
                      <w:szCs w:val="21"/>
                      <w:lang w:val="en-US" w:eastAsia="zh-CN"/>
                    </w:rPr>
                    <w:t>34.64</w:t>
                  </w:r>
                  <w:r>
                    <w:rPr>
                      <w:rFonts w:hint="eastAsia" w:ascii="Times New Roman" w:hAnsi="Times New Roman" w:eastAsia="宋体" w:cs="Times New Roman"/>
                      <w:kern w:val="0"/>
                      <w:sz w:val="21"/>
                      <w:szCs w:val="21"/>
                      <w:lang w:val="en-US" w:eastAsia="zh-CN" w:bidi="ar"/>
                    </w:rPr>
                    <w:t>t/a</w:t>
                  </w:r>
                </w:p>
              </w:tc>
              <w:tc>
                <w:tcPr>
                  <w:tcW w:w="604" w:type="pct"/>
                  <w:vMerge w:val="continue"/>
                  <w:noWrap w:val="0"/>
                  <w:vAlign w:val="center"/>
                </w:tcPr>
                <w:p w14:paraId="767ABFB2">
                  <w:pPr>
                    <w:widowControl/>
                    <w:spacing w:line="240" w:lineRule="auto"/>
                    <w:jc w:val="center"/>
                    <w:textAlignment w:val="center"/>
                    <w:rPr>
                      <w:kern w:val="0"/>
                      <w:sz w:val="21"/>
                      <w:szCs w:val="21"/>
                      <w:lang w:bidi="ar"/>
                    </w:rPr>
                  </w:pPr>
                </w:p>
              </w:tc>
            </w:tr>
            <w:tr w14:paraId="42840F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630" w:type="pct"/>
                  <w:noWrap w:val="0"/>
                  <w:vAlign w:val="center"/>
                </w:tcPr>
                <w:p w14:paraId="2A64304A">
                  <w:pPr>
                    <w:widowControl/>
                    <w:spacing w:line="240" w:lineRule="auto"/>
                    <w:jc w:val="center"/>
                    <w:textAlignment w:val="center"/>
                    <w:rPr>
                      <w:rFonts w:hint="default" w:eastAsia="宋体"/>
                      <w:kern w:val="0"/>
                      <w:sz w:val="21"/>
                      <w:szCs w:val="21"/>
                      <w:lang w:val="en-US" w:eastAsia="zh-CN" w:bidi="ar"/>
                    </w:rPr>
                  </w:pPr>
                  <w:r>
                    <w:rPr>
                      <w:rFonts w:hint="eastAsia"/>
                      <w:kern w:val="0"/>
                      <w:sz w:val="21"/>
                      <w:szCs w:val="21"/>
                      <w:lang w:val="en-US" w:eastAsia="zh-CN" w:bidi="ar"/>
                    </w:rPr>
                    <w:t>废过滤棉</w:t>
                  </w:r>
                </w:p>
              </w:tc>
              <w:tc>
                <w:tcPr>
                  <w:tcW w:w="653" w:type="pct"/>
                  <w:noWrap w:val="0"/>
                  <w:vAlign w:val="center"/>
                </w:tcPr>
                <w:p w14:paraId="3841A8CC">
                  <w:pPr>
                    <w:widowControl/>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0.0</w:t>
                  </w:r>
                  <w:r>
                    <w:rPr>
                      <w:rFonts w:hint="eastAsia" w:cs="Times New Roman"/>
                      <w:kern w:val="0"/>
                      <w:sz w:val="21"/>
                      <w:szCs w:val="21"/>
                      <w:lang w:val="en-US" w:eastAsia="zh-CN" w:bidi="ar"/>
                    </w:rPr>
                    <w:t>6</w:t>
                  </w:r>
                  <w:r>
                    <w:rPr>
                      <w:rFonts w:hint="eastAsia" w:ascii="Times New Roman" w:hAnsi="Times New Roman" w:eastAsia="宋体" w:cs="Times New Roman"/>
                      <w:kern w:val="0"/>
                      <w:sz w:val="21"/>
                      <w:szCs w:val="21"/>
                      <w:lang w:val="en-US" w:eastAsia="zh-CN" w:bidi="ar"/>
                    </w:rPr>
                    <w:t>t/a</w:t>
                  </w:r>
                </w:p>
              </w:tc>
              <w:tc>
                <w:tcPr>
                  <w:tcW w:w="716" w:type="pct"/>
                  <w:noWrap w:val="0"/>
                  <w:vAlign w:val="center"/>
                </w:tcPr>
                <w:p w14:paraId="74DB2230">
                  <w:pPr>
                    <w:widowControl/>
                    <w:spacing w:line="240" w:lineRule="auto"/>
                    <w:jc w:val="center"/>
                    <w:textAlignment w:val="center"/>
                    <w:rPr>
                      <w:kern w:val="0"/>
                      <w:sz w:val="21"/>
                      <w:szCs w:val="21"/>
                      <w:lang w:bidi="ar"/>
                    </w:rPr>
                  </w:pPr>
                  <w:r>
                    <w:rPr>
                      <w:kern w:val="0"/>
                      <w:sz w:val="21"/>
                      <w:szCs w:val="21"/>
                      <w:lang w:bidi="ar"/>
                    </w:rPr>
                    <w:t>危险废物</w:t>
                  </w:r>
                </w:p>
                <w:p w14:paraId="21450CEB">
                  <w:pPr>
                    <w:widowControl/>
                    <w:spacing w:line="240" w:lineRule="auto"/>
                    <w:jc w:val="center"/>
                    <w:textAlignment w:val="center"/>
                    <w:rPr>
                      <w:kern w:val="0"/>
                      <w:sz w:val="21"/>
                      <w:szCs w:val="21"/>
                      <w:lang w:bidi="ar"/>
                    </w:rPr>
                  </w:pPr>
                  <w:r>
                    <w:rPr>
                      <w:kern w:val="0"/>
                      <w:sz w:val="21"/>
                      <w:szCs w:val="21"/>
                      <w:lang w:bidi="ar"/>
                    </w:rPr>
                    <w:t>(HW49 900-041-49)</w:t>
                  </w:r>
                </w:p>
              </w:tc>
              <w:tc>
                <w:tcPr>
                  <w:tcW w:w="438" w:type="pct"/>
                  <w:noWrap w:val="0"/>
                  <w:vAlign w:val="center"/>
                </w:tcPr>
                <w:p w14:paraId="51D03F0C">
                  <w:pPr>
                    <w:widowControl/>
                    <w:spacing w:line="240" w:lineRule="auto"/>
                    <w:jc w:val="center"/>
                    <w:textAlignment w:val="center"/>
                    <w:rPr>
                      <w:kern w:val="0"/>
                      <w:sz w:val="21"/>
                      <w:szCs w:val="21"/>
                      <w:lang w:bidi="ar"/>
                    </w:rPr>
                  </w:pPr>
                  <w:r>
                    <w:rPr>
                      <w:kern w:val="0"/>
                      <w:sz w:val="21"/>
                      <w:szCs w:val="21"/>
                      <w:lang w:bidi="ar"/>
                    </w:rPr>
                    <w:t>VOC</w:t>
                  </w:r>
                </w:p>
              </w:tc>
              <w:tc>
                <w:tcPr>
                  <w:tcW w:w="336" w:type="pct"/>
                  <w:noWrap w:val="0"/>
                  <w:vAlign w:val="center"/>
                </w:tcPr>
                <w:p w14:paraId="0EB5B2DB">
                  <w:pPr>
                    <w:widowControl/>
                    <w:spacing w:line="240" w:lineRule="auto"/>
                    <w:jc w:val="center"/>
                    <w:textAlignment w:val="center"/>
                    <w:rPr>
                      <w:kern w:val="0"/>
                      <w:sz w:val="21"/>
                      <w:szCs w:val="21"/>
                      <w:lang w:bidi="ar"/>
                    </w:rPr>
                  </w:pPr>
                  <w:r>
                    <w:rPr>
                      <w:kern w:val="0"/>
                      <w:sz w:val="21"/>
                      <w:szCs w:val="21"/>
                      <w:lang w:bidi="ar"/>
                    </w:rPr>
                    <w:t>固体</w:t>
                  </w:r>
                </w:p>
              </w:tc>
              <w:tc>
                <w:tcPr>
                  <w:tcW w:w="315" w:type="pct"/>
                  <w:noWrap w:val="0"/>
                  <w:vAlign w:val="center"/>
                </w:tcPr>
                <w:p w14:paraId="28ACD887">
                  <w:pPr>
                    <w:spacing w:line="240" w:lineRule="auto"/>
                    <w:jc w:val="center"/>
                    <w:rPr>
                      <w:sz w:val="21"/>
                      <w:szCs w:val="21"/>
                    </w:rPr>
                  </w:pPr>
                  <w:r>
                    <w:rPr>
                      <w:sz w:val="21"/>
                      <w:szCs w:val="21"/>
                    </w:rPr>
                    <w:t>T,In</w:t>
                  </w:r>
                </w:p>
              </w:tc>
              <w:tc>
                <w:tcPr>
                  <w:tcW w:w="650" w:type="pct"/>
                  <w:noWrap w:val="0"/>
                  <w:vAlign w:val="center"/>
                </w:tcPr>
                <w:p w14:paraId="03BFD62B">
                  <w:pPr>
                    <w:widowControl/>
                    <w:spacing w:line="240" w:lineRule="auto"/>
                    <w:jc w:val="center"/>
                    <w:textAlignment w:val="center"/>
                    <w:rPr>
                      <w:kern w:val="0"/>
                      <w:sz w:val="21"/>
                      <w:szCs w:val="21"/>
                      <w:lang w:bidi="ar"/>
                    </w:rPr>
                  </w:pPr>
                  <w:r>
                    <w:rPr>
                      <w:kern w:val="0"/>
                      <w:sz w:val="21"/>
                      <w:szCs w:val="21"/>
                      <w:lang w:bidi="ar"/>
                    </w:rPr>
                    <w:t>危废间暂存</w:t>
                  </w:r>
                </w:p>
              </w:tc>
              <w:tc>
                <w:tcPr>
                  <w:tcW w:w="654" w:type="pct"/>
                  <w:noWrap w:val="0"/>
                  <w:vAlign w:val="center"/>
                </w:tcPr>
                <w:p w14:paraId="21157394">
                  <w:pPr>
                    <w:widowControl/>
                    <w:spacing w:line="240" w:lineRule="auto"/>
                    <w:jc w:val="center"/>
                    <w:textAlignment w:val="center"/>
                    <w:rPr>
                      <w:rFonts w:hint="eastAsia"/>
                      <w:kern w:val="0"/>
                      <w:sz w:val="21"/>
                      <w:szCs w:val="21"/>
                      <w:lang w:bidi="ar"/>
                    </w:rPr>
                  </w:pPr>
                  <w:r>
                    <w:rPr>
                      <w:rFonts w:ascii="Times New Roman" w:hAnsi="Times New Roman" w:eastAsia="宋体" w:cs="Times New Roman"/>
                      <w:kern w:val="0"/>
                      <w:sz w:val="21"/>
                      <w:szCs w:val="21"/>
                      <w:lang w:bidi="ar"/>
                    </w:rPr>
                    <w:t>0.</w:t>
                  </w:r>
                  <w:r>
                    <w:rPr>
                      <w:rFonts w:hint="eastAsia" w:cs="Times New Roman"/>
                      <w:kern w:val="0"/>
                      <w:sz w:val="21"/>
                      <w:szCs w:val="21"/>
                      <w:lang w:val="en-US" w:eastAsia="zh-CN" w:bidi="ar"/>
                    </w:rPr>
                    <w:t>06</w:t>
                  </w:r>
                  <w:r>
                    <w:rPr>
                      <w:rFonts w:ascii="Times New Roman" w:hAnsi="Times New Roman" w:eastAsia="宋体" w:cs="Times New Roman"/>
                      <w:kern w:val="0"/>
                      <w:sz w:val="21"/>
                      <w:szCs w:val="21"/>
                      <w:lang w:bidi="ar"/>
                    </w:rPr>
                    <w:t>t/a</w:t>
                  </w:r>
                </w:p>
              </w:tc>
              <w:tc>
                <w:tcPr>
                  <w:tcW w:w="604" w:type="pct"/>
                  <w:vMerge w:val="continue"/>
                  <w:noWrap w:val="0"/>
                  <w:vAlign w:val="center"/>
                </w:tcPr>
                <w:p w14:paraId="5629EF93">
                  <w:pPr>
                    <w:widowControl/>
                    <w:spacing w:line="240" w:lineRule="auto"/>
                    <w:jc w:val="center"/>
                    <w:textAlignment w:val="center"/>
                    <w:rPr>
                      <w:kern w:val="0"/>
                      <w:sz w:val="21"/>
                      <w:szCs w:val="21"/>
                      <w:lang w:bidi="ar"/>
                    </w:rPr>
                  </w:pPr>
                </w:p>
              </w:tc>
            </w:tr>
            <w:tr w14:paraId="50104D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630" w:type="pct"/>
                  <w:noWrap w:val="0"/>
                  <w:vAlign w:val="center"/>
                </w:tcPr>
                <w:p w14:paraId="496BB01B">
                  <w:pPr>
                    <w:widowControl/>
                    <w:spacing w:line="240" w:lineRule="auto"/>
                    <w:jc w:val="center"/>
                    <w:textAlignment w:val="center"/>
                    <w:rPr>
                      <w:rFonts w:hint="default"/>
                      <w:kern w:val="0"/>
                      <w:sz w:val="21"/>
                      <w:szCs w:val="21"/>
                      <w:lang w:val="en-US" w:eastAsia="zh-CN" w:bidi="ar"/>
                    </w:rPr>
                  </w:pPr>
                  <w:r>
                    <w:rPr>
                      <w:rFonts w:hint="eastAsia"/>
                      <w:kern w:val="0"/>
                      <w:sz w:val="21"/>
                      <w:szCs w:val="21"/>
                      <w:lang w:val="en-US" w:eastAsia="zh-CN" w:bidi="ar"/>
                    </w:rPr>
                    <w:t>废漆渣</w:t>
                  </w:r>
                </w:p>
              </w:tc>
              <w:tc>
                <w:tcPr>
                  <w:tcW w:w="653" w:type="pct"/>
                  <w:noWrap w:val="0"/>
                  <w:vAlign w:val="center"/>
                </w:tcPr>
                <w:p w14:paraId="44B63F9D">
                  <w:pPr>
                    <w:widowControl/>
                    <w:spacing w:line="240" w:lineRule="auto"/>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cs="Times New Roman"/>
                      <w:bCs/>
                      <w:sz w:val="21"/>
                      <w:szCs w:val="21"/>
                      <w:lang w:val="en-US" w:eastAsia="zh-CN"/>
                    </w:rPr>
                    <w:t>2.22</w:t>
                  </w:r>
                  <w:r>
                    <w:rPr>
                      <w:rFonts w:hint="default" w:ascii="Times New Roman" w:hAnsi="Times New Roman" w:cs="Times New Roman"/>
                      <w:bCs/>
                      <w:sz w:val="21"/>
                      <w:szCs w:val="21"/>
                    </w:rPr>
                    <w:t>t/a</w:t>
                  </w:r>
                </w:p>
              </w:tc>
              <w:tc>
                <w:tcPr>
                  <w:tcW w:w="716" w:type="pct"/>
                  <w:noWrap w:val="0"/>
                  <w:vAlign w:val="center"/>
                </w:tcPr>
                <w:p w14:paraId="7926DC45">
                  <w:pPr>
                    <w:widowControl/>
                    <w:spacing w:line="240" w:lineRule="auto"/>
                    <w:jc w:val="center"/>
                    <w:textAlignment w:val="center"/>
                    <w:rPr>
                      <w:kern w:val="0"/>
                      <w:sz w:val="21"/>
                      <w:szCs w:val="21"/>
                      <w:lang w:bidi="ar"/>
                    </w:rPr>
                  </w:pPr>
                  <w:r>
                    <w:rPr>
                      <w:kern w:val="0"/>
                      <w:sz w:val="21"/>
                      <w:szCs w:val="21"/>
                      <w:lang w:bidi="ar"/>
                    </w:rPr>
                    <w:t>危险废物</w:t>
                  </w:r>
                </w:p>
                <w:p w14:paraId="47C5882A">
                  <w:pPr>
                    <w:widowControl/>
                    <w:spacing w:line="240" w:lineRule="auto"/>
                    <w:jc w:val="center"/>
                    <w:textAlignment w:val="center"/>
                    <w:rPr>
                      <w:kern w:val="0"/>
                      <w:sz w:val="21"/>
                      <w:szCs w:val="21"/>
                      <w:lang w:bidi="ar"/>
                    </w:rPr>
                  </w:pPr>
                  <w:r>
                    <w:rPr>
                      <w:kern w:val="0"/>
                      <w:sz w:val="21"/>
                      <w:szCs w:val="21"/>
                      <w:lang w:bidi="ar"/>
                    </w:rPr>
                    <w:t>(HW</w:t>
                  </w:r>
                  <w:r>
                    <w:rPr>
                      <w:rFonts w:hint="eastAsia"/>
                      <w:kern w:val="0"/>
                      <w:sz w:val="21"/>
                      <w:szCs w:val="21"/>
                      <w:lang w:val="en-US" w:eastAsia="zh-CN" w:bidi="ar"/>
                    </w:rPr>
                    <w:t xml:space="preserve">12 </w:t>
                  </w:r>
                  <w:r>
                    <w:rPr>
                      <w:rFonts w:hint="default" w:ascii="Times New Roman" w:hAnsi="Times New Roman" w:cs="Times New Roman"/>
                      <w:sz w:val="21"/>
                      <w:szCs w:val="21"/>
                    </w:rPr>
                    <w:t>900-</w:t>
                  </w:r>
                  <w:r>
                    <w:rPr>
                      <w:rFonts w:hint="eastAsia" w:ascii="Times New Roman" w:hAnsi="Times New Roman" w:cs="Times New Roman"/>
                      <w:sz w:val="21"/>
                      <w:szCs w:val="21"/>
                      <w:lang w:val="en-US" w:eastAsia="zh-CN"/>
                    </w:rPr>
                    <w:t>252-12</w:t>
                  </w:r>
                  <w:r>
                    <w:rPr>
                      <w:kern w:val="0"/>
                      <w:sz w:val="21"/>
                      <w:szCs w:val="21"/>
                      <w:lang w:bidi="ar"/>
                    </w:rPr>
                    <w:t>)</w:t>
                  </w:r>
                </w:p>
              </w:tc>
              <w:tc>
                <w:tcPr>
                  <w:tcW w:w="438" w:type="pct"/>
                  <w:noWrap w:val="0"/>
                  <w:vAlign w:val="center"/>
                </w:tcPr>
                <w:p w14:paraId="1ED328DC">
                  <w:pPr>
                    <w:widowControl/>
                    <w:spacing w:line="240" w:lineRule="auto"/>
                    <w:jc w:val="center"/>
                    <w:textAlignment w:val="center"/>
                    <w:rPr>
                      <w:rFonts w:hint="eastAsia" w:eastAsia="宋体"/>
                      <w:kern w:val="0"/>
                      <w:sz w:val="21"/>
                      <w:szCs w:val="21"/>
                      <w:lang w:val="en-US" w:eastAsia="zh-CN" w:bidi="ar"/>
                    </w:rPr>
                  </w:pPr>
                  <w:r>
                    <w:rPr>
                      <w:rFonts w:hint="eastAsia"/>
                      <w:kern w:val="0"/>
                      <w:sz w:val="21"/>
                      <w:szCs w:val="21"/>
                      <w:lang w:val="en-US" w:eastAsia="zh-CN" w:bidi="ar"/>
                    </w:rPr>
                    <w:t>漆雾</w:t>
                  </w:r>
                </w:p>
              </w:tc>
              <w:tc>
                <w:tcPr>
                  <w:tcW w:w="336" w:type="pct"/>
                  <w:noWrap w:val="0"/>
                  <w:vAlign w:val="center"/>
                </w:tcPr>
                <w:p w14:paraId="691833E6">
                  <w:pPr>
                    <w:widowControl/>
                    <w:spacing w:line="240" w:lineRule="auto"/>
                    <w:jc w:val="center"/>
                    <w:textAlignment w:val="center"/>
                    <w:rPr>
                      <w:kern w:val="0"/>
                      <w:sz w:val="21"/>
                      <w:szCs w:val="21"/>
                      <w:lang w:bidi="ar"/>
                    </w:rPr>
                  </w:pPr>
                  <w:r>
                    <w:rPr>
                      <w:kern w:val="0"/>
                      <w:sz w:val="21"/>
                      <w:szCs w:val="21"/>
                      <w:lang w:bidi="ar"/>
                    </w:rPr>
                    <w:t>固体</w:t>
                  </w:r>
                </w:p>
              </w:tc>
              <w:tc>
                <w:tcPr>
                  <w:tcW w:w="315" w:type="pct"/>
                  <w:noWrap w:val="0"/>
                  <w:vAlign w:val="center"/>
                </w:tcPr>
                <w:p w14:paraId="41C32E31">
                  <w:pPr>
                    <w:spacing w:line="240" w:lineRule="auto"/>
                    <w:jc w:val="center"/>
                    <w:rPr>
                      <w:sz w:val="21"/>
                      <w:szCs w:val="21"/>
                    </w:rPr>
                  </w:pPr>
                  <w:r>
                    <w:rPr>
                      <w:sz w:val="21"/>
                      <w:szCs w:val="21"/>
                    </w:rPr>
                    <w:t>T,I</w:t>
                  </w:r>
                </w:p>
              </w:tc>
              <w:tc>
                <w:tcPr>
                  <w:tcW w:w="650" w:type="pct"/>
                  <w:noWrap w:val="0"/>
                  <w:vAlign w:val="center"/>
                </w:tcPr>
                <w:p w14:paraId="1C07AD23">
                  <w:pPr>
                    <w:widowControl/>
                    <w:spacing w:line="240" w:lineRule="auto"/>
                    <w:jc w:val="center"/>
                    <w:textAlignment w:val="center"/>
                    <w:rPr>
                      <w:kern w:val="0"/>
                      <w:sz w:val="21"/>
                      <w:szCs w:val="21"/>
                      <w:lang w:bidi="ar"/>
                    </w:rPr>
                  </w:pPr>
                  <w:r>
                    <w:rPr>
                      <w:kern w:val="0"/>
                      <w:sz w:val="21"/>
                      <w:szCs w:val="21"/>
                      <w:lang w:bidi="ar"/>
                    </w:rPr>
                    <w:t>危废间暂存</w:t>
                  </w:r>
                </w:p>
              </w:tc>
              <w:tc>
                <w:tcPr>
                  <w:tcW w:w="654" w:type="pct"/>
                  <w:noWrap w:val="0"/>
                  <w:vAlign w:val="center"/>
                </w:tcPr>
                <w:p w14:paraId="5D250B8A">
                  <w:pPr>
                    <w:widowControl/>
                    <w:spacing w:line="240" w:lineRule="auto"/>
                    <w:jc w:val="center"/>
                    <w:textAlignment w:val="center"/>
                    <w:rPr>
                      <w:rFonts w:ascii="Times New Roman" w:hAnsi="Times New Roman" w:eastAsia="宋体" w:cs="Times New Roman"/>
                      <w:kern w:val="0"/>
                      <w:sz w:val="21"/>
                      <w:szCs w:val="21"/>
                      <w:lang w:bidi="ar"/>
                    </w:rPr>
                  </w:pPr>
                  <w:r>
                    <w:rPr>
                      <w:rFonts w:hint="eastAsia" w:ascii="Times New Roman" w:hAnsi="Times New Roman" w:cs="Times New Roman"/>
                      <w:bCs/>
                      <w:sz w:val="21"/>
                      <w:szCs w:val="21"/>
                      <w:lang w:val="en-US" w:eastAsia="zh-CN"/>
                    </w:rPr>
                    <w:t>2.22</w:t>
                  </w:r>
                  <w:r>
                    <w:rPr>
                      <w:rFonts w:hint="default" w:ascii="Times New Roman" w:hAnsi="Times New Roman" w:cs="Times New Roman"/>
                      <w:bCs/>
                      <w:sz w:val="21"/>
                      <w:szCs w:val="21"/>
                    </w:rPr>
                    <w:t>t/a</w:t>
                  </w:r>
                </w:p>
              </w:tc>
              <w:tc>
                <w:tcPr>
                  <w:tcW w:w="604" w:type="pct"/>
                  <w:vMerge w:val="continue"/>
                  <w:noWrap w:val="0"/>
                  <w:vAlign w:val="center"/>
                </w:tcPr>
                <w:p w14:paraId="4644019C">
                  <w:pPr>
                    <w:widowControl/>
                    <w:spacing w:line="240" w:lineRule="auto"/>
                    <w:jc w:val="center"/>
                    <w:textAlignment w:val="center"/>
                    <w:rPr>
                      <w:kern w:val="0"/>
                      <w:sz w:val="21"/>
                      <w:szCs w:val="21"/>
                      <w:lang w:bidi="ar"/>
                    </w:rPr>
                  </w:pPr>
                </w:p>
              </w:tc>
            </w:tr>
            <w:tr w14:paraId="2FE956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630" w:type="pct"/>
                  <w:noWrap w:val="0"/>
                  <w:vAlign w:val="center"/>
                </w:tcPr>
                <w:p w14:paraId="2241F486">
                  <w:pPr>
                    <w:widowControl/>
                    <w:spacing w:line="240" w:lineRule="auto"/>
                    <w:jc w:val="center"/>
                    <w:textAlignment w:val="center"/>
                    <w:rPr>
                      <w:rFonts w:hint="default"/>
                      <w:kern w:val="0"/>
                      <w:sz w:val="21"/>
                      <w:szCs w:val="21"/>
                      <w:lang w:val="en-US" w:eastAsia="zh-CN" w:bidi="ar"/>
                    </w:rPr>
                  </w:pPr>
                  <w:r>
                    <w:rPr>
                      <w:rFonts w:hint="eastAsia"/>
                      <w:kern w:val="0"/>
                      <w:sz w:val="21"/>
                      <w:szCs w:val="21"/>
                      <w:lang w:val="en-US" w:eastAsia="zh-CN" w:bidi="ar"/>
                    </w:rPr>
                    <w:t>喷漆废水</w:t>
                  </w:r>
                </w:p>
              </w:tc>
              <w:tc>
                <w:tcPr>
                  <w:tcW w:w="653" w:type="pct"/>
                  <w:noWrap w:val="0"/>
                  <w:vAlign w:val="center"/>
                </w:tcPr>
                <w:p w14:paraId="77BF454F">
                  <w:pPr>
                    <w:widowControl/>
                    <w:spacing w:line="240" w:lineRule="auto"/>
                    <w:jc w:val="center"/>
                    <w:textAlignment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48t/a</w:t>
                  </w:r>
                </w:p>
              </w:tc>
              <w:tc>
                <w:tcPr>
                  <w:tcW w:w="716" w:type="pct"/>
                  <w:noWrap w:val="0"/>
                  <w:vAlign w:val="center"/>
                </w:tcPr>
                <w:p w14:paraId="3302D381">
                  <w:pPr>
                    <w:widowControl/>
                    <w:spacing w:line="240" w:lineRule="auto"/>
                    <w:jc w:val="center"/>
                    <w:textAlignment w:val="center"/>
                    <w:rPr>
                      <w:kern w:val="0"/>
                      <w:sz w:val="21"/>
                      <w:szCs w:val="21"/>
                      <w:lang w:bidi="ar"/>
                    </w:rPr>
                  </w:pPr>
                  <w:r>
                    <w:rPr>
                      <w:kern w:val="0"/>
                      <w:sz w:val="21"/>
                      <w:szCs w:val="21"/>
                      <w:lang w:bidi="ar"/>
                    </w:rPr>
                    <w:t>危险废物</w:t>
                  </w:r>
                </w:p>
                <w:p w14:paraId="0592BD5E">
                  <w:pPr>
                    <w:widowControl/>
                    <w:spacing w:line="240" w:lineRule="auto"/>
                    <w:jc w:val="center"/>
                    <w:textAlignment w:val="center"/>
                    <w:rPr>
                      <w:kern w:val="0"/>
                      <w:sz w:val="21"/>
                      <w:szCs w:val="21"/>
                      <w:lang w:bidi="ar"/>
                    </w:rPr>
                  </w:pPr>
                  <w:r>
                    <w:rPr>
                      <w:kern w:val="0"/>
                      <w:sz w:val="21"/>
                      <w:szCs w:val="21"/>
                      <w:lang w:bidi="ar"/>
                    </w:rPr>
                    <w:t>(HW</w:t>
                  </w:r>
                  <w:r>
                    <w:rPr>
                      <w:rFonts w:hint="eastAsia"/>
                      <w:kern w:val="0"/>
                      <w:sz w:val="21"/>
                      <w:szCs w:val="21"/>
                      <w:lang w:val="en-US" w:eastAsia="zh-CN" w:bidi="ar"/>
                    </w:rPr>
                    <w:t xml:space="preserve">12 </w:t>
                  </w:r>
                  <w:r>
                    <w:rPr>
                      <w:rFonts w:hint="default" w:ascii="Times New Roman" w:hAnsi="Times New Roman" w:cs="Times New Roman"/>
                      <w:sz w:val="21"/>
                      <w:szCs w:val="21"/>
                    </w:rPr>
                    <w:t>900-</w:t>
                  </w:r>
                  <w:r>
                    <w:rPr>
                      <w:rFonts w:hint="eastAsia" w:ascii="Times New Roman" w:hAnsi="Times New Roman" w:cs="Times New Roman"/>
                      <w:sz w:val="21"/>
                      <w:szCs w:val="21"/>
                      <w:lang w:val="en-US" w:eastAsia="zh-CN"/>
                    </w:rPr>
                    <w:t>252-12</w:t>
                  </w:r>
                  <w:r>
                    <w:rPr>
                      <w:kern w:val="0"/>
                      <w:sz w:val="21"/>
                      <w:szCs w:val="21"/>
                      <w:lang w:bidi="ar"/>
                    </w:rPr>
                    <w:t>)</w:t>
                  </w:r>
                </w:p>
              </w:tc>
              <w:tc>
                <w:tcPr>
                  <w:tcW w:w="438" w:type="pct"/>
                  <w:noWrap w:val="0"/>
                  <w:vAlign w:val="center"/>
                </w:tcPr>
                <w:p w14:paraId="57E438F5">
                  <w:pPr>
                    <w:widowControl/>
                    <w:spacing w:line="240" w:lineRule="auto"/>
                    <w:jc w:val="center"/>
                    <w:textAlignment w:val="center"/>
                    <w:rPr>
                      <w:rFonts w:hint="default"/>
                      <w:kern w:val="0"/>
                      <w:sz w:val="21"/>
                      <w:szCs w:val="21"/>
                      <w:lang w:val="en-US" w:eastAsia="zh-CN" w:bidi="ar"/>
                    </w:rPr>
                  </w:pPr>
                  <w:r>
                    <w:rPr>
                      <w:rFonts w:hint="eastAsia"/>
                      <w:kern w:val="0"/>
                      <w:sz w:val="21"/>
                      <w:szCs w:val="21"/>
                      <w:lang w:val="en-US" w:eastAsia="zh-CN" w:bidi="ar"/>
                    </w:rPr>
                    <w:t>漆雾</w:t>
                  </w:r>
                </w:p>
              </w:tc>
              <w:tc>
                <w:tcPr>
                  <w:tcW w:w="336" w:type="pct"/>
                  <w:noWrap w:val="0"/>
                  <w:vAlign w:val="center"/>
                </w:tcPr>
                <w:p w14:paraId="31D7BC70">
                  <w:pPr>
                    <w:widowControl/>
                    <w:spacing w:line="240" w:lineRule="auto"/>
                    <w:jc w:val="center"/>
                    <w:textAlignment w:val="center"/>
                    <w:rPr>
                      <w:rFonts w:hint="eastAsia" w:eastAsia="宋体"/>
                      <w:kern w:val="0"/>
                      <w:sz w:val="21"/>
                      <w:szCs w:val="21"/>
                      <w:lang w:val="en-US" w:eastAsia="zh-CN" w:bidi="ar"/>
                    </w:rPr>
                  </w:pPr>
                  <w:r>
                    <w:rPr>
                      <w:rFonts w:hint="eastAsia"/>
                      <w:kern w:val="0"/>
                      <w:sz w:val="21"/>
                      <w:szCs w:val="21"/>
                      <w:lang w:val="en-US" w:eastAsia="zh-CN" w:bidi="ar"/>
                    </w:rPr>
                    <w:t>液体</w:t>
                  </w:r>
                </w:p>
              </w:tc>
              <w:tc>
                <w:tcPr>
                  <w:tcW w:w="315" w:type="pct"/>
                  <w:noWrap w:val="0"/>
                  <w:vAlign w:val="center"/>
                </w:tcPr>
                <w:p w14:paraId="44C1C680">
                  <w:pPr>
                    <w:spacing w:line="240" w:lineRule="auto"/>
                    <w:jc w:val="center"/>
                    <w:rPr>
                      <w:sz w:val="21"/>
                      <w:szCs w:val="21"/>
                    </w:rPr>
                  </w:pPr>
                  <w:r>
                    <w:rPr>
                      <w:sz w:val="21"/>
                      <w:szCs w:val="21"/>
                    </w:rPr>
                    <w:t>T,I</w:t>
                  </w:r>
                </w:p>
              </w:tc>
              <w:tc>
                <w:tcPr>
                  <w:tcW w:w="650" w:type="pct"/>
                  <w:noWrap w:val="0"/>
                  <w:vAlign w:val="center"/>
                </w:tcPr>
                <w:p w14:paraId="54307D61">
                  <w:pPr>
                    <w:widowControl/>
                    <w:spacing w:line="240" w:lineRule="auto"/>
                    <w:jc w:val="center"/>
                    <w:textAlignment w:val="center"/>
                    <w:rPr>
                      <w:kern w:val="0"/>
                      <w:sz w:val="21"/>
                      <w:szCs w:val="21"/>
                      <w:lang w:bidi="ar"/>
                    </w:rPr>
                  </w:pPr>
                  <w:r>
                    <w:rPr>
                      <w:kern w:val="0"/>
                      <w:sz w:val="21"/>
                      <w:szCs w:val="21"/>
                      <w:lang w:bidi="ar"/>
                    </w:rPr>
                    <w:t>危废间暂存</w:t>
                  </w:r>
                </w:p>
              </w:tc>
              <w:tc>
                <w:tcPr>
                  <w:tcW w:w="654" w:type="pct"/>
                  <w:noWrap w:val="0"/>
                  <w:vAlign w:val="center"/>
                </w:tcPr>
                <w:p w14:paraId="25C43CCF">
                  <w:pPr>
                    <w:widowControl/>
                    <w:spacing w:line="240" w:lineRule="auto"/>
                    <w:jc w:val="center"/>
                    <w:textAlignment w:val="center"/>
                    <w:rPr>
                      <w:rFonts w:hint="eastAsia" w:ascii="Times New Roman" w:hAnsi="Times New Roman" w:cs="Times New Roman"/>
                      <w:bCs/>
                      <w:sz w:val="21"/>
                      <w:szCs w:val="21"/>
                      <w:lang w:val="en-US" w:eastAsia="zh-CN"/>
                    </w:rPr>
                  </w:pPr>
                  <w:r>
                    <w:rPr>
                      <w:rFonts w:hint="eastAsia" w:cs="Times New Roman"/>
                      <w:bCs/>
                      <w:sz w:val="21"/>
                      <w:szCs w:val="21"/>
                      <w:lang w:val="en-US" w:eastAsia="zh-CN"/>
                    </w:rPr>
                    <w:t>48t/a</w:t>
                  </w:r>
                </w:p>
              </w:tc>
              <w:tc>
                <w:tcPr>
                  <w:tcW w:w="604" w:type="pct"/>
                  <w:vMerge w:val="continue"/>
                  <w:noWrap w:val="0"/>
                  <w:vAlign w:val="center"/>
                </w:tcPr>
                <w:p w14:paraId="6161552C">
                  <w:pPr>
                    <w:widowControl/>
                    <w:spacing w:line="240" w:lineRule="auto"/>
                    <w:jc w:val="center"/>
                    <w:textAlignment w:val="center"/>
                    <w:rPr>
                      <w:kern w:val="0"/>
                      <w:sz w:val="21"/>
                      <w:szCs w:val="21"/>
                      <w:lang w:bidi="ar"/>
                    </w:rPr>
                  </w:pPr>
                </w:p>
              </w:tc>
            </w:tr>
          </w:tbl>
          <w:p w14:paraId="1E026E8D">
            <w:pPr>
              <w:bidi w:val="0"/>
              <w:spacing w:line="360" w:lineRule="auto"/>
              <w:ind w:firstLine="422" w:firstLineChars="200"/>
              <w:rPr>
                <w:b/>
                <w:bCs/>
              </w:rPr>
            </w:pPr>
            <w:r>
              <w:rPr>
                <w:b/>
                <w:bCs/>
              </w:rPr>
              <w:t>（3）固废环境管理要求</w:t>
            </w:r>
          </w:p>
          <w:p w14:paraId="3E31F080">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据国家相关法律法规，一般固废暂存间采用库房、包装工具（罐、桶、包装袋等）贮存一般工业固体废物的，贮存过程应满足相应防渗漏、防雨淋、防扬尘等环境保护要求；危险废物和生活垃圾不得进入一般工业固体废物贮存场；不相容的一般工业固体废物应设置不同的分区进行贮存；贮存场应设置清晰、完整的一般工业固体废物标志牌等。建设单位生产运营期间一般工业固体废物自行贮存/利用/处置设施的环境管理和相关设施运行维护要求还应符合GB15562.2、GB18599、GB30485和HJ2035等相关标准规范要求，并按照《一般工业固体废物管理台账制定指南（试行）》（生态环境部公告2021年82号）的相关要求做好一般固废的管理台账，并合法处置一般工业固废。建设单位委托他人运输、利用、处置一般工业固体废物的，应落实《中华人民共和国固体废物污染环境防治法》等法律法规要求，对受托方的主体资格和技术能力进行核实，依法签订书面合同，在合同中约定污染防治要求等。</w:t>
            </w:r>
          </w:p>
          <w:p w14:paraId="3F23BCE9">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危废暂存间严格按照《危险废物贮存污染控制标准》GB18597-2023的要求设计，做好防雨、防渗、防腐，防止二次污染并按照《危险废物管理计划和管理台账制定技术导则》HJ1259-2022 的相关要求做好管理计划和台账。</w:t>
            </w:r>
          </w:p>
          <w:p w14:paraId="340F7A4C">
            <w:pPr>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危险废物暂存间的建设</w:t>
            </w:r>
            <w:r>
              <w:rPr>
                <w:rFonts w:hint="default" w:ascii="Times New Roman" w:hAnsi="Times New Roman" w:cs="Times New Roman"/>
                <w:color w:val="auto"/>
                <w:sz w:val="21"/>
                <w:szCs w:val="21"/>
              </w:rPr>
              <w:t>要求具体要求如下：</w:t>
            </w:r>
          </w:p>
          <w:p w14:paraId="661D83E9">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①贮存设施应根据危险废物的形态、物理化学性质、包装形式和污染物迁移途径，采取必要的防风、防晒、防雨、防漏、防渗、防腐以及其他环境污染防治措施，不应露天堆放危险废物。</w:t>
            </w:r>
          </w:p>
          <w:p w14:paraId="4A8FACFF">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②贮存设施应根据危险废物的类别、数量、形态、物理化学性质和污染防治等要求设置必要的贮存分区，避免不相容的危险废物接触、混合。</w:t>
            </w:r>
          </w:p>
          <w:p w14:paraId="65C068FA">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③贮存设施或贮存分区内地面、墙面裙脚、堵截泄漏的围堰、接触危险废物的隔板和墙体等应采用坚固的材料建造，表面无裂缝。</w:t>
            </w:r>
          </w:p>
          <w:p w14:paraId="74AA506B">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cm/s），或至少2mm厚高密度聚乙烯膜等人工防渗材料（渗透系数不大于10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cm/s），或其他防渗性能等效的材料。</w:t>
            </w:r>
          </w:p>
          <w:p w14:paraId="24C00D4D">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⑤同一贮存设施宜采用相同的防渗、防腐工艺（包括防渗、防腐结构或材料），防渗、防腐材料应覆盖所有可能与废物及其渗滤液、渗漏液等接触的构筑物表面；采用不同防渗、防腐工艺应分别建设贮存分区。</w:t>
            </w:r>
          </w:p>
          <w:p w14:paraId="7F9C7B00">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⑥贮存设施应采取技术和管理措施防止无关人员进入。</w:t>
            </w:r>
          </w:p>
          <w:p w14:paraId="35081F1D">
            <w:pPr>
              <w:spacing w:line="360" w:lineRule="auto"/>
              <w:ind w:firstLine="422" w:firstLineChars="20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危废暂存管理措施：</w:t>
            </w:r>
          </w:p>
          <w:p w14:paraId="56666A1C">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针对危废管理，本环评提出以下具体要求：</w:t>
            </w:r>
          </w:p>
          <w:p w14:paraId="2E90E779">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包装容器应达到相应的强度要求并完好无损，禁止混合贮存性质不相容而未经安全性处置的危险废物；危险废物容器和包装物以及危险废物贮存设施、场所应按规定设置危险废物识别标志；仓库式贮存设施应分开存放不相</w:t>
            </w:r>
            <w:r>
              <w:rPr>
                <w:rFonts w:hint="default" w:ascii="Times New Roman" w:hAnsi="Times New Roman" w:cs="Times New Roman"/>
                <w:color w:val="auto"/>
                <w:sz w:val="21"/>
                <w:szCs w:val="21"/>
                <w:lang w:eastAsia="zh-CN"/>
              </w:rPr>
              <w:t>容的</w:t>
            </w:r>
            <w:r>
              <w:rPr>
                <w:rFonts w:hint="default" w:ascii="Times New Roman" w:hAnsi="Times New Roman" w:cs="Times New Roman"/>
                <w:color w:val="auto"/>
                <w:sz w:val="21"/>
                <w:szCs w:val="21"/>
              </w:rPr>
              <w:t>危险废物，按危险废物的种类和特性进行分区贮存，采用防腐、防渗地面和裙脚，设置防止泄漏物质扩散至外环境的拦截、导流、收集设施；贮存堆场要防风、防雨、防晒。建设单位生产运营期间危险废物自行贮存设施的环境管理和相关设施运行维护还应符合 GB15562.2、GB18484、GB18597、GB30485、HJ2025 和 HJ2042 等相关标准规范要求。</w:t>
            </w:r>
          </w:p>
          <w:p w14:paraId="26D387C0">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w:t>
            </w:r>
          </w:p>
          <w:p w14:paraId="56DB912F">
            <w:pPr>
              <w:spacing w:line="360" w:lineRule="auto"/>
              <w:ind w:firstLine="420" w:firstLineChars="200"/>
              <w:rPr>
                <w:rFonts w:hint="default" w:ascii="Times New Roman" w:hAnsi="Times New Roman" w:cs="Times New Roman"/>
                <w:color w:val="auto"/>
                <w:sz w:val="24"/>
                <w:szCs w:val="22"/>
              </w:rPr>
            </w:pPr>
            <w:r>
              <w:rPr>
                <w:rFonts w:hint="default" w:ascii="Times New Roman" w:hAnsi="Times New Roman" w:cs="Times New Roman"/>
                <w:color w:val="auto"/>
                <w:sz w:val="21"/>
                <w:szCs w:val="21"/>
              </w:rPr>
              <w:t>本项目新危险废物暂存间1处，面积约</w:t>
            </w:r>
            <w:r>
              <w:rPr>
                <w:rFonts w:hint="eastAsia" w:cs="Times New Roman"/>
                <w:color w:val="auto"/>
                <w:sz w:val="21"/>
                <w:szCs w:val="21"/>
                <w:lang w:val="en-US" w:eastAsia="zh-CN"/>
              </w:rPr>
              <w:t>23</w:t>
            </w:r>
            <w:r>
              <w:rPr>
                <w:rFonts w:hint="default" w:ascii="Times New Roman" w:hAnsi="Times New Roman" w:cs="Times New Roman"/>
                <w:color w:val="auto"/>
                <w:sz w:val="21"/>
                <w:szCs w:val="21"/>
              </w:rPr>
              <w:t>平方米，危险废物暂存间为重点防渗区域，建设要求应依据《危险废物贮存污染控制标准》（GB18597-2023）进行。</w:t>
            </w:r>
          </w:p>
          <w:p w14:paraId="48A175B9">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b/>
                <w:bCs/>
                <w:color w:val="000000"/>
                <w:kern w:val="0"/>
                <w:sz w:val="21"/>
                <w:szCs w:val="21"/>
                <w:lang w:val="en-US" w:eastAsia="zh-CN" w:bidi="ar"/>
              </w:rPr>
              <w:t>表 4-</w:t>
            </w:r>
            <w:r>
              <w:rPr>
                <w:rFonts w:hint="eastAsia" w:cs="Times New Roman"/>
                <w:b/>
                <w:bCs/>
                <w:color w:val="000000"/>
                <w:kern w:val="0"/>
                <w:sz w:val="21"/>
                <w:szCs w:val="21"/>
                <w:lang w:val="en-US" w:eastAsia="zh-CN" w:bidi="ar"/>
              </w:rPr>
              <w:t>20</w:t>
            </w:r>
            <w:r>
              <w:rPr>
                <w:rFonts w:hint="default" w:ascii="Times New Roman" w:hAnsi="Times New Roman" w:eastAsia="宋体" w:cs="Times New Roman"/>
                <w:b/>
                <w:bCs/>
                <w:color w:val="000000"/>
                <w:kern w:val="0"/>
                <w:sz w:val="21"/>
                <w:szCs w:val="21"/>
                <w:lang w:val="en-US" w:eastAsia="zh-CN" w:bidi="ar"/>
              </w:rPr>
              <w:t>本项目危险废物贮存场所（设施）基本情况</w:t>
            </w:r>
          </w:p>
          <w:tbl>
            <w:tblPr>
              <w:tblStyle w:val="27"/>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66"/>
              <w:gridCol w:w="1078"/>
              <w:gridCol w:w="1138"/>
              <w:gridCol w:w="901"/>
              <w:gridCol w:w="1198"/>
              <w:gridCol w:w="813"/>
              <w:gridCol w:w="868"/>
              <w:gridCol w:w="637"/>
              <w:gridCol w:w="713"/>
              <w:gridCol w:w="828"/>
            </w:tblGrid>
            <w:tr w14:paraId="7476EB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84" w:hRule="atLeast"/>
                <w:jc w:val="center"/>
              </w:trPr>
              <w:tc>
                <w:tcPr>
                  <w:tcW w:w="376" w:type="pct"/>
                  <w:tcBorders>
                    <w:tl2br w:val="nil"/>
                    <w:tr2bl w:val="nil"/>
                  </w:tcBorders>
                  <w:noWrap w:val="0"/>
                  <w:vAlign w:val="center"/>
                </w:tcPr>
                <w:p w14:paraId="772A591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609" w:type="pct"/>
                  <w:tcBorders>
                    <w:tl2br w:val="nil"/>
                    <w:tr2bl w:val="nil"/>
                  </w:tcBorders>
                  <w:noWrap w:val="0"/>
                  <w:vAlign w:val="center"/>
                </w:tcPr>
                <w:p w14:paraId="20D1376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贮存场所（设施）名称</w:t>
                  </w:r>
                </w:p>
              </w:tc>
              <w:tc>
                <w:tcPr>
                  <w:tcW w:w="643" w:type="pct"/>
                  <w:tcBorders>
                    <w:tl2br w:val="nil"/>
                    <w:tr2bl w:val="nil"/>
                  </w:tcBorders>
                  <w:noWrap w:val="0"/>
                  <w:vAlign w:val="center"/>
                </w:tcPr>
                <w:p w14:paraId="6CC1A3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废物名称</w:t>
                  </w:r>
                </w:p>
              </w:tc>
              <w:tc>
                <w:tcPr>
                  <w:tcW w:w="509" w:type="pct"/>
                  <w:tcBorders>
                    <w:tl2br w:val="nil"/>
                    <w:tr2bl w:val="nil"/>
                  </w:tcBorders>
                  <w:noWrap w:val="0"/>
                  <w:vAlign w:val="center"/>
                </w:tcPr>
                <w:p w14:paraId="4CFDF03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危险废物类别</w:t>
                  </w:r>
                </w:p>
              </w:tc>
              <w:tc>
                <w:tcPr>
                  <w:tcW w:w="677" w:type="pct"/>
                  <w:tcBorders>
                    <w:tl2br w:val="nil"/>
                    <w:tr2bl w:val="nil"/>
                  </w:tcBorders>
                  <w:noWrap w:val="0"/>
                  <w:vAlign w:val="center"/>
                </w:tcPr>
                <w:p w14:paraId="2CD7BE8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危险废物代码</w:t>
                  </w:r>
                </w:p>
              </w:tc>
              <w:tc>
                <w:tcPr>
                  <w:tcW w:w="459" w:type="pct"/>
                  <w:tcBorders>
                    <w:tl2br w:val="nil"/>
                    <w:tr2bl w:val="nil"/>
                  </w:tcBorders>
                  <w:noWrap w:val="0"/>
                  <w:vAlign w:val="center"/>
                </w:tcPr>
                <w:p w14:paraId="6B5491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位置</w:t>
                  </w:r>
                </w:p>
              </w:tc>
              <w:tc>
                <w:tcPr>
                  <w:tcW w:w="490" w:type="pct"/>
                  <w:tcBorders>
                    <w:tl2br w:val="nil"/>
                    <w:tr2bl w:val="nil"/>
                  </w:tcBorders>
                  <w:noWrap w:val="0"/>
                  <w:vAlign w:val="center"/>
                </w:tcPr>
                <w:p w14:paraId="00C22E0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占地面积（m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w:t>
                  </w:r>
                </w:p>
              </w:tc>
              <w:tc>
                <w:tcPr>
                  <w:tcW w:w="360" w:type="pct"/>
                  <w:tcBorders>
                    <w:tl2br w:val="nil"/>
                    <w:tr2bl w:val="nil"/>
                  </w:tcBorders>
                  <w:noWrap w:val="0"/>
                  <w:vAlign w:val="center"/>
                </w:tcPr>
                <w:p w14:paraId="4372FFD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贮存方式</w:t>
                  </w:r>
                </w:p>
              </w:tc>
              <w:tc>
                <w:tcPr>
                  <w:tcW w:w="403" w:type="pct"/>
                  <w:tcBorders>
                    <w:tl2br w:val="nil"/>
                    <w:tr2bl w:val="nil"/>
                  </w:tcBorders>
                  <w:noWrap w:val="0"/>
                  <w:vAlign w:val="center"/>
                </w:tcPr>
                <w:p w14:paraId="57B2D01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贮存能力</w:t>
                  </w:r>
                </w:p>
              </w:tc>
              <w:tc>
                <w:tcPr>
                  <w:tcW w:w="468" w:type="pct"/>
                  <w:tcBorders>
                    <w:tl2br w:val="nil"/>
                    <w:tr2bl w:val="nil"/>
                  </w:tcBorders>
                  <w:noWrap w:val="0"/>
                  <w:vAlign w:val="center"/>
                </w:tcPr>
                <w:p w14:paraId="1A5DFCD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最长贮存周期</w:t>
                  </w:r>
                </w:p>
              </w:tc>
            </w:tr>
            <w:tr w14:paraId="47C7E9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1" w:hRule="atLeast"/>
                <w:jc w:val="center"/>
              </w:trPr>
              <w:tc>
                <w:tcPr>
                  <w:tcW w:w="376" w:type="pct"/>
                  <w:tcBorders>
                    <w:tl2br w:val="nil"/>
                    <w:tr2bl w:val="nil"/>
                  </w:tcBorders>
                  <w:noWrap w:val="0"/>
                  <w:vAlign w:val="center"/>
                </w:tcPr>
                <w:p w14:paraId="64BF6BF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09" w:type="pct"/>
                  <w:vMerge w:val="restart"/>
                  <w:tcBorders>
                    <w:tl2br w:val="nil"/>
                    <w:tr2bl w:val="nil"/>
                  </w:tcBorders>
                  <w:noWrap w:val="0"/>
                  <w:vAlign w:val="center"/>
                </w:tcPr>
                <w:p w14:paraId="187E826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危废暂存间（</w:t>
                  </w:r>
                  <w:r>
                    <w:rPr>
                      <w:rFonts w:hint="eastAsia" w:cs="Times New Roman"/>
                      <w:i w:val="0"/>
                      <w:iCs w:val="0"/>
                      <w:color w:val="000000"/>
                      <w:kern w:val="0"/>
                      <w:sz w:val="21"/>
                      <w:szCs w:val="21"/>
                      <w:u w:val="none"/>
                      <w:lang w:val="en-US" w:eastAsia="zh-CN" w:bidi="ar"/>
                    </w:rPr>
                    <w:t>23</w:t>
                  </w:r>
                  <w:r>
                    <w:rPr>
                      <w:rFonts w:hint="default" w:ascii="Times New Roman" w:hAnsi="Times New Roman" w:eastAsia="宋体" w:cs="Times New Roman"/>
                      <w:i w:val="0"/>
                      <w:iCs w:val="0"/>
                      <w:color w:val="000000"/>
                      <w:kern w:val="0"/>
                      <w:sz w:val="21"/>
                      <w:szCs w:val="21"/>
                      <w:u w:val="none"/>
                      <w:lang w:val="en-US" w:eastAsia="zh-CN" w:bidi="ar"/>
                    </w:rPr>
                    <w:t>平方米）</w:t>
                  </w:r>
                </w:p>
              </w:tc>
              <w:tc>
                <w:tcPr>
                  <w:tcW w:w="643" w:type="pct"/>
                  <w:tcBorders>
                    <w:tl2br w:val="nil"/>
                    <w:tr2bl w:val="nil"/>
                  </w:tcBorders>
                  <w:noWrap w:val="0"/>
                  <w:vAlign w:val="center"/>
                </w:tcPr>
                <w:p w14:paraId="491E51E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w:t>
                  </w:r>
                  <w:r>
                    <w:rPr>
                      <w:rFonts w:hint="eastAsia" w:cs="Times New Roman"/>
                      <w:i w:val="0"/>
                      <w:iCs w:val="0"/>
                      <w:color w:val="000000"/>
                      <w:kern w:val="0"/>
                      <w:sz w:val="21"/>
                      <w:szCs w:val="21"/>
                      <w:u w:val="none"/>
                      <w:lang w:val="en-US" w:eastAsia="zh-CN" w:bidi="ar"/>
                    </w:rPr>
                    <w:t>机</w:t>
                  </w:r>
                  <w:r>
                    <w:rPr>
                      <w:rFonts w:hint="default" w:ascii="Times New Roman" w:hAnsi="Times New Roman" w:eastAsia="宋体" w:cs="Times New Roman"/>
                      <w:i w:val="0"/>
                      <w:iCs w:val="0"/>
                      <w:color w:val="000000"/>
                      <w:kern w:val="0"/>
                      <w:sz w:val="21"/>
                      <w:szCs w:val="21"/>
                      <w:u w:val="none"/>
                      <w:lang w:val="en-US" w:eastAsia="zh-CN" w:bidi="ar"/>
                    </w:rPr>
                    <w:t>油</w:t>
                  </w:r>
                </w:p>
              </w:tc>
              <w:tc>
                <w:tcPr>
                  <w:tcW w:w="509" w:type="pct"/>
                  <w:tcBorders>
                    <w:tl2br w:val="nil"/>
                    <w:tr2bl w:val="nil"/>
                  </w:tcBorders>
                  <w:noWrap w:val="0"/>
                  <w:vAlign w:val="center"/>
                </w:tcPr>
                <w:p w14:paraId="0BDEAEE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HW08</w:t>
                  </w:r>
                </w:p>
              </w:tc>
              <w:tc>
                <w:tcPr>
                  <w:tcW w:w="677" w:type="pct"/>
                  <w:tcBorders>
                    <w:tl2br w:val="nil"/>
                    <w:tr2bl w:val="nil"/>
                  </w:tcBorders>
                  <w:noWrap w:val="0"/>
                  <w:vAlign w:val="center"/>
                </w:tcPr>
                <w:p w14:paraId="6054CD9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900-217-08</w:t>
                  </w:r>
                </w:p>
              </w:tc>
              <w:tc>
                <w:tcPr>
                  <w:tcW w:w="459" w:type="pct"/>
                  <w:tcBorders>
                    <w:tl2br w:val="nil"/>
                    <w:tr2bl w:val="nil"/>
                  </w:tcBorders>
                  <w:noWrap w:val="0"/>
                  <w:vAlign w:val="center"/>
                </w:tcPr>
                <w:p w14:paraId="3E297B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490" w:type="pct"/>
                  <w:tcBorders>
                    <w:tl2br w:val="nil"/>
                    <w:tr2bl w:val="nil"/>
                  </w:tcBorders>
                  <w:noWrap w:val="0"/>
                  <w:vAlign w:val="center"/>
                </w:tcPr>
                <w:p w14:paraId="4EF040E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360" w:type="pct"/>
                  <w:tcBorders>
                    <w:tl2br w:val="nil"/>
                    <w:tr2bl w:val="nil"/>
                  </w:tcBorders>
                  <w:noWrap w:val="0"/>
                  <w:vAlign w:val="center"/>
                </w:tcPr>
                <w:p w14:paraId="331F256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桶装</w:t>
                  </w:r>
                </w:p>
              </w:tc>
              <w:tc>
                <w:tcPr>
                  <w:tcW w:w="403" w:type="pct"/>
                  <w:tcBorders>
                    <w:tl2br w:val="nil"/>
                    <w:tr2bl w:val="nil"/>
                  </w:tcBorders>
                  <w:noWrap w:val="0"/>
                  <w:vAlign w:val="center"/>
                </w:tcPr>
                <w:p w14:paraId="617C9F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0.2t</w:t>
                  </w:r>
                </w:p>
              </w:tc>
              <w:tc>
                <w:tcPr>
                  <w:tcW w:w="468" w:type="pct"/>
                  <w:tcBorders>
                    <w:tl2br w:val="nil"/>
                    <w:tr2bl w:val="nil"/>
                  </w:tcBorders>
                  <w:noWrap w:val="0"/>
                  <w:vAlign w:val="center"/>
                </w:tcPr>
                <w:p w14:paraId="5AD1D2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14:paraId="05DF73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376" w:type="pct"/>
                  <w:tcBorders>
                    <w:tl2br w:val="nil"/>
                    <w:tr2bl w:val="nil"/>
                  </w:tcBorders>
                  <w:noWrap w:val="0"/>
                  <w:vAlign w:val="center"/>
                </w:tcPr>
                <w:p w14:paraId="7AD3EB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09" w:type="pct"/>
                  <w:vMerge w:val="continue"/>
                  <w:tcBorders>
                    <w:tl2br w:val="nil"/>
                    <w:tr2bl w:val="nil"/>
                  </w:tcBorders>
                  <w:noWrap w:val="0"/>
                  <w:vAlign w:val="center"/>
                </w:tcPr>
                <w:p w14:paraId="1489AA01">
                  <w:pPr>
                    <w:jc w:val="center"/>
                    <w:rPr>
                      <w:rFonts w:hint="default" w:ascii="Times New Roman" w:hAnsi="Times New Roman" w:eastAsia="宋体" w:cs="Times New Roman"/>
                      <w:i w:val="0"/>
                      <w:iCs w:val="0"/>
                      <w:color w:val="000000"/>
                      <w:sz w:val="21"/>
                      <w:szCs w:val="21"/>
                      <w:u w:val="none"/>
                    </w:rPr>
                  </w:pPr>
                </w:p>
              </w:tc>
              <w:tc>
                <w:tcPr>
                  <w:tcW w:w="643" w:type="pct"/>
                  <w:tcBorders>
                    <w:tl2br w:val="nil"/>
                    <w:tr2bl w:val="nil"/>
                  </w:tcBorders>
                  <w:noWrap w:val="0"/>
                  <w:vAlign w:val="center"/>
                </w:tcPr>
                <w:p w14:paraId="2852C3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w:t>
                  </w:r>
                  <w:r>
                    <w:rPr>
                      <w:rFonts w:hint="eastAsia" w:cs="Times New Roman"/>
                      <w:i w:val="0"/>
                      <w:iCs w:val="0"/>
                      <w:color w:val="000000"/>
                      <w:kern w:val="0"/>
                      <w:sz w:val="21"/>
                      <w:szCs w:val="21"/>
                      <w:u w:val="none"/>
                      <w:lang w:val="en-US" w:eastAsia="zh-CN" w:bidi="ar"/>
                    </w:rPr>
                    <w:t>机</w:t>
                  </w:r>
                  <w:r>
                    <w:rPr>
                      <w:rFonts w:hint="default" w:ascii="Times New Roman" w:hAnsi="Times New Roman" w:eastAsia="宋体" w:cs="Times New Roman"/>
                      <w:i w:val="0"/>
                      <w:iCs w:val="0"/>
                      <w:color w:val="000000"/>
                      <w:kern w:val="0"/>
                      <w:sz w:val="21"/>
                      <w:szCs w:val="21"/>
                      <w:u w:val="none"/>
                      <w:lang w:val="en-US" w:eastAsia="zh-CN" w:bidi="ar"/>
                    </w:rPr>
                    <w:t>桶</w:t>
                  </w:r>
                </w:p>
              </w:tc>
              <w:tc>
                <w:tcPr>
                  <w:tcW w:w="509" w:type="pct"/>
                  <w:tcBorders>
                    <w:tl2br w:val="nil"/>
                    <w:tr2bl w:val="nil"/>
                  </w:tcBorders>
                  <w:noWrap w:val="0"/>
                  <w:vAlign w:val="center"/>
                </w:tcPr>
                <w:p w14:paraId="2FB5563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HW08</w:t>
                  </w:r>
                </w:p>
              </w:tc>
              <w:tc>
                <w:tcPr>
                  <w:tcW w:w="677" w:type="pct"/>
                  <w:tcBorders>
                    <w:tl2br w:val="nil"/>
                    <w:tr2bl w:val="nil"/>
                  </w:tcBorders>
                  <w:noWrap w:val="0"/>
                  <w:vAlign w:val="center"/>
                </w:tcPr>
                <w:p w14:paraId="205A805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900-249-08</w:t>
                  </w:r>
                </w:p>
              </w:tc>
              <w:tc>
                <w:tcPr>
                  <w:tcW w:w="459" w:type="pct"/>
                  <w:tcBorders>
                    <w:tl2br w:val="nil"/>
                    <w:tr2bl w:val="nil"/>
                  </w:tcBorders>
                  <w:noWrap w:val="0"/>
                  <w:vAlign w:val="center"/>
                </w:tcPr>
                <w:p w14:paraId="28C7EE2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490" w:type="pct"/>
                  <w:tcBorders>
                    <w:tl2br w:val="nil"/>
                    <w:tr2bl w:val="nil"/>
                  </w:tcBorders>
                  <w:noWrap w:val="0"/>
                  <w:vAlign w:val="center"/>
                </w:tcPr>
                <w:p w14:paraId="1986329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360" w:type="pct"/>
                  <w:tcBorders>
                    <w:tl2br w:val="nil"/>
                    <w:tr2bl w:val="nil"/>
                  </w:tcBorders>
                  <w:noWrap w:val="0"/>
                  <w:vAlign w:val="center"/>
                </w:tcPr>
                <w:p w14:paraId="356934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桶装</w:t>
                  </w:r>
                </w:p>
              </w:tc>
              <w:tc>
                <w:tcPr>
                  <w:tcW w:w="403" w:type="pct"/>
                  <w:tcBorders>
                    <w:tl2br w:val="nil"/>
                    <w:tr2bl w:val="nil"/>
                  </w:tcBorders>
                  <w:noWrap w:val="0"/>
                  <w:vAlign w:val="center"/>
                </w:tcPr>
                <w:p w14:paraId="3CA334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t</w:t>
                  </w:r>
                </w:p>
              </w:tc>
              <w:tc>
                <w:tcPr>
                  <w:tcW w:w="468" w:type="pct"/>
                  <w:tcBorders>
                    <w:tl2br w:val="nil"/>
                    <w:tr2bl w:val="nil"/>
                  </w:tcBorders>
                  <w:noWrap w:val="0"/>
                  <w:vAlign w:val="center"/>
                </w:tcPr>
                <w:p w14:paraId="04EC6B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14:paraId="65E450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376" w:type="pct"/>
                  <w:tcBorders>
                    <w:tl2br w:val="nil"/>
                    <w:tr2bl w:val="nil"/>
                  </w:tcBorders>
                  <w:noWrap w:val="0"/>
                  <w:vAlign w:val="center"/>
                </w:tcPr>
                <w:p w14:paraId="339D8E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09" w:type="pct"/>
                  <w:vMerge w:val="continue"/>
                  <w:tcBorders>
                    <w:tl2br w:val="nil"/>
                    <w:tr2bl w:val="nil"/>
                  </w:tcBorders>
                  <w:noWrap w:val="0"/>
                  <w:vAlign w:val="center"/>
                </w:tcPr>
                <w:p w14:paraId="4E5E5752">
                  <w:pPr>
                    <w:jc w:val="center"/>
                    <w:rPr>
                      <w:rFonts w:hint="default" w:ascii="Times New Roman" w:hAnsi="Times New Roman" w:eastAsia="宋体" w:cs="Times New Roman"/>
                      <w:i w:val="0"/>
                      <w:iCs w:val="0"/>
                      <w:color w:val="000000"/>
                      <w:sz w:val="21"/>
                      <w:szCs w:val="21"/>
                      <w:u w:val="none"/>
                    </w:rPr>
                  </w:pPr>
                </w:p>
              </w:tc>
              <w:tc>
                <w:tcPr>
                  <w:tcW w:w="643" w:type="pct"/>
                  <w:tcBorders>
                    <w:tl2br w:val="nil"/>
                    <w:tr2bl w:val="nil"/>
                  </w:tcBorders>
                  <w:noWrap w:val="0"/>
                  <w:vAlign w:val="center"/>
                </w:tcPr>
                <w:p w14:paraId="388B34F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沾有废油的抹布</w:t>
                  </w:r>
                </w:p>
              </w:tc>
              <w:tc>
                <w:tcPr>
                  <w:tcW w:w="509" w:type="pct"/>
                  <w:tcBorders>
                    <w:tl2br w:val="nil"/>
                    <w:tr2bl w:val="nil"/>
                  </w:tcBorders>
                  <w:noWrap w:val="0"/>
                  <w:vAlign w:val="center"/>
                </w:tcPr>
                <w:p w14:paraId="2B0D42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677" w:type="pct"/>
                  <w:tcBorders>
                    <w:tl2br w:val="nil"/>
                    <w:tr2bl w:val="nil"/>
                  </w:tcBorders>
                  <w:noWrap w:val="0"/>
                  <w:vAlign w:val="center"/>
                </w:tcPr>
                <w:p w14:paraId="3F4E8B6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900-041-49</w:t>
                  </w:r>
                </w:p>
              </w:tc>
              <w:tc>
                <w:tcPr>
                  <w:tcW w:w="459" w:type="pct"/>
                  <w:tcBorders>
                    <w:tl2br w:val="nil"/>
                    <w:tr2bl w:val="nil"/>
                  </w:tcBorders>
                  <w:noWrap w:val="0"/>
                  <w:vAlign w:val="center"/>
                </w:tcPr>
                <w:p w14:paraId="5D673B9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490" w:type="pct"/>
                  <w:tcBorders>
                    <w:tl2br w:val="nil"/>
                    <w:tr2bl w:val="nil"/>
                  </w:tcBorders>
                  <w:noWrap w:val="0"/>
                  <w:vAlign w:val="center"/>
                </w:tcPr>
                <w:p w14:paraId="219F8A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0.5</w:t>
                  </w:r>
                </w:p>
              </w:tc>
              <w:tc>
                <w:tcPr>
                  <w:tcW w:w="360" w:type="pct"/>
                  <w:tcBorders>
                    <w:tl2br w:val="nil"/>
                    <w:tr2bl w:val="nil"/>
                  </w:tcBorders>
                  <w:noWrap w:val="0"/>
                  <w:vAlign w:val="center"/>
                </w:tcPr>
                <w:p w14:paraId="08A806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桶装</w:t>
                  </w:r>
                </w:p>
              </w:tc>
              <w:tc>
                <w:tcPr>
                  <w:tcW w:w="403" w:type="pct"/>
                  <w:tcBorders>
                    <w:tl2br w:val="nil"/>
                    <w:tr2bl w:val="nil"/>
                  </w:tcBorders>
                  <w:noWrap w:val="0"/>
                  <w:vAlign w:val="center"/>
                </w:tcPr>
                <w:p w14:paraId="139EFE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5</w:t>
                  </w:r>
                </w:p>
              </w:tc>
              <w:tc>
                <w:tcPr>
                  <w:tcW w:w="468" w:type="pct"/>
                  <w:tcBorders>
                    <w:tl2br w:val="nil"/>
                    <w:tr2bl w:val="nil"/>
                  </w:tcBorders>
                  <w:noWrap w:val="0"/>
                  <w:vAlign w:val="center"/>
                </w:tcPr>
                <w:p w14:paraId="51B359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14:paraId="14BA23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376" w:type="pct"/>
                  <w:tcBorders>
                    <w:tl2br w:val="nil"/>
                    <w:tr2bl w:val="nil"/>
                  </w:tcBorders>
                  <w:noWrap w:val="0"/>
                  <w:vAlign w:val="center"/>
                </w:tcPr>
                <w:p w14:paraId="708673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09" w:type="pct"/>
                  <w:vMerge w:val="continue"/>
                  <w:tcBorders>
                    <w:tl2br w:val="nil"/>
                    <w:tr2bl w:val="nil"/>
                  </w:tcBorders>
                  <w:noWrap w:val="0"/>
                  <w:vAlign w:val="center"/>
                </w:tcPr>
                <w:p w14:paraId="0F86D5FE">
                  <w:pPr>
                    <w:jc w:val="center"/>
                    <w:rPr>
                      <w:rFonts w:hint="default" w:ascii="Times New Roman" w:hAnsi="Times New Roman" w:eastAsia="宋体" w:cs="Times New Roman"/>
                      <w:i w:val="0"/>
                      <w:iCs w:val="0"/>
                      <w:color w:val="000000"/>
                      <w:kern w:val="2"/>
                      <w:sz w:val="21"/>
                      <w:szCs w:val="21"/>
                      <w:u w:val="none"/>
                      <w:lang w:val="en-US" w:eastAsia="zh-CN" w:bidi="ar-SA"/>
                    </w:rPr>
                  </w:pPr>
                </w:p>
              </w:tc>
              <w:tc>
                <w:tcPr>
                  <w:tcW w:w="643" w:type="pct"/>
                  <w:tcBorders>
                    <w:tl2br w:val="nil"/>
                    <w:tr2bl w:val="nil"/>
                  </w:tcBorders>
                  <w:noWrap w:val="0"/>
                  <w:vAlign w:val="center"/>
                </w:tcPr>
                <w:p w14:paraId="71D899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废活性炭</w:t>
                  </w:r>
                </w:p>
              </w:tc>
              <w:tc>
                <w:tcPr>
                  <w:tcW w:w="509" w:type="pct"/>
                  <w:tcBorders>
                    <w:tl2br w:val="nil"/>
                    <w:tr2bl w:val="nil"/>
                  </w:tcBorders>
                  <w:noWrap w:val="0"/>
                  <w:vAlign w:val="center"/>
                </w:tcPr>
                <w:p w14:paraId="36F021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677" w:type="pct"/>
                  <w:tcBorders>
                    <w:tl2br w:val="nil"/>
                    <w:tr2bl w:val="nil"/>
                  </w:tcBorders>
                  <w:noWrap w:val="0"/>
                  <w:vAlign w:val="center"/>
                </w:tcPr>
                <w:p w14:paraId="652811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900-039-49</w:t>
                  </w:r>
                </w:p>
              </w:tc>
              <w:tc>
                <w:tcPr>
                  <w:tcW w:w="459" w:type="pct"/>
                  <w:tcBorders>
                    <w:tl2br w:val="nil"/>
                    <w:tr2bl w:val="nil"/>
                  </w:tcBorders>
                  <w:noWrap w:val="0"/>
                  <w:vAlign w:val="center"/>
                </w:tcPr>
                <w:p w14:paraId="1E499A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490" w:type="pct"/>
                  <w:tcBorders>
                    <w:tl2br w:val="nil"/>
                    <w:tr2bl w:val="nil"/>
                  </w:tcBorders>
                  <w:noWrap w:val="0"/>
                  <w:vAlign w:val="center"/>
                </w:tcPr>
                <w:p w14:paraId="1640410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10</w:t>
                  </w:r>
                </w:p>
              </w:tc>
              <w:tc>
                <w:tcPr>
                  <w:tcW w:w="360" w:type="pct"/>
                  <w:vMerge w:val="restart"/>
                  <w:tcBorders>
                    <w:tl2br w:val="nil"/>
                    <w:tr2bl w:val="nil"/>
                  </w:tcBorders>
                  <w:noWrap w:val="0"/>
                  <w:vAlign w:val="center"/>
                </w:tcPr>
                <w:p w14:paraId="36AC8DF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塑料袋密闭贮存</w:t>
                  </w:r>
                </w:p>
              </w:tc>
              <w:tc>
                <w:tcPr>
                  <w:tcW w:w="403" w:type="pct"/>
                  <w:tcBorders>
                    <w:tl2br w:val="nil"/>
                    <w:tr2bl w:val="nil"/>
                  </w:tcBorders>
                  <w:noWrap w:val="0"/>
                  <w:vAlign w:val="center"/>
                </w:tcPr>
                <w:p w14:paraId="546CF7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t</w:t>
                  </w:r>
                </w:p>
              </w:tc>
              <w:tc>
                <w:tcPr>
                  <w:tcW w:w="468" w:type="pct"/>
                  <w:tcBorders>
                    <w:tl2br w:val="nil"/>
                    <w:tr2bl w:val="nil"/>
                  </w:tcBorders>
                  <w:noWrap w:val="0"/>
                  <w:vAlign w:val="center"/>
                </w:tcPr>
                <w:p w14:paraId="7ADB5BB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半年</w:t>
                  </w:r>
                </w:p>
              </w:tc>
            </w:tr>
            <w:tr w14:paraId="04C771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376" w:type="pct"/>
                  <w:tcBorders>
                    <w:tl2br w:val="nil"/>
                    <w:tr2bl w:val="nil"/>
                  </w:tcBorders>
                  <w:noWrap w:val="0"/>
                  <w:vAlign w:val="center"/>
                </w:tcPr>
                <w:p w14:paraId="5C5B1028">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5</w:t>
                  </w:r>
                </w:p>
              </w:tc>
              <w:tc>
                <w:tcPr>
                  <w:tcW w:w="609" w:type="pct"/>
                  <w:vMerge w:val="continue"/>
                  <w:tcBorders>
                    <w:tl2br w:val="nil"/>
                    <w:tr2bl w:val="nil"/>
                  </w:tcBorders>
                  <w:noWrap w:val="0"/>
                  <w:vAlign w:val="center"/>
                </w:tcPr>
                <w:p w14:paraId="1DB76A9D">
                  <w:pPr>
                    <w:jc w:val="center"/>
                    <w:rPr>
                      <w:rFonts w:hint="default" w:ascii="Times New Roman" w:hAnsi="Times New Roman" w:eastAsia="宋体" w:cs="Times New Roman"/>
                      <w:i w:val="0"/>
                      <w:iCs w:val="0"/>
                      <w:color w:val="000000"/>
                      <w:sz w:val="21"/>
                      <w:szCs w:val="21"/>
                      <w:u w:val="none"/>
                    </w:rPr>
                  </w:pPr>
                </w:p>
              </w:tc>
              <w:tc>
                <w:tcPr>
                  <w:tcW w:w="643" w:type="pct"/>
                  <w:tcBorders>
                    <w:tl2br w:val="nil"/>
                    <w:tr2bl w:val="nil"/>
                  </w:tcBorders>
                  <w:noWrap w:val="0"/>
                  <w:vAlign w:val="center"/>
                </w:tcPr>
                <w:p w14:paraId="604B9E3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废过滤棉</w:t>
                  </w:r>
                </w:p>
              </w:tc>
              <w:tc>
                <w:tcPr>
                  <w:tcW w:w="509" w:type="pct"/>
                  <w:tcBorders>
                    <w:tl2br w:val="nil"/>
                    <w:tr2bl w:val="nil"/>
                  </w:tcBorders>
                  <w:noWrap w:val="0"/>
                  <w:vAlign w:val="center"/>
                </w:tcPr>
                <w:p w14:paraId="05C779B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677" w:type="pct"/>
                  <w:tcBorders>
                    <w:tl2br w:val="nil"/>
                    <w:tr2bl w:val="nil"/>
                  </w:tcBorders>
                  <w:noWrap w:val="0"/>
                  <w:vAlign w:val="center"/>
                </w:tcPr>
                <w:p w14:paraId="4E3116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900-041-49</w:t>
                  </w:r>
                </w:p>
              </w:tc>
              <w:tc>
                <w:tcPr>
                  <w:tcW w:w="459" w:type="pct"/>
                  <w:tcBorders>
                    <w:tl2br w:val="nil"/>
                    <w:tr2bl w:val="nil"/>
                  </w:tcBorders>
                  <w:noWrap w:val="0"/>
                  <w:vAlign w:val="center"/>
                </w:tcPr>
                <w:p w14:paraId="5C8FF1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490" w:type="pct"/>
                  <w:tcBorders>
                    <w:tl2br w:val="nil"/>
                    <w:tr2bl w:val="nil"/>
                  </w:tcBorders>
                  <w:noWrap w:val="0"/>
                  <w:vAlign w:val="center"/>
                </w:tcPr>
                <w:p w14:paraId="684F53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360" w:type="pct"/>
                  <w:vMerge w:val="continue"/>
                  <w:tcBorders>
                    <w:tl2br w:val="nil"/>
                    <w:tr2bl w:val="nil"/>
                  </w:tcBorders>
                  <w:noWrap w:val="0"/>
                  <w:vAlign w:val="center"/>
                </w:tcPr>
                <w:p w14:paraId="0AFF6FB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p>
              </w:tc>
              <w:tc>
                <w:tcPr>
                  <w:tcW w:w="403" w:type="pct"/>
                  <w:tcBorders>
                    <w:tl2br w:val="nil"/>
                    <w:tr2bl w:val="nil"/>
                  </w:tcBorders>
                  <w:noWrap w:val="0"/>
                  <w:vAlign w:val="center"/>
                </w:tcPr>
                <w:p w14:paraId="5B1B50C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w:t>
                  </w:r>
                </w:p>
              </w:tc>
              <w:tc>
                <w:tcPr>
                  <w:tcW w:w="468" w:type="pct"/>
                  <w:tcBorders>
                    <w:tl2br w:val="nil"/>
                    <w:tr2bl w:val="nil"/>
                  </w:tcBorders>
                  <w:noWrap w:val="0"/>
                  <w:vAlign w:val="center"/>
                </w:tcPr>
                <w:p w14:paraId="5E6FCEF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14:paraId="0C17D2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376" w:type="pct"/>
                  <w:tcBorders>
                    <w:tl2br w:val="nil"/>
                    <w:tr2bl w:val="nil"/>
                  </w:tcBorders>
                  <w:noWrap w:val="0"/>
                  <w:vAlign w:val="center"/>
                </w:tcPr>
                <w:p w14:paraId="09F5DA9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6</w:t>
                  </w:r>
                </w:p>
              </w:tc>
              <w:tc>
                <w:tcPr>
                  <w:tcW w:w="609" w:type="pct"/>
                  <w:vMerge w:val="continue"/>
                  <w:tcBorders>
                    <w:tl2br w:val="nil"/>
                    <w:tr2bl w:val="nil"/>
                  </w:tcBorders>
                  <w:noWrap w:val="0"/>
                  <w:vAlign w:val="center"/>
                </w:tcPr>
                <w:p w14:paraId="783A4A96">
                  <w:pPr>
                    <w:jc w:val="center"/>
                    <w:rPr>
                      <w:rFonts w:hint="default" w:ascii="Times New Roman" w:hAnsi="Times New Roman" w:eastAsia="宋体" w:cs="Times New Roman"/>
                      <w:i w:val="0"/>
                      <w:iCs w:val="0"/>
                      <w:color w:val="000000"/>
                      <w:sz w:val="21"/>
                      <w:szCs w:val="21"/>
                      <w:u w:val="none"/>
                    </w:rPr>
                  </w:pPr>
                </w:p>
              </w:tc>
              <w:tc>
                <w:tcPr>
                  <w:tcW w:w="643" w:type="pct"/>
                  <w:tcBorders>
                    <w:tl2br w:val="nil"/>
                    <w:tr2bl w:val="nil"/>
                  </w:tcBorders>
                  <w:noWrap w:val="0"/>
                  <w:vAlign w:val="center"/>
                </w:tcPr>
                <w:p w14:paraId="36F1FE0B">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kern w:val="0"/>
                      <w:sz w:val="21"/>
                      <w:szCs w:val="21"/>
                      <w:lang w:val="en-US" w:eastAsia="zh-CN" w:bidi="ar"/>
                    </w:rPr>
                    <w:t>废漆渣</w:t>
                  </w:r>
                </w:p>
              </w:tc>
              <w:tc>
                <w:tcPr>
                  <w:tcW w:w="509" w:type="pct"/>
                  <w:tcBorders>
                    <w:tl2br w:val="nil"/>
                    <w:tr2bl w:val="nil"/>
                  </w:tcBorders>
                  <w:noWrap w:val="0"/>
                  <w:vAlign w:val="center"/>
                </w:tcPr>
                <w:p w14:paraId="7B7B9A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kern w:val="0"/>
                      <w:sz w:val="21"/>
                      <w:szCs w:val="21"/>
                      <w:lang w:bidi="ar"/>
                    </w:rPr>
                    <w:t>HW</w:t>
                  </w:r>
                  <w:r>
                    <w:rPr>
                      <w:rFonts w:hint="eastAsia"/>
                      <w:kern w:val="0"/>
                      <w:sz w:val="21"/>
                      <w:szCs w:val="21"/>
                      <w:lang w:val="en-US" w:eastAsia="zh-CN" w:bidi="ar"/>
                    </w:rPr>
                    <w:t>12</w:t>
                  </w:r>
                </w:p>
              </w:tc>
              <w:tc>
                <w:tcPr>
                  <w:tcW w:w="677" w:type="pct"/>
                  <w:tcBorders>
                    <w:tl2br w:val="nil"/>
                    <w:tr2bl w:val="nil"/>
                  </w:tcBorders>
                  <w:noWrap w:val="0"/>
                  <w:vAlign w:val="center"/>
                </w:tcPr>
                <w:p w14:paraId="69C9C3F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rPr>
                    <w:t>900-</w:t>
                  </w:r>
                  <w:r>
                    <w:rPr>
                      <w:rFonts w:hint="eastAsia" w:ascii="Times New Roman" w:hAnsi="Times New Roman" w:cs="Times New Roman"/>
                      <w:sz w:val="21"/>
                      <w:szCs w:val="21"/>
                      <w:lang w:val="en-US" w:eastAsia="zh-CN"/>
                    </w:rPr>
                    <w:t>252-12</w:t>
                  </w:r>
                </w:p>
              </w:tc>
              <w:tc>
                <w:tcPr>
                  <w:tcW w:w="459" w:type="pct"/>
                  <w:tcBorders>
                    <w:tl2br w:val="nil"/>
                    <w:tr2bl w:val="nil"/>
                  </w:tcBorders>
                  <w:noWrap w:val="0"/>
                  <w:vAlign w:val="center"/>
                </w:tcPr>
                <w:p w14:paraId="6BF76E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490" w:type="pct"/>
                  <w:tcBorders>
                    <w:tl2br w:val="nil"/>
                    <w:tr2bl w:val="nil"/>
                  </w:tcBorders>
                  <w:noWrap w:val="0"/>
                  <w:vAlign w:val="center"/>
                </w:tcPr>
                <w:p w14:paraId="2BEE18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p>
              </w:tc>
              <w:tc>
                <w:tcPr>
                  <w:tcW w:w="360" w:type="pct"/>
                  <w:vMerge w:val="continue"/>
                  <w:tcBorders>
                    <w:tl2br w:val="nil"/>
                    <w:tr2bl w:val="nil"/>
                  </w:tcBorders>
                  <w:noWrap w:val="0"/>
                  <w:vAlign w:val="center"/>
                </w:tcPr>
                <w:p w14:paraId="5AD66E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p>
              </w:tc>
              <w:tc>
                <w:tcPr>
                  <w:tcW w:w="403" w:type="pct"/>
                  <w:tcBorders>
                    <w:tl2br w:val="nil"/>
                    <w:tr2bl w:val="nil"/>
                  </w:tcBorders>
                  <w:noWrap w:val="0"/>
                  <w:vAlign w:val="center"/>
                </w:tcPr>
                <w:p w14:paraId="7F997E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468" w:type="pct"/>
                  <w:tcBorders>
                    <w:tl2br w:val="nil"/>
                    <w:tr2bl w:val="nil"/>
                  </w:tcBorders>
                  <w:noWrap w:val="0"/>
                  <w:vAlign w:val="center"/>
                </w:tcPr>
                <w:p w14:paraId="41290D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半年</w:t>
                  </w:r>
                </w:p>
              </w:tc>
            </w:tr>
            <w:tr w14:paraId="4F6437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376" w:type="pct"/>
                  <w:tcBorders>
                    <w:tl2br w:val="nil"/>
                    <w:tr2bl w:val="nil"/>
                  </w:tcBorders>
                  <w:noWrap w:val="0"/>
                  <w:vAlign w:val="center"/>
                </w:tcPr>
                <w:p w14:paraId="6EAE5CA5">
                  <w:pPr>
                    <w:keepNext w:val="0"/>
                    <w:keepLines w:val="0"/>
                    <w:widowControl/>
                    <w:suppressLineNumbers w:val="0"/>
                    <w:jc w:val="center"/>
                    <w:textAlignment w:val="center"/>
                    <w:rPr>
                      <w:rFonts w:hint="default"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7</w:t>
                  </w:r>
                </w:p>
              </w:tc>
              <w:tc>
                <w:tcPr>
                  <w:tcW w:w="609" w:type="pct"/>
                  <w:vMerge w:val="continue"/>
                  <w:tcBorders>
                    <w:tl2br w:val="nil"/>
                    <w:tr2bl w:val="nil"/>
                  </w:tcBorders>
                  <w:noWrap w:val="0"/>
                  <w:vAlign w:val="center"/>
                </w:tcPr>
                <w:p w14:paraId="6EB28564">
                  <w:pPr>
                    <w:jc w:val="center"/>
                    <w:rPr>
                      <w:rFonts w:hint="default" w:ascii="Times New Roman" w:hAnsi="Times New Roman" w:eastAsia="宋体" w:cs="Times New Roman"/>
                      <w:i w:val="0"/>
                      <w:iCs w:val="0"/>
                      <w:color w:val="000000"/>
                      <w:sz w:val="21"/>
                      <w:szCs w:val="21"/>
                      <w:u w:val="none"/>
                    </w:rPr>
                  </w:pPr>
                </w:p>
              </w:tc>
              <w:tc>
                <w:tcPr>
                  <w:tcW w:w="643" w:type="pct"/>
                  <w:tcBorders>
                    <w:tl2br w:val="nil"/>
                    <w:tr2bl w:val="nil"/>
                  </w:tcBorders>
                  <w:noWrap w:val="0"/>
                  <w:vAlign w:val="center"/>
                </w:tcPr>
                <w:p w14:paraId="35623D7F">
                  <w:pPr>
                    <w:keepNext w:val="0"/>
                    <w:keepLines w:val="0"/>
                    <w:widowControl/>
                    <w:suppressLineNumbers w:val="0"/>
                    <w:jc w:val="center"/>
                    <w:textAlignment w:val="center"/>
                    <w:rPr>
                      <w:rFonts w:hint="default"/>
                      <w:kern w:val="0"/>
                      <w:sz w:val="21"/>
                      <w:szCs w:val="21"/>
                      <w:lang w:val="en-US" w:eastAsia="zh-CN" w:bidi="ar"/>
                    </w:rPr>
                  </w:pPr>
                  <w:r>
                    <w:rPr>
                      <w:rFonts w:hint="eastAsia"/>
                      <w:kern w:val="0"/>
                      <w:sz w:val="21"/>
                      <w:szCs w:val="21"/>
                      <w:lang w:val="en-US" w:eastAsia="zh-CN" w:bidi="ar"/>
                    </w:rPr>
                    <w:t>喷漆废水</w:t>
                  </w:r>
                </w:p>
              </w:tc>
              <w:tc>
                <w:tcPr>
                  <w:tcW w:w="509" w:type="pct"/>
                  <w:tcBorders>
                    <w:tl2br w:val="nil"/>
                    <w:tr2bl w:val="nil"/>
                  </w:tcBorders>
                  <w:noWrap w:val="0"/>
                  <w:vAlign w:val="center"/>
                </w:tcPr>
                <w:p w14:paraId="6B3F6363">
                  <w:pPr>
                    <w:keepNext w:val="0"/>
                    <w:keepLines w:val="0"/>
                    <w:widowControl/>
                    <w:suppressLineNumbers w:val="0"/>
                    <w:jc w:val="center"/>
                    <w:textAlignment w:val="center"/>
                    <w:rPr>
                      <w:kern w:val="0"/>
                      <w:sz w:val="21"/>
                      <w:szCs w:val="21"/>
                      <w:lang w:bidi="ar"/>
                    </w:rPr>
                  </w:pPr>
                  <w:r>
                    <w:rPr>
                      <w:kern w:val="0"/>
                      <w:sz w:val="21"/>
                      <w:szCs w:val="21"/>
                      <w:lang w:bidi="ar"/>
                    </w:rPr>
                    <w:t>HW</w:t>
                  </w:r>
                  <w:r>
                    <w:rPr>
                      <w:rFonts w:hint="eastAsia"/>
                      <w:kern w:val="0"/>
                      <w:sz w:val="21"/>
                      <w:szCs w:val="21"/>
                      <w:lang w:val="en-US" w:eastAsia="zh-CN" w:bidi="ar"/>
                    </w:rPr>
                    <w:t>12</w:t>
                  </w:r>
                </w:p>
              </w:tc>
              <w:tc>
                <w:tcPr>
                  <w:tcW w:w="677" w:type="pct"/>
                  <w:tcBorders>
                    <w:tl2br w:val="nil"/>
                    <w:tr2bl w:val="nil"/>
                  </w:tcBorders>
                  <w:noWrap w:val="0"/>
                  <w:vAlign w:val="center"/>
                </w:tcPr>
                <w:p w14:paraId="4244401F">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900-</w:t>
                  </w:r>
                  <w:r>
                    <w:rPr>
                      <w:rFonts w:hint="eastAsia" w:ascii="Times New Roman" w:hAnsi="Times New Roman" w:cs="Times New Roman"/>
                      <w:sz w:val="21"/>
                      <w:szCs w:val="21"/>
                      <w:lang w:val="en-US" w:eastAsia="zh-CN"/>
                    </w:rPr>
                    <w:t>252-12</w:t>
                  </w:r>
                </w:p>
              </w:tc>
              <w:tc>
                <w:tcPr>
                  <w:tcW w:w="459" w:type="pct"/>
                  <w:tcBorders>
                    <w:tl2br w:val="nil"/>
                    <w:tr2bl w:val="nil"/>
                  </w:tcBorders>
                  <w:noWrap w:val="0"/>
                  <w:vAlign w:val="center"/>
                </w:tcPr>
                <w:p w14:paraId="71ED4C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490" w:type="pct"/>
                  <w:tcBorders>
                    <w:tl2br w:val="nil"/>
                    <w:tr2bl w:val="nil"/>
                  </w:tcBorders>
                  <w:noWrap w:val="0"/>
                  <w:vAlign w:val="center"/>
                </w:tcPr>
                <w:p w14:paraId="4F3D7D1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p>
              </w:tc>
              <w:tc>
                <w:tcPr>
                  <w:tcW w:w="360" w:type="pct"/>
                  <w:tcBorders>
                    <w:tl2br w:val="nil"/>
                    <w:tr2bl w:val="nil"/>
                  </w:tcBorders>
                  <w:noWrap w:val="0"/>
                  <w:vAlign w:val="center"/>
                </w:tcPr>
                <w:p w14:paraId="39A42E80">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桶装</w:t>
                  </w:r>
                </w:p>
              </w:tc>
              <w:tc>
                <w:tcPr>
                  <w:tcW w:w="403" w:type="pct"/>
                  <w:tcBorders>
                    <w:tl2br w:val="nil"/>
                    <w:tr2bl w:val="nil"/>
                  </w:tcBorders>
                  <w:noWrap w:val="0"/>
                  <w:vAlign w:val="center"/>
                </w:tcPr>
                <w:p w14:paraId="18EFF44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w:t>
                  </w:r>
                </w:p>
              </w:tc>
              <w:tc>
                <w:tcPr>
                  <w:tcW w:w="468" w:type="pct"/>
                  <w:tcBorders>
                    <w:tl2br w:val="nil"/>
                    <w:tr2bl w:val="nil"/>
                  </w:tcBorders>
                  <w:noWrap w:val="0"/>
                  <w:vAlign w:val="center"/>
                </w:tcPr>
                <w:p w14:paraId="507A8C3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3个月</w:t>
                  </w:r>
                </w:p>
              </w:tc>
            </w:tr>
          </w:tbl>
          <w:p w14:paraId="7CC5D0A5">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危废转移要求：</w:t>
            </w:r>
          </w:p>
          <w:p w14:paraId="086A9B89">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危险废物的转移应严格按照2021年11月30日发布的《危险废物转移管理办法》（生态环境部公安部交通运输部部令第23号）相关要求执行。</w:t>
            </w:r>
          </w:p>
          <w:p w14:paraId="574C5279">
            <w:pPr>
              <w:spacing w:line="360" w:lineRule="auto"/>
              <w:ind w:firstLine="420" w:firstLineChars="200"/>
              <w:rPr>
                <w:color w:val="auto"/>
                <w:highlight w:val="none"/>
              </w:rPr>
            </w:pPr>
            <w:r>
              <w:rPr>
                <w:rFonts w:hint="default" w:ascii="Times New Roman" w:hAnsi="Times New Roman" w:cs="Times New Roman"/>
                <w:color w:val="auto"/>
                <w:sz w:val="21"/>
                <w:szCs w:val="21"/>
              </w:rPr>
              <w:t>本项目固废管理（含一般固废和危险废物）还应及时登录四川政务服务网进入“无废四川”模块填写固废的电子台账及转移信息等。</w:t>
            </w:r>
          </w:p>
          <w:p w14:paraId="1174AB94">
            <w:pPr>
              <w:spacing w:line="360" w:lineRule="auto"/>
              <w:rPr>
                <w:b/>
                <w:bCs/>
                <w:sz w:val="21"/>
                <w:szCs w:val="21"/>
              </w:rPr>
            </w:pPr>
            <w:r>
              <w:rPr>
                <w:rFonts w:hint="eastAsia"/>
                <w:b/>
                <w:bCs/>
                <w:sz w:val="21"/>
                <w:szCs w:val="21"/>
                <w:lang w:val="en-US" w:eastAsia="zh-CN"/>
              </w:rPr>
              <w:t>五</w:t>
            </w:r>
            <w:r>
              <w:rPr>
                <w:b/>
                <w:bCs/>
                <w:sz w:val="21"/>
                <w:szCs w:val="21"/>
              </w:rPr>
              <w:t>、土壤和地下水</w:t>
            </w:r>
          </w:p>
          <w:p w14:paraId="4E527DEE">
            <w:pPr>
              <w:spacing w:line="360" w:lineRule="auto"/>
              <w:ind w:firstLine="422" w:firstLineChars="200"/>
              <w:rPr>
                <w:rFonts w:hint="default" w:eastAsia="宋体"/>
                <w:b/>
                <w:bCs w:val="0"/>
                <w:sz w:val="21"/>
                <w:szCs w:val="21"/>
                <w:lang w:val="en-US" w:eastAsia="zh-CN"/>
              </w:rPr>
            </w:pPr>
            <w:r>
              <w:rPr>
                <w:rFonts w:hint="eastAsia"/>
                <w:b/>
                <w:bCs w:val="0"/>
                <w:sz w:val="21"/>
                <w:szCs w:val="21"/>
                <w:lang w:eastAsia="zh-CN"/>
              </w:rPr>
              <w:t>（</w:t>
            </w:r>
            <w:r>
              <w:rPr>
                <w:rFonts w:hint="eastAsia"/>
                <w:b/>
                <w:bCs w:val="0"/>
                <w:sz w:val="21"/>
                <w:szCs w:val="21"/>
                <w:lang w:val="en-US" w:eastAsia="zh-CN"/>
              </w:rPr>
              <w:t>1</w:t>
            </w:r>
            <w:r>
              <w:rPr>
                <w:rFonts w:hint="eastAsia"/>
                <w:b/>
                <w:bCs w:val="0"/>
                <w:sz w:val="21"/>
                <w:szCs w:val="21"/>
                <w:lang w:eastAsia="zh-CN"/>
              </w:rPr>
              <w:t>）</w:t>
            </w:r>
            <w:r>
              <w:rPr>
                <w:rFonts w:hint="eastAsia"/>
                <w:b/>
                <w:bCs w:val="0"/>
                <w:sz w:val="21"/>
                <w:szCs w:val="21"/>
              </w:rPr>
              <w:t>污染</w:t>
            </w:r>
            <w:r>
              <w:rPr>
                <w:rFonts w:hint="eastAsia"/>
                <w:b/>
                <w:bCs w:val="0"/>
                <w:sz w:val="21"/>
                <w:szCs w:val="21"/>
                <w:lang w:val="en-US" w:eastAsia="zh-CN"/>
              </w:rPr>
              <w:t>源头控制</w:t>
            </w:r>
          </w:p>
          <w:p w14:paraId="4884EBE8">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本项目污染源头控制主要包括减少污染物的排放，提出工艺、管道、设备、污水储存及处理构筑物应采取的污染控制措施，将污染物跑、冒、滴、漏降到最低限度。</w:t>
            </w:r>
          </w:p>
          <w:p w14:paraId="01ECA2EC">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①实施清洁生产及各类废物循环利用的具体方案，减少污染物的排放量；防止污染物的跑冒漏滴，将污染物的泄漏环境风险事故降到最低限度；</w:t>
            </w:r>
          </w:p>
          <w:p w14:paraId="6D4F5F94">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②对项目排水系统和各池体及排放管道均做防渗处理；</w:t>
            </w:r>
          </w:p>
          <w:p w14:paraId="14548F3A">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③项目各废水收集池、排污管沟均做防渗处理；并修建雨水沟，实行雨污分流；</w:t>
            </w:r>
          </w:p>
          <w:p w14:paraId="5C33CE3B">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④强化管道、水池的转弯、承抽、对接等处的防渗工程，并做好隐蔽工程记录；</w:t>
            </w:r>
          </w:p>
          <w:p w14:paraId="2FCD56B3">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⑤必须定期进行检漏监测。</w:t>
            </w:r>
          </w:p>
          <w:p w14:paraId="29B03A29">
            <w:pPr>
              <w:spacing w:line="360" w:lineRule="auto"/>
              <w:ind w:firstLine="422" w:firstLineChars="200"/>
              <w:rPr>
                <w:rFonts w:hint="eastAsia"/>
                <w:b/>
                <w:bCs w:val="0"/>
                <w:sz w:val="21"/>
                <w:szCs w:val="21"/>
              </w:rPr>
            </w:pPr>
            <w:r>
              <w:rPr>
                <w:rFonts w:hint="eastAsia"/>
                <w:b/>
                <w:bCs w:val="0"/>
                <w:sz w:val="21"/>
                <w:szCs w:val="21"/>
                <w:lang w:eastAsia="zh-CN"/>
              </w:rPr>
              <w:t>（</w:t>
            </w:r>
            <w:r>
              <w:rPr>
                <w:rFonts w:hint="eastAsia"/>
                <w:b/>
                <w:bCs w:val="0"/>
                <w:sz w:val="21"/>
                <w:szCs w:val="21"/>
                <w:lang w:val="en-US" w:eastAsia="zh-CN"/>
              </w:rPr>
              <w:t>2</w:t>
            </w:r>
            <w:r>
              <w:rPr>
                <w:rFonts w:hint="eastAsia"/>
                <w:b/>
                <w:bCs w:val="0"/>
                <w:sz w:val="21"/>
                <w:szCs w:val="21"/>
                <w:lang w:eastAsia="zh-CN"/>
              </w:rPr>
              <w:t>）</w:t>
            </w:r>
            <w:r>
              <w:rPr>
                <w:rFonts w:hint="eastAsia"/>
                <w:b/>
                <w:bCs w:val="0"/>
                <w:sz w:val="21"/>
                <w:szCs w:val="21"/>
              </w:rPr>
              <w:t>分区防控措施</w:t>
            </w:r>
          </w:p>
          <w:p w14:paraId="3EC1A80C">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为有效防止项目运行过程中废水下渗污染地下水，本项目各建构筑物应采取分区防渗措施。分区防渗原则如下：</w:t>
            </w:r>
          </w:p>
          <w:p w14:paraId="6E5459F2">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①按照各污染处理装置通过各种途径可能进入地下水环境的各种污水的泄漏（含跑、冒、滴、漏）量及其他各类污染物的性质、产生和排放量，厂区分为非污染防治区和污染防治区；</w:t>
            </w:r>
          </w:p>
          <w:p w14:paraId="32E8AA15">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 xml:space="preserve">②污染防治区根据工程特点又分为一般污染防治区、重点污染防治区。一般污染防治区是指毒性小、渗漏量小的污水处理装置区、装置区外管道区；重点污染防治区是指危害性大、毒性较大、渗漏量较大的污水处理装置区、物料储罐区及固体废物暂存区等。 </w:t>
            </w:r>
          </w:p>
          <w:p w14:paraId="36BE5085">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本项目按照</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考虑重点，辐射全面</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的防腐防渗原则，针对不同功能区采取相应的防渗措施，本项目根据使用功能区分为重点防渗区、一般防渗区、简单防渗区。</w:t>
            </w:r>
          </w:p>
          <w:p w14:paraId="1DB38E77">
            <w:pPr>
              <w:pStyle w:val="63"/>
              <w:spacing w:line="240" w:lineRule="auto"/>
              <w:rPr>
                <w:rFonts w:hint="default" w:ascii="Times New Roman" w:hAnsi="Times New Roman"/>
                <w:sz w:val="21"/>
                <w:szCs w:val="21"/>
              </w:rPr>
            </w:pPr>
            <w:r>
              <w:rPr>
                <w:rFonts w:hint="default" w:ascii="Times New Roman" w:hAnsi="Times New Roman"/>
                <w:sz w:val="21"/>
                <w:szCs w:val="21"/>
              </w:rPr>
              <w:t>表4-</w:t>
            </w:r>
            <w:r>
              <w:rPr>
                <w:rFonts w:hint="eastAsia" w:ascii="Times New Roman" w:hAnsi="Times New Roman"/>
                <w:sz w:val="21"/>
                <w:szCs w:val="21"/>
                <w:lang w:val="en-US" w:eastAsia="zh-CN"/>
              </w:rPr>
              <w:t>21</w:t>
            </w:r>
            <w:r>
              <w:rPr>
                <w:rFonts w:hint="default" w:ascii="Times New Roman" w:hAnsi="Times New Roman"/>
                <w:sz w:val="21"/>
                <w:szCs w:val="21"/>
              </w:rPr>
              <w:t>防渗分区表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1173"/>
              <w:gridCol w:w="3152"/>
              <w:gridCol w:w="3023"/>
            </w:tblGrid>
            <w:tr w14:paraId="77C3E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4" w:type="pct"/>
                  <w:noWrap w:val="0"/>
                  <w:vAlign w:val="center"/>
                </w:tcPr>
                <w:p w14:paraId="464FC143">
                  <w:pPr>
                    <w:jc w:val="center"/>
                    <w:rPr>
                      <w:b/>
                      <w:bCs/>
                      <w:sz w:val="21"/>
                      <w:szCs w:val="21"/>
                    </w:rPr>
                  </w:pPr>
                  <w:r>
                    <w:rPr>
                      <w:b/>
                      <w:bCs/>
                      <w:sz w:val="21"/>
                      <w:szCs w:val="21"/>
                    </w:rPr>
                    <w:t>区域</w:t>
                  </w:r>
                </w:p>
              </w:tc>
              <w:tc>
                <w:tcPr>
                  <w:tcW w:w="663" w:type="pct"/>
                  <w:noWrap w:val="0"/>
                  <w:vAlign w:val="center"/>
                </w:tcPr>
                <w:p w14:paraId="19F2328C">
                  <w:pPr>
                    <w:jc w:val="center"/>
                    <w:rPr>
                      <w:b/>
                      <w:bCs/>
                      <w:sz w:val="21"/>
                      <w:szCs w:val="21"/>
                    </w:rPr>
                  </w:pPr>
                  <w:r>
                    <w:rPr>
                      <w:b/>
                      <w:bCs/>
                      <w:sz w:val="21"/>
                      <w:szCs w:val="21"/>
                    </w:rPr>
                    <w:t>防渗级别</w:t>
                  </w:r>
                </w:p>
              </w:tc>
              <w:tc>
                <w:tcPr>
                  <w:tcW w:w="1782" w:type="pct"/>
                  <w:noWrap w:val="0"/>
                  <w:vAlign w:val="center"/>
                </w:tcPr>
                <w:p w14:paraId="39C58E2E">
                  <w:pPr>
                    <w:jc w:val="center"/>
                    <w:rPr>
                      <w:rFonts w:hint="default" w:eastAsia="宋体"/>
                      <w:b/>
                      <w:bCs/>
                      <w:sz w:val="21"/>
                      <w:szCs w:val="21"/>
                      <w:lang w:val="en-US" w:eastAsia="zh-CN"/>
                    </w:rPr>
                  </w:pPr>
                  <w:r>
                    <w:rPr>
                      <w:rFonts w:hint="eastAsia"/>
                      <w:b/>
                      <w:bCs/>
                      <w:sz w:val="21"/>
                      <w:szCs w:val="21"/>
                      <w:lang w:val="en-US" w:eastAsia="zh-CN"/>
                    </w:rPr>
                    <w:t>防渗要求</w:t>
                  </w:r>
                </w:p>
              </w:tc>
              <w:tc>
                <w:tcPr>
                  <w:tcW w:w="1709" w:type="pct"/>
                  <w:noWrap w:val="0"/>
                  <w:vAlign w:val="center"/>
                </w:tcPr>
                <w:p w14:paraId="3745EBF8">
                  <w:pPr>
                    <w:jc w:val="center"/>
                    <w:rPr>
                      <w:b/>
                      <w:bCs/>
                      <w:sz w:val="21"/>
                      <w:szCs w:val="21"/>
                    </w:rPr>
                  </w:pPr>
                  <w:r>
                    <w:rPr>
                      <w:b/>
                      <w:bCs/>
                      <w:sz w:val="21"/>
                      <w:szCs w:val="21"/>
                    </w:rPr>
                    <w:t>防渗措施</w:t>
                  </w:r>
                </w:p>
              </w:tc>
            </w:tr>
            <w:tr w14:paraId="45835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844" w:type="pct"/>
                  <w:noWrap w:val="0"/>
                  <w:vAlign w:val="center"/>
                </w:tcPr>
                <w:p w14:paraId="332564A5">
                  <w:pPr>
                    <w:jc w:val="center"/>
                    <w:rPr>
                      <w:rFonts w:hint="eastAsia" w:eastAsia="宋体"/>
                      <w:b/>
                      <w:bCs/>
                      <w:sz w:val="21"/>
                      <w:szCs w:val="21"/>
                      <w:lang w:eastAsia="zh-CN"/>
                    </w:rPr>
                  </w:pPr>
                  <w:r>
                    <w:rPr>
                      <w:sz w:val="21"/>
                      <w:szCs w:val="21"/>
                    </w:rPr>
                    <w:t>危废暂存间</w:t>
                  </w:r>
                </w:p>
              </w:tc>
              <w:tc>
                <w:tcPr>
                  <w:tcW w:w="663" w:type="pct"/>
                  <w:vMerge w:val="restart"/>
                  <w:noWrap w:val="0"/>
                  <w:vAlign w:val="center"/>
                </w:tcPr>
                <w:p w14:paraId="58343F9F">
                  <w:pPr>
                    <w:spacing w:line="360" w:lineRule="auto"/>
                    <w:jc w:val="center"/>
                    <w:rPr>
                      <w:b/>
                      <w:bCs/>
                      <w:sz w:val="21"/>
                      <w:szCs w:val="21"/>
                    </w:rPr>
                  </w:pPr>
                  <w:r>
                    <w:rPr>
                      <w:sz w:val="21"/>
                      <w:szCs w:val="21"/>
                    </w:rPr>
                    <w:t>重点防渗区</w:t>
                  </w:r>
                </w:p>
              </w:tc>
              <w:tc>
                <w:tcPr>
                  <w:tcW w:w="1782" w:type="pct"/>
                  <w:noWrap w:val="0"/>
                  <w:vAlign w:val="center"/>
                </w:tcPr>
                <w:p w14:paraId="318E925D">
                  <w:pPr>
                    <w:keepNext w:val="0"/>
                    <w:keepLines w:val="0"/>
                    <w:pageBreakBefore w:val="0"/>
                    <w:widowControl/>
                    <w:suppressLineNumbers w:val="0"/>
                    <w:kinsoku/>
                    <w:wordWrap w:val="0"/>
                    <w:overflowPunct/>
                    <w:topLinePunct w:val="0"/>
                    <w:autoSpaceDE/>
                    <w:autoSpaceDN/>
                    <w:bidi w:val="0"/>
                    <w:adjustRightInd/>
                    <w:snapToGrid/>
                    <w:jc w:val="left"/>
                    <w:textAlignment w:val="auto"/>
                    <w:rPr>
                      <w:sz w:val="21"/>
                      <w:szCs w:val="21"/>
                    </w:rPr>
                  </w:pPr>
                  <w:r>
                    <w:rPr>
                      <w:rFonts w:hint="default" w:ascii="Times New Roman" w:hAnsi="Times New Roman" w:eastAsia="宋体" w:cs="Times New Roman"/>
                      <w:color w:val="000000"/>
                      <w:kern w:val="0"/>
                      <w:sz w:val="21"/>
                      <w:szCs w:val="21"/>
                      <w:lang w:val="en-US" w:eastAsia="zh-CN" w:bidi="ar"/>
                    </w:rPr>
                    <w:t>防渗层为至少1m厚粘土层（渗透系数≤10</w:t>
                  </w:r>
                  <w:r>
                    <w:rPr>
                      <w:rFonts w:hint="default" w:ascii="Times New Roman" w:hAnsi="Times New Roman" w:eastAsia="宋体" w:cs="Times New Roman"/>
                      <w:color w:val="000000"/>
                      <w:kern w:val="0"/>
                      <w:sz w:val="21"/>
                      <w:szCs w:val="21"/>
                      <w:vertAlign w:val="superscript"/>
                      <w:lang w:val="en-US" w:eastAsia="zh-CN" w:bidi="ar"/>
                    </w:rPr>
                    <w:t>-7</w:t>
                  </w:r>
                  <w:r>
                    <w:rPr>
                      <w:rFonts w:hint="default" w:ascii="Times New Roman" w:hAnsi="Times New Roman" w:eastAsia="宋体" w:cs="Times New Roman"/>
                      <w:color w:val="000000"/>
                      <w:kern w:val="0"/>
                      <w:sz w:val="21"/>
                      <w:szCs w:val="21"/>
                      <w:lang w:val="en-US" w:eastAsia="zh-CN" w:bidi="ar"/>
                    </w:rPr>
                    <w:t>cm/s），或2mm厚HDPE</w:t>
                  </w:r>
                  <w:r>
                    <w:rPr>
                      <w:rFonts w:hint="eastAsia" w:cs="Times New Roman"/>
                      <w:color w:val="000000"/>
                      <w:kern w:val="0"/>
                      <w:sz w:val="21"/>
                      <w:szCs w:val="21"/>
                      <w:lang w:val="en-US" w:eastAsia="zh-CN" w:bidi="ar"/>
                    </w:rPr>
                    <w:t>等人工防渗材料（</w:t>
                  </w:r>
                  <w:r>
                    <w:rPr>
                      <w:rFonts w:hint="default" w:ascii="Times New Roman" w:hAnsi="Times New Roman" w:eastAsia="宋体" w:cs="Times New Roman"/>
                      <w:color w:val="000000"/>
                      <w:kern w:val="0"/>
                      <w:sz w:val="21"/>
                      <w:szCs w:val="21"/>
                      <w:lang w:val="en-US" w:eastAsia="zh-CN" w:bidi="ar"/>
                    </w:rPr>
                    <w:t>渗透系数K≤10</w:t>
                  </w:r>
                  <w:r>
                    <w:rPr>
                      <w:rFonts w:hint="default" w:ascii="Times New Roman" w:hAnsi="Times New Roman" w:eastAsia="宋体" w:cs="Times New Roman"/>
                      <w:color w:val="000000"/>
                      <w:kern w:val="0"/>
                      <w:sz w:val="21"/>
                      <w:szCs w:val="21"/>
                      <w:vertAlign w:val="superscript"/>
                      <w:lang w:val="en-US" w:eastAsia="zh-CN" w:bidi="ar"/>
                    </w:rPr>
                    <w:t>-10</w:t>
                  </w:r>
                  <w:r>
                    <w:rPr>
                      <w:rFonts w:hint="default" w:ascii="Times New Roman" w:hAnsi="Times New Roman" w:eastAsia="宋体" w:cs="Times New Roman"/>
                      <w:color w:val="000000"/>
                      <w:kern w:val="0"/>
                      <w:sz w:val="21"/>
                      <w:szCs w:val="21"/>
                      <w:lang w:val="en-US" w:eastAsia="zh-CN" w:bidi="ar"/>
                    </w:rPr>
                    <w:t>cm/s</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，或其它</w:t>
                  </w:r>
                  <w:r>
                    <w:rPr>
                      <w:rFonts w:hint="eastAsia" w:cs="Times New Roman"/>
                      <w:color w:val="000000"/>
                      <w:kern w:val="0"/>
                      <w:sz w:val="21"/>
                      <w:szCs w:val="21"/>
                      <w:lang w:val="en-US" w:eastAsia="zh-CN" w:bidi="ar"/>
                    </w:rPr>
                    <w:t>防渗性能等效的</w:t>
                  </w:r>
                  <w:r>
                    <w:rPr>
                      <w:rFonts w:hint="default" w:ascii="Times New Roman" w:hAnsi="Times New Roman" w:eastAsia="宋体" w:cs="Times New Roman"/>
                      <w:color w:val="000000"/>
                      <w:kern w:val="0"/>
                      <w:sz w:val="21"/>
                      <w:szCs w:val="21"/>
                      <w:lang w:val="en-US" w:eastAsia="zh-CN" w:bidi="ar"/>
                    </w:rPr>
                    <w:t>材料，</w:t>
                  </w:r>
                </w:p>
              </w:tc>
              <w:tc>
                <w:tcPr>
                  <w:tcW w:w="1709" w:type="pct"/>
                  <w:noWrap w:val="0"/>
                  <w:vAlign w:val="center"/>
                </w:tcPr>
                <w:p w14:paraId="5C07A304">
                  <w:pPr>
                    <w:spacing w:line="0" w:lineRule="atLeast"/>
                    <w:rPr>
                      <w:b/>
                      <w:bCs/>
                      <w:sz w:val="21"/>
                      <w:szCs w:val="21"/>
                    </w:rPr>
                  </w:pPr>
                  <w:r>
                    <w:rPr>
                      <w:rFonts w:hint="eastAsia" w:ascii="Times New Roman" w:hAnsi="Times New Roman" w:eastAsia="宋体" w:cs="Times New Roman"/>
                      <w:b w:val="0"/>
                      <w:bCs/>
                      <w:kern w:val="2"/>
                      <w:sz w:val="21"/>
                      <w:szCs w:val="21"/>
                      <w:lang w:val="en-US" w:eastAsia="zh-CN" w:bidi="ar-SA"/>
                    </w:rPr>
                    <w:t>地面采取在防渗混凝土硬化基础上，设置2mm厚HDPE防渗，满足渗透系数K≤1×10</w:t>
                  </w:r>
                  <w:r>
                    <w:rPr>
                      <w:rFonts w:hint="eastAsia" w:ascii="Times New Roman" w:hAnsi="Times New Roman" w:eastAsia="宋体" w:cs="Times New Roman"/>
                      <w:b w:val="0"/>
                      <w:bCs/>
                      <w:kern w:val="2"/>
                      <w:sz w:val="21"/>
                      <w:szCs w:val="21"/>
                      <w:vertAlign w:val="superscript"/>
                      <w:lang w:val="en-US" w:eastAsia="zh-CN" w:bidi="ar-SA"/>
                    </w:rPr>
                    <w:t>-10</w:t>
                  </w:r>
                  <w:r>
                    <w:rPr>
                      <w:rFonts w:hint="eastAsia" w:ascii="Times New Roman" w:hAnsi="Times New Roman" w:eastAsia="宋体" w:cs="Times New Roman"/>
                      <w:b w:val="0"/>
                      <w:bCs/>
                      <w:kern w:val="2"/>
                      <w:sz w:val="21"/>
                      <w:szCs w:val="21"/>
                      <w:lang w:val="en-US" w:eastAsia="zh-CN" w:bidi="ar-SA"/>
                    </w:rPr>
                    <w:t>cm/s</w:t>
                  </w:r>
                </w:p>
              </w:tc>
            </w:tr>
            <w:tr w14:paraId="1DECF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844" w:type="pct"/>
                  <w:noWrap w:val="0"/>
                  <w:vAlign w:val="center"/>
                </w:tcPr>
                <w:p w14:paraId="737FABB3">
                  <w:pPr>
                    <w:jc w:val="center"/>
                    <w:rPr>
                      <w:rFonts w:hint="eastAsia" w:eastAsia="宋体"/>
                      <w:sz w:val="21"/>
                      <w:szCs w:val="21"/>
                      <w:lang w:eastAsia="zh-CN"/>
                    </w:rPr>
                  </w:pPr>
                  <w:r>
                    <w:rPr>
                      <w:rFonts w:hint="eastAsia"/>
                      <w:sz w:val="21"/>
                      <w:szCs w:val="21"/>
                    </w:rPr>
                    <w:t>喷漆</w:t>
                  </w:r>
                  <w:r>
                    <w:rPr>
                      <w:rFonts w:hint="eastAsia"/>
                      <w:sz w:val="21"/>
                      <w:szCs w:val="21"/>
                      <w:lang w:val="en-US" w:eastAsia="zh-CN"/>
                    </w:rPr>
                    <w:t>室</w:t>
                  </w:r>
                  <w:r>
                    <w:rPr>
                      <w:rFonts w:hint="eastAsia"/>
                      <w:sz w:val="21"/>
                      <w:szCs w:val="21"/>
                    </w:rPr>
                    <w:t>，调漆间、</w:t>
                  </w:r>
                  <w:r>
                    <w:rPr>
                      <w:rFonts w:hint="eastAsia"/>
                      <w:sz w:val="21"/>
                      <w:szCs w:val="21"/>
                      <w:lang w:val="en-US" w:eastAsia="zh-CN"/>
                    </w:rPr>
                    <w:t>供</w:t>
                  </w:r>
                  <w:r>
                    <w:rPr>
                      <w:rFonts w:hint="eastAsia"/>
                      <w:sz w:val="21"/>
                      <w:szCs w:val="21"/>
                    </w:rPr>
                    <w:t>漆间</w:t>
                  </w:r>
                  <w:r>
                    <w:rPr>
                      <w:rFonts w:hint="eastAsia"/>
                      <w:sz w:val="21"/>
                      <w:szCs w:val="21"/>
                      <w:lang w:eastAsia="zh-CN"/>
                    </w:rPr>
                    <w:t>、</w:t>
                  </w:r>
                  <w:r>
                    <w:rPr>
                      <w:rFonts w:hint="eastAsia"/>
                      <w:sz w:val="21"/>
                      <w:szCs w:val="21"/>
                      <w:lang w:val="en-US" w:eastAsia="zh-CN"/>
                    </w:rPr>
                    <w:t>水帘柜沉淀池</w:t>
                  </w:r>
                </w:p>
              </w:tc>
              <w:tc>
                <w:tcPr>
                  <w:tcW w:w="663" w:type="pct"/>
                  <w:vMerge w:val="continue"/>
                  <w:noWrap w:val="0"/>
                  <w:vAlign w:val="center"/>
                </w:tcPr>
                <w:p w14:paraId="136AC708">
                  <w:pPr>
                    <w:spacing w:line="360" w:lineRule="auto"/>
                    <w:jc w:val="center"/>
                    <w:rPr>
                      <w:sz w:val="21"/>
                      <w:szCs w:val="21"/>
                    </w:rPr>
                  </w:pPr>
                </w:p>
              </w:tc>
              <w:tc>
                <w:tcPr>
                  <w:tcW w:w="1782" w:type="pct"/>
                  <w:noWrap w:val="0"/>
                  <w:vAlign w:val="center"/>
                </w:tcPr>
                <w:p w14:paraId="78B49E12">
                  <w:pPr>
                    <w:spacing w:line="240" w:lineRule="auto"/>
                    <w:jc w:val="both"/>
                    <w:rPr>
                      <w:sz w:val="21"/>
                      <w:szCs w:val="21"/>
                    </w:rPr>
                  </w:pPr>
                  <w:r>
                    <w:rPr>
                      <w:rFonts w:hint="eastAsia"/>
                      <w:szCs w:val="21"/>
                    </w:rPr>
                    <w:t>防渗效果不低于厚度为Mb≥6.0m、渗透系数度数为≤10</w:t>
                  </w:r>
                  <w:r>
                    <w:rPr>
                      <w:rFonts w:hint="eastAsia"/>
                      <w:szCs w:val="21"/>
                      <w:vertAlign w:val="superscript"/>
                    </w:rPr>
                    <w:t>-7</w:t>
                  </w:r>
                  <w:r>
                    <w:rPr>
                      <w:rFonts w:hint="eastAsia"/>
                      <w:szCs w:val="21"/>
                    </w:rPr>
                    <w:t>cm/s的黏土防渗层的防渗性能</w:t>
                  </w:r>
                </w:p>
              </w:tc>
              <w:tc>
                <w:tcPr>
                  <w:tcW w:w="1709" w:type="pct"/>
                  <w:noWrap w:val="0"/>
                  <w:vAlign w:val="center"/>
                </w:tcPr>
                <w:p w14:paraId="1FC2510E">
                  <w:pPr>
                    <w:spacing w:line="0" w:lineRule="atLeast"/>
                    <w:rPr>
                      <w:sz w:val="21"/>
                      <w:szCs w:val="21"/>
                    </w:rPr>
                  </w:pPr>
                  <w:r>
                    <w:rPr>
                      <w:rFonts w:hint="eastAsia" w:ascii="Times New Roman" w:hAnsi="Times New Roman" w:eastAsia="宋体" w:cs="Times New Roman"/>
                      <w:b w:val="0"/>
                      <w:bCs/>
                      <w:kern w:val="2"/>
                      <w:sz w:val="21"/>
                      <w:szCs w:val="21"/>
                      <w:lang w:val="en-US" w:eastAsia="zh-CN" w:bidi="ar-SA"/>
                    </w:rPr>
                    <w:t>地面采取在防渗混凝土硬化基础上，设置2mm厚HDPE防渗，满足</w:t>
                  </w:r>
                  <w:r>
                    <w:rPr>
                      <w:rFonts w:hint="eastAsia" w:cs="Times New Roman"/>
                      <w:b w:val="0"/>
                      <w:bCs/>
                      <w:kern w:val="2"/>
                      <w:sz w:val="21"/>
                      <w:szCs w:val="21"/>
                      <w:lang w:val="en-US" w:eastAsia="zh-CN" w:bidi="ar-SA"/>
                    </w:rPr>
                    <w:t>等效黏土防渗层</w:t>
                  </w:r>
                  <w:r>
                    <w:rPr>
                      <w:rFonts w:hint="eastAsia"/>
                      <w:szCs w:val="21"/>
                    </w:rPr>
                    <w:t>Mb≥6.0m、渗透系数度数为≤10</w:t>
                  </w:r>
                  <w:r>
                    <w:rPr>
                      <w:rFonts w:hint="eastAsia"/>
                      <w:szCs w:val="21"/>
                      <w:vertAlign w:val="superscript"/>
                    </w:rPr>
                    <w:t>-7</w:t>
                  </w:r>
                  <w:r>
                    <w:rPr>
                      <w:rFonts w:hint="eastAsia"/>
                      <w:szCs w:val="21"/>
                    </w:rPr>
                    <w:t>cm/s</w:t>
                  </w:r>
                </w:p>
              </w:tc>
            </w:tr>
            <w:tr w14:paraId="20F2E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844" w:type="pct"/>
                  <w:noWrap w:val="0"/>
                  <w:vAlign w:val="center"/>
                </w:tcPr>
                <w:p w14:paraId="08CBA9A4">
                  <w:pPr>
                    <w:jc w:val="center"/>
                    <w:rPr>
                      <w:rFonts w:hint="eastAsia" w:eastAsia="宋体"/>
                      <w:sz w:val="21"/>
                      <w:szCs w:val="21"/>
                      <w:lang w:eastAsia="zh-CN"/>
                    </w:rPr>
                  </w:pPr>
                  <w:r>
                    <w:rPr>
                      <w:rFonts w:hint="eastAsia"/>
                      <w:szCs w:val="21"/>
                    </w:rPr>
                    <w:t>一般固废堆放区</w:t>
                  </w:r>
                  <w:r>
                    <w:rPr>
                      <w:rFonts w:hint="eastAsia"/>
                      <w:szCs w:val="21"/>
                      <w:lang w:eastAsia="zh-CN"/>
                    </w:rPr>
                    <w:t>、</w:t>
                  </w:r>
                  <w:r>
                    <w:rPr>
                      <w:rFonts w:hint="eastAsia"/>
                      <w:szCs w:val="21"/>
                      <w:lang w:val="en-US" w:eastAsia="zh-CN"/>
                    </w:rPr>
                    <w:t>生产车间其他区域</w:t>
                  </w:r>
                </w:p>
              </w:tc>
              <w:tc>
                <w:tcPr>
                  <w:tcW w:w="663" w:type="pct"/>
                  <w:noWrap w:val="0"/>
                  <w:vAlign w:val="center"/>
                </w:tcPr>
                <w:p w14:paraId="6CE3F379">
                  <w:pPr>
                    <w:jc w:val="center"/>
                    <w:rPr>
                      <w:sz w:val="21"/>
                      <w:szCs w:val="21"/>
                    </w:rPr>
                  </w:pPr>
                  <w:r>
                    <w:rPr>
                      <w:rFonts w:hint="eastAsia"/>
                      <w:sz w:val="21"/>
                      <w:szCs w:val="21"/>
                    </w:rPr>
                    <w:t>一般防渗区</w:t>
                  </w:r>
                </w:p>
              </w:tc>
              <w:tc>
                <w:tcPr>
                  <w:tcW w:w="1782" w:type="pct"/>
                  <w:noWrap w:val="0"/>
                  <w:vAlign w:val="center"/>
                </w:tcPr>
                <w:p w14:paraId="0556094E">
                  <w:pPr>
                    <w:jc w:val="center"/>
                    <w:rPr>
                      <w:rFonts w:hint="eastAsia"/>
                      <w:sz w:val="21"/>
                      <w:szCs w:val="21"/>
                    </w:rPr>
                  </w:pPr>
                  <w:r>
                    <w:rPr>
                      <w:rFonts w:hint="eastAsia"/>
                      <w:sz w:val="21"/>
                      <w:szCs w:val="21"/>
                    </w:rPr>
                    <w:t>采用等效黏土防渗层Mb≥1.5m，K≤1×10</w:t>
                  </w:r>
                  <w:r>
                    <w:rPr>
                      <w:rFonts w:hint="eastAsia"/>
                      <w:sz w:val="21"/>
                      <w:szCs w:val="21"/>
                      <w:vertAlign w:val="superscript"/>
                    </w:rPr>
                    <w:t>-7</w:t>
                  </w:r>
                  <w:r>
                    <w:rPr>
                      <w:rFonts w:hint="eastAsia"/>
                      <w:sz w:val="21"/>
                      <w:szCs w:val="21"/>
                    </w:rPr>
                    <w:t>cm/s</w:t>
                  </w:r>
                </w:p>
              </w:tc>
              <w:tc>
                <w:tcPr>
                  <w:tcW w:w="1709" w:type="pct"/>
                  <w:noWrap w:val="0"/>
                  <w:vAlign w:val="center"/>
                </w:tcPr>
                <w:p w14:paraId="7E763247">
                  <w:pPr>
                    <w:jc w:val="both"/>
                    <w:rPr>
                      <w:sz w:val="21"/>
                      <w:szCs w:val="21"/>
                    </w:rPr>
                  </w:pPr>
                  <w:r>
                    <w:rPr>
                      <w:rFonts w:hint="eastAsia"/>
                      <w:sz w:val="21"/>
                      <w:szCs w:val="21"/>
                    </w:rPr>
                    <w:t>等效黏土防渗层Mb≥1.5m，渗透系数K≤1×10</w:t>
                  </w:r>
                  <w:r>
                    <w:rPr>
                      <w:rFonts w:hint="eastAsia"/>
                      <w:sz w:val="21"/>
                      <w:szCs w:val="21"/>
                      <w:vertAlign w:val="superscript"/>
                    </w:rPr>
                    <w:t>-7</w:t>
                  </w:r>
                  <w:r>
                    <w:rPr>
                      <w:rFonts w:hint="eastAsia"/>
                      <w:sz w:val="21"/>
                      <w:szCs w:val="21"/>
                    </w:rPr>
                    <w:t>cm/s</w:t>
                  </w:r>
                </w:p>
              </w:tc>
            </w:tr>
            <w:tr w14:paraId="0B455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844" w:type="pct"/>
                  <w:noWrap w:val="0"/>
                  <w:vAlign w:val="center"/>
                </w:tcPr>
                <w:p w14:paraId="6967A794">
                  <w:pPr>
                    <w:jc w:val="center"/>
                    <w:rPr>
                      <w:sz w:val="21"/>
                      <w:szCs w:val="21"/>
                    </w:rPr>
                  </w:pPr>
                  <w:r>
                    <w:rPr>
                      <w:rFonts w:hint="eastAsia"/>
                      <w:sz w:val="21"/>
                      <w:szCs w:val="21"/>
                    </w:rPr>
                    <w:t>除重点防渗、一般防渗区以外的其他区域</w:t>
                  </w:r>
                </w:p>
              </w:tc>
              <w:tc>
                <w:tcPr>
                  <w:tcW w:w="663" w:type="pct"/>
                  <w:noWrap w:val="0"/>
                  <w:vAlign w:val="center"/>
                </w:tcPr>
                <w:p w14:paraId="50642155">
                  <w:pPr>
                    <w:spacing w:line="0" w:lineRule="atLeast"/>
                    <w:jc w:val="center"/>
                    <w:rPr>
                      <w:sz w:val="21"/>
                      <w:szCs w:val="21"/>
                    </w:rPr>
                  </w:pPr>
                  <w:r>
                    <w:rPr>
                      <w:sz w:val="21"/>
                      <w:szCs w:val="21"/>
                    </w:rPr>
                    <w:t>简单防渗区</w:t>
                  </w:r>
                </w:p>
              </w:tc>
              <w:tc>
                <w:tcPr>
                  <w:tcW w:w="1782" w:type="pct"/>
                  <w:noWrap w:val="0"/>
                  <w:vAlign w:val="center"/>
                </w:tcPr>
                <w:p w14:paraId="139A5EE1">
                  <w:pPr>
                    <w:spacing w:line="0" w:lineRule="atLeast"/>
                    <w:jc w:val="center"/>
                    <w:rPr>
                      <w:sz w:val="21"/>
                      <w:szCs w:val="21"/>
                    </w:rPr>
                  </w:pPr>
                  <w:r>
                    <w:rPr>
                      <w:sz w:val="21"/>
                      <w:szCs w:val="21"/>
                    </w:rPr>
                    <w:t>一般地面硬化</w:t>
                  </w:r>
                </w:p>
              </w:tc>
              <w:tc>
                <w:tcPr>
                  <w:tcW w:w="1709" w:type="pct"/>
                  <w:noWrap w:val="0"/>
                  <w:vAlign w:val="center"/>
                </w:tcPr>
                <w:p w14:paraId="3EF8A0EE">
                  <w:pPr>
                    <w:spacing w:line="0" w:lineRule="atLeast"/>
                    <w:jc w:val="center"/>
                    <w:rPr>
                      <w:rFonts w:hint="default" w:eastAsia="宋体"/>
                      <w:sz w:val="21"/>
                      <w:szCs w:val="21"/>
                      <w:lang w:val="en-US" w:eastAsia="zh-CN"/>
                    </w:rPr>
                  </w:pPr>
                  <w:r>
                    <w:rPr>
                      <w:rFonts w:hint="eastAsia"/>
                      <w:sz w:val="21"/>
                      <w:szCs w:val="21"/>
                      <w:lang w:val="en-US" w:eastAsia="zh-CN"/>
                    </w:rPr>
                    <w:t>地面采取水泥硬化，满足</w:t>
                  </w:r>
                  <w:r>
                    <w:rPr>
                      <w:sz w:val="21"/>
                      <w:szCs w:val="21"/>
                    </w:rPr>
                    <w:t>一般地面硬化</w:t>
                  </w:r>
                </w:p>
              </w:tc>
            </w:tr>
          </w:tbl>
          <w:p w14:paraId="11AF37B4">
            <w:pPr>
              <w:adjustRightInd w:val="0"/>
              <w:snapToGrid w:val="0"/>
              <w:rPr>
                <w:bCs/>
                <w:spacing w:val="-10"/>
                <w:szCs w:val="21"/>
              </w:rPr>
            </w:pPr>
          </w:p>
          <w:p w14:paraId="09A0FC72">
            <w:pPr>
              <w:numPr>
                <w:ilvl w:val="0"/>
                <w:numId w:val="0"/>
              </w:numPr>
              <w:spacing w:line="360" w:lineRule="auto"/>
              <w:rPr>
                <w:b/>
                <w:bCs/>
                <w:sz w:val="21"/>
                <w:szCs w:val="21"/>
              </w:rPr>
            </w:pPr>
            <w:r>
              <w:rPr>
                <w:rFonts w:hint="eastAsia"/>
                <w:b/>
                <w:bCs/>
                <w:sz w:val="21"/>
                <w:szCs w:val="21"/>
                <w:lang w:val="en-US" w:eastAsia="zh-CN"/>
              </w:rPr>
              <w:t>六、</w:t>
            </w:r>
            <w:r>
              <w:rPr>
                <w:b/>
                <w:bCs/>
                <w:sz w:val="21"/>
                <w:szCs w:val="21"/>
              </w:rPr>
              <w:t>运营期监测计划</w:t>
            </w:r>
          </w:p>
          <w:p w14:paraId="266816A5">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参照《排</w:t>
            </w:r>
            <w:r>
              <w:rPr>
                <w:rFonts w:hint="default" w:ascii="Times New Roman" w:hAnsi="Times New Roman" w:eastAsia="宋体" w:cs="Times New Roman"/>
                <w:color w:val="auto"/>
                <w:sz w:val="21"/>
                <w:szCs w:val="21"/>
              </w:rPr>
              <w:t>污单位自行监测技术指南 总则》（HJ819-2017）</w:t>
            </w:r>
            <w:r>
              <w:rPr>
                <w:rFonts w:hint="eastAsia" w:cs="Times New Roman"/>
                <w:color w:val="auto"/>
                <w:sz w:val="21"/>
                <w:szCs w:val="21"/>
                <w:lang w:eastAsia="zh-CN"/>
              </w:rPr>
              <w:t>、</w:t>
            </w:r>
            <w:bookmarkStart w:id="16" w:name="_GoBack"/>
            <w:bookmarkEnd w:id="16"/>
            <w:r>
              <w:rPr>
                <w:rFonts w:hint="eastAsia"/>
                <w:sz w:val="21"/>
                <w:szCs w:val="21"/>
              </w:rPr>
              <w:t>《排污许可证申请与核发技术规范 汽车制造业》(HJ971-2018)</w:t>
            </w:r>
            <w:r>
              <w:rPr>
                <w:rFonts w:hint="default" w:ascii="Times New Roman" w:hAnsi="Times New Roman" w:eastAsia="宋体" w:cs="Times New Roman"/>
                <w:color w:val="auto"/>
                <w:sz w:val="21"/>
                <w:szCs w:val="21"/>
              </w:rPr>
              <w:t>的相关要求，本项目</w:t>
            </w:r>
            <w:r>
              <w:rPr>
                <w:rFonts w:hint="default" w:ascii="Times New Roman" w:hAnsi="Times New Roman" w:cs="Times New Roman"/>
                <w:color w:val="auto"/>
                <w:sz w:val="21"/>
                <w:szCs w:val="21"/>
              </w:rPr>
              <w:t>运营期具体监测计划如下表所示：</w:t>
            </w:r>
          </w:p>
          <w:p w14:paraId="2BB33002">
            <w:pPr>
              <w:pStyle w:val="6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表4-</w:t>
            </w:r>
            <w:r>
              <w:rPr>
                <w:rFonts w:hint="eastAsia" w:ascii="Times New Roman" w:hAnsi="Times New Roman" w:cs="Times New Roman"/>
                <w:color w:val="auto"/>
                <w:sz w:val="21"/>
                <w:szCs w:val="21"/>
                <w:lang w:val="en-US" w:eastAsia="zh-CN"/>
              </w:rPr>
              <w:t>22</w:t>
            </w:r>
            <w:r>
              <w:rPr>
                <w:rFonts w:hint="default" w:ascii="Times New Roman" w:hAnsi="Times New Roman" w:cs="Times New Roman"/>
                <w:color w:val="auto"/>
                <w:sz w:val="21"/>
                <w:szCs w:val="21"/>
              </w:rPr>
              <w:t>运营期监测计划</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923"/>
              <w:gridCol w:w="1525"/>
              <w:gridCol w:w="3772"/>
            </w:tblGrid>
            <w:tr w14:paraId="7B08F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16" w:type="pct"/>
                  <w:noWrap w:val="0"/>
                  <w:vAlign w:val="center"/>
                </w:tcPr>
                <w:p w14:paraId="59892A9B">
                  <w:pPr>
                    <w:widowControl/>
                    <w:spacing w:line="240" w:lineRule="auto"/>
                    <w:jc w:val="center"/>
                    <w:rPr>
                      <w:rFonts w:hint="default" w:ascii="Times New Roman" w:hAnsi="Times New Roman" w:cs="Times New Roman"/>
                      <w:b/>
                      <w:color w:val="auto"/>
                      <w:spacing w:val="-1"/>
                      <w:kern w:val="0"/>
                      <w:sz w:val="21"/>
                      <w:szCs w:val="21"/>
                    </w:rPr>
                  </w:pPr>
                  <w:r>
                    <w:rPr>
                      <w:rFonts w:hint="default" w:ascii="Times New Roman" w:hAnsi="Times New Roman" w:cs="Times New Roman"/>
                      <w:b/>
                      <w:color w:val="auto"/>
                      <w:spacing w:val="-1"/>
                      <w:kern w:val="0"/>
                      <w:sz w:val="21"/>
                      <w:szCs w:val="21"/>
                    </w:rPr>
                    <w:t>点位</w:t>
                  </w:r>
                </w:p>
              </w:tc>
              <w:tc>
                <w:tcPr>
                  <w:tcW w:w="1087" w:type="pct"/>
                  <w:noWrap w:val="0"/>
                  <w:vAlign w:val="center"/>
                </w:tcPr>
                <w:p w14:paraId="36B5C7D8">
                  <w:pPr>
                    <w:widowControl/>
                    <w:spacing w:line="240" w:lineRule="auto"/>
                    <w:jc w:val="center"/>
                    <w:rPr>
                      <w:rFonts w:hint="default" w:ascii="Times New Roman" w:hAnsi="Times New Roman" w:cs="Times New Roman"/>
                      <w:b/>
                      <w:color w:val="auto"/>
                      <w:spacing w:val="-1"/>
                      <w:kern w:val="0"/>
                      <w:sz w:val="21"/>
                      <w:szCs w:val="21"/>
                    </w:rPr>
                  </w:pPr>
                  <w:r>
                    <w:rPr>
                      <w:rFonts w:hint="default" w:ascii="Times New Roman" w:hAnsi="Times New Roman" w:cs="Times New Roman"/>
                      <w:b/>
                      <w:color w:val="auto"/>
                      <w:spacing w:val="-1"/>
                      <w:kern w:val="0"/>
                      <w:sz w:val="21"/>
                      <w:szCs w:val="21"/>
                    </w:rPr>
                    <w:t>监测因子</w:t>
                  </w:r>
                </w:p>
              </w:tc>
              <w:tc>
                <w:tcPr>
                  <w:tcW w:w="862" w:type="pct"/>
                  <w:noWrap w:val="0"/>
                  <w:vAlign w:val="center"/>
                </w:tcPr>
                <w:p w14:paraId="25B974CD">
                  <w:pPr>
                    <w:widowControl/>
                    <w:spacing w:line="240" w:lineRule="auto"/>
                    <w:jc w:val="center"/>
                    <w:rPr>
                      <w:rFonts w:hint="default" w:ascii="Times New Roman" w:hAnsi="Times New Roman" w:cs="Times New Roman"/>
                      <w:b/>
                      <w:color w:val="auto"/>
                      <w:spacing w:val="-1"/>
                      <w:kern w:val="0"/>
                      <w:sz w:val="21"/>
                      <w:szCs w:val="21"/>
                    </w:rPr>
                  </w:pPr>
                  <w:r>
                    <w:rPr>
                      <w:rFonts w:hint="default" w:ascii="Times New Roman" w:hAnsi="Times New Roman" w:cs="Times New Roman"/>
                      <w:b/>
                      <w:color w:val="auto"/>
                      <w:spacing w:val="-1"/>
                      <w:kern w:val="0"/>
                      <w:sz w:val="21"/>
                      <w:szCs w:val="21"/>
                    </w:rPr>
                    <w:t>监测频次</w:t>
                  </w:r>
                </w:p>
              </w:tc>
              <w:tc>
                <w:tcPr>
                  <w:tcW w:w="2132" w:type="pct"/>
                  <w:noWrap w:val="0"/>
                  <w:vAlign w:val="center"/>
                </w:tcPr>
                <w:p w14:paraId="0DE521A1">
                  <w:pPr>
                    <w:widowControl/>
                    <w:spacing w:line="240" w:lineRule="auto"/>
                    <w:jc w:val="center"/>
                    <w:rPr>
                      <w:rFonts w:hint="default" w:ascii="Times New Roman" w:hAnsi="Times New Roman" w:cs="Times New Roman"/>
                      <w:b/>
                      <w:color w:val="auto"/>
                      <w:spacing w:val="-1"/>
                      <w:kern w:val="0"/>
                      <w:sz w:val="21"/>
                      <w:szCs w:val="21"/>
                    </w:rPr>
                  </w:pPr>
                  <w:r>
                    <w:rPr>
                      <w:rFonts w:hint="default" w:ascii="Times New Roman" w:hAnsi="Times New Roman" w:cs="Times New Roman"/>
                      <w:b/>
                      <w:color w:val="auto"/>
                      <w:spacing w:val="-1"/>
                      <w:kern w:val="0"/>
                      <w:sz w:val="21"/>
                      <w:szCs w:val="21"/>
                    </w:rPr>
                    <w:t>执行标准</w:t>
                  </w:r>
                </w:p>
              </w:tc>
            </w:tr>
            <w:tr w14:paraId="6217E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16" w:type="pct"/>
                  <w:vMerge w:val="restart"/>
                  <w:noWrap w:val="0"/>
                  <w:vAlign w:val="center"/>
                </w:tcPr>
                <w:p w14:paraId="73F81E5E">
                  <w:pPr>
                    <w:adjustRightInd w:val="0"/>
                    <w:snapToGrid w:val="0"/>
                    <w:spacing w:line="240" w:lineRule="auto"/>
                    <w:jc w:val="center"/>
                    <w:rPr>
                      <w:rFonts w:hint="default" w:ascii="Times New Roman" w:hAnsi="Times New Roman" w:cs="Times New Roman"/>
                      <w:b/>
                      <w:color w:val="auto"/>
                      <w:spacing w:val="-1"/>
                      <w:kern w:val="0"/>
                      <w:sz w:val="21"/>
                      <w:szCs w:val="21"/>
                    </w:rPr>
                  </w:pPr>
                  <w:r>
                    <w:rPr>
                      <w:rFonts w:hint="default" w:ascii="Times New Roman" w:hAnsi="Times New Roman" w:cs="Times New Roman"/>
                      <w:color w:val="auto"/>
                      <w:sz w:val="21"/>
                      <w:szCs w:val="21"/>
                    </w:rPr>
                    <w:t>DA00</w:t>
                  </w:r>
                  <w:r>
                    <w:rPr>
                      <w:rFonts w:hint="default" w:ascii="Times New Roman" w:hAnsi="Times New Roman" w:cs="Times New Roman"/>
                      <w:color w:val="auto"/>
                      <w:sz w:val="21"/>
                      <w:szCs w:val="21"/>
                      <w:lang w:val="en-US" w:eastAsia="zh-CN"/>
                    </w:rPr>
                    <w:t>1</w:t>
                  </w:r>
                </w:p>
              </w:tc>
              <w:tc>
                <w:tcPr>
                  <w:tcW w:w="1087" w:type="pct"/>
                  <w:noWrap w:val="0"/>
                  <w:vAlign w:val="center"/>
                </w:tcPr>
                <w:p w14:paraId="30567A16">
                  <w:pPr>
                    <w:adjustRightInd w:val="0"/>
                    <w:snapToGrid w:val="0"/>
                    <w:spacing w:line="240" w:lineRule="auto"/>
                    <w:jc w:val="center"/>
                    <w:rPr>
                      <w:rFonts w:hint="default" w:ascii="Times New Roman" w:hAnsi="Times New Roman" w:eastAsia="宋体" w:cs="Times New Roman"/>
                      <w:b/>
                      <w:color w:val="auto"/>
                      <w:spacing w:val="-1"/>
                      <w:kern w:val="0"/>
                      <w:sz w:val="21"/>
                      <w:szCs w:val="21"/>
                      <w:lang w:val="en-US" w:eastAsia="zh-CN"/>
                    </w:rPr>
                  </w:pPr>
                  <w:r>
                    <w:rPr>
                      <w:rFonts w:hint="default" w:ascii="Times New Roman" w:hAnsi="Times New Roman" w:cs="Times New Roman"/>
                      <w:color w:val="auto"/>
                      <w:sz w:val="21"/>
                      <w:szCs w:val="21"/>
                    </w:rPr>
                    <w:t>VOCs</w:t>
                  </w:r>
                  <w:r>
                    <w:rPr>
                      <w:rFonts w:hint="eastAsia" w:ascii="Times New Roman" w:hAnsi="Times New Roman" w:cs="Times New Roman"/>
                      <w:color w:val="auto"/>
                      <w:sz w:val="21"/>
                      <w:szCs w:val="21"/>
                      <w:lang w:eastAsia="zh-CN"/>
                    </w:rPr>
                    <w:t>、</w:t>
                  </w:r>
                  <w:r>
                    <w:rPr>
                      <w:rFonts w:hint="eastAsia"/>
                      <w:sz w:val="21"/>
                      <w:szCs w:val="21"/>
                    </w:rPr>
                    <w:t>苯乙烯</w:t>
                  </w:r>
                </w:p>
              </w:tc>
              <w:tc>
                <w:tcPr>
                  <w:tcW w:w="862" w:type="pct"/>
                  <w:vMerge w:val="restart"/>
                  <w:noWrap w:val="0"/>
                  <w:vAlign w:val="center"/>
                </w:tcPr>
                <w:p w14:paraId="6ADAD5AB">
                  <w:pPr>
                    <w:adjustRightInd w:val="0"/>
                    <w:snapToGrid w:val="0"/>
                    <w:spacing w:line="240" w:lineRule="auto"/>
                    <w:jc w:val="center"/>
                    <w:rPr>
                      <w:rFonts w:hint="default" w:ascii="Times New Roman" w:hAnsi="Times New Roman" w:eastAsia="宋体" w:cs="Times New Roman"/>
                      <w:b/>
                      <w:color w:val="auto"/>
                      <w:spacing w:val="-1"/>
                      <w:kern w:val="0"/>
                      <w:sz w:val="21"/>
                      <w:szCs w:val="21"/>
                      <w:lang w:eastAsia="zh-CN"/>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年</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年</w:t>
                  </w:r>
                </w:p>
              </w:tc>
              <w:tc>
                <w:tcPr>
                  <w:tcW w:w="2132" w:type="pct"/>
                  <w:noWrap w:val="0"/>
                  <w:vAlign w:val="center"/>
                </w:tcPr>
                <w:p w14:paraId="11476E5B">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《四川省固定污染源大气挥发性有机物排放标准》（DB51/2377-2017）</w:t>
                  </w:r>
                </w:p>
              </w:tc>
            </w:tr>
            <w:tr w14:paraId="7663A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16" w:type="pct"/>
                  <w:vMerge w:val="continue"/>
                  <w:noWrap w:val="0"/>
                  <w:vAlign w:val="center"/>
                </w:tcPr>
                <w:p w14:paraId="0DB4EB33">
                  <w:pPr>
                    <w:adjustRightInd w:val="0"/>
                    <w:snapToGrid w:val="0"/>
                    <w:spacing w:line="240" w:lineRule="auto"/>
                    <w:jc w:val="center"/>
                    <w:rPr>
                      <w:rFonts w:hint="default" w:ascii="Times New Roman" w:hAnsi="Times New Roman" w:cs="Times New Roman"/>
                      <w:color w:val="auto"/>
                      <w:sz w:val="21"/>
                      <w:szCs w:val="21"/>
                    </w:rPr>
                  </w:pPr>
                </w:p>
              </w:tc>
              <w:tc>
                <w:tcPr>
                  <w:tcW w:w="1087" w:type="pct"/>
                  <w:noWrap w:val="0"/>
                  <w:vAlign w:val="center"/>
                </w:tcPr>
                <w:p w14:paraId="185A9256">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颗粒物</w:t>
                  </w:r>
                </w:p>
              </w:tc>
              <w:tc>
                <w:tcPr>
                  <w:tcW w:w="862" w:type="pct"/>
                  <w:vMerge w:val="continue"/>
                  <w:noWrap w:val="0"/>
                  <w:vAlign w:val="center"/>
                </w:tcPr>
                <w:p w14:paraId="001F9A39">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2132" w:type="pct"/>
                  <w:noWrap w:val="0"/>
                  <w:vAlign w:val="center"/>
                </w:tcPr>
                <w:p w14:paraId="4387C21F">
                  <w:pPr>
                    <w:bidi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sz w:val="21"/>
                      <w:szCs w:val="21"/>
                    </w:rPr>
                    <w:t>《大气污染物综合排放标准》（GB16297-1996）</w:t>
                  </w:r>
                </w:p>
              </w:tc>
            </w:tr>
            <w:tr w14:paraId="518C4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16" w:type="pct"/>
                  <w:noWrap w:val="0"/>
                  <w:vAlign w:val="center"/>
                </w:tcPr>
                <w:p w14:paraId="06EF6815">
                  <w:pPr>
                    <w:adjustRightInd w:val="0"/>
                    <w:snapToGrid w:val="0"/>
                    <w:spacing w:line="240" w:lineRule="auto"/>
                    <w:jc w:val="center"/>
                    <w:rPr>
                      <w:rFonts w:hint="default" w:ascii="Times New Roman" w:hAnsi="Times New Roman" w:eastAsia="宋体" w:cs="Times New Roman"/>
                      <w:b/>
                      <w:color w:val="auto"/>
                      <w:spacing w:val="-1"/>
                      <w:kern w:val="0"/>
                      <w:sz w:val="21"/>
                      <w:szCs w:val="21"/>
                      <w:lang w:val="en-US" w:eastAsia="zh-CN" w:bidi="ar-SA"/>
                    </w:rPr>
                  </w:pPr>
                  <w:r>
                    <w:rPr>
                      <w:rFonts w:hint="default" w:ascii="Times New Roman" w:hAnsi="Times New Roman" w:cs="Times New Roman"/>
                      <w:color w:val="auto"/>
                      <w:sz w:val="21"/>
                      <w:szCs w:val="21"/>
                    </w:rPr>
                    <w:t>DA00</w:t>
                  </w: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~DA007</w:t>
                  </w:r>
                </w:p>
              </w:tc>
              <w:tc>
                <w:tcPr>
                  <w:tcW w:w="1087" w:type="pct"/>
                  <w:noWrap w:val="0"/>
                  <w:vAlign w:val="center"/>
                </w:tcPr>
                <w:p w14:paraId="53831EBA">
                  <w:pPr>
                    <w:adjustRightInd w:val="0"/>
                    <w:snapToGrid w:val="0"/>
                    <w:spacing w:line="240" w:lineRule="auto"/>
                    <w:jc w:val="center"/>
                    <w:rPr>
                      <w:rFonts w:hint="default" w:ascii="Times New Roman" w:hAnsi="Times New Roman" w:eastAsia="宋体" w:cs="Times New Roman"/>
                      <w:b/>
                      <w:color w:val="auto"/>
                      <w:spacing w:val="-1"/>
                      <w:kern w:val="0"/>
                      <w:sz w:val="21"/>
                      <w:szCs w:val="21"/>
                      <w:lang w:val="en-US" w:eastAsia="zh-CN" w:bidi="ar-SA"/>
                    </w:rPr>
                  </w:pPr>
                  <w:r>
                    <w:rPr>
                      <w:rFonts w:hint="default" w:ascii="Times New Roman" w:hAnsi="Times New Roman" w:cs="Times New Roman"/>
                      <w:color w:val="auto"/>
                      <w:sz w:val="21"/>
                      <w:szCs w:val="21"/>
                    </w:rPr>
                    <w:t>VOCs</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二甲苯、乙苯</w:t>
                  </w:r>
                </w:p>
              </w:tc>
              <w:tc>
                <w:tcPr>
                  <w:tcW w:w="862" w:type="pct"/>
                  <w:noWrap w:val="0"/>
                  <w:vAlign w:val="center"/>
                </w:tcPr>
                <w:p w14:paraId="3685315C">
                  <w:pPr>
                    <w:adjustRightInd w:val="0"/>
                    <w:snapToGrid w:val="0"/>
                    <w:spacing w:line="240" w:lineRule="auto"/>
                    <w:jc w:val="center"/>
                    <w:rPr>
                      <w:rFonts w:hint="default" w:ascii="Times New Roman" w:hAnsi="Times New Roman" w:cs="Times New Roman"/>
                      <w:b/>
                      <w:color w:val="auto"/>
                      <w:spacing w:val="-1"/>
                      <w:kern w:val="0"/>
                      <w:sz w:val="21"/>
                      <w:szCs w:val="21"/>
                      <w:lang w:val="en-US" w:eastAsia="zh-CN" w:bidi="ar-SA"/>
                    </w:rPr>
                  </w:pPr>
                  <w:r>
                    <w:rPr>
                      <w:rFonts w:hint="default" w:ascii="Times New Roman" w:hAnsi="Times New Roman" w:cs="Times New Roman"/>
                      <w:color w:val="auto"/>
                      <w:sz w:val="21"/>
                      <w:szCs w:val="21"/>
                    </w:rPr>
                    <w:t>1次</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年</w:t>
                  </w:r>
                </w:p>
              </w:tc>
              <w:tc>
                <w:tcPr>
                  <w:tcW w:w="2132" w:type="pct"/>
                  <w:noWrap w:val="0"/>
                  <w:vAlign w:val="center"/>
                </w:tcPr>
                <w:p w14:paraId="5C2D1407">
                  <w:pPr>
                    <w:adjustRightInd w:val="0"/>
                    <w:snapToGrid w:val="0"/>
                    <w:spacing w:line="240" w:lineRule="auto"/>
                    <w:jc w:val="center"/>
                    <w:rPr>
                      <w:rFonts w:hint="default" w:ascii="Times New Roman" w:hAnsi="Times New Roman" w:cs="Times New Roman"/>
                      <w:b/>
                      <w:color w:val="auto"/>
                      <w:spacing w:val="-1"/>
                      <w:kern w:val="0"/>
                      <w:sz w:val="21"/>
                      <w:szCs w:val="21"/>
                      <w:lang w:val="en-US" w:eastAsia="zh-CN" w:bidi="ar-SA"/>
                    </w:rPr>
                  </w:pPr>
                  <w:r>
                    <w:rPr>
                      <w:rFonts w:hint="default" w:ascii="Times New Roman" w:hAnsi="Times New Roman" w:cs="Times New Roman"/>
                      <w:sz w:val="21"/>
                      <w:szCs w:val="21"/>
                    </w:rPr>
                    <w:t>《四川省固定污染源大气挥发性有机物排放标准》（DB51/2377-2017）</w:t>
                  </w:r>
                </w:p>
              </w:tc>
            </w:tr>
            <w:tr w14:paraId="26492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6" w:type="pct"/>
                  <w:noWrap w:val="0"/>
                  <w:vAlign w:val="center"/>
                </w:tcPr>
                <w:p w14:paraId="4560D5E3">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厂区内</w:t>
                  </w:r>
                </w:p>
              </w:tc>
              <w:tc>
                <w:tcPr>
                  <w:tcW w:w="1087" w:type="pct"/>
                  <w:noWrap w:val="0"/>
                  <w:vAlign w:val="center"/>
                </w:tcPr>
                <w:p w14:paraId="364DA44C">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VOCs</w:t>
                  </w:r>
                </w:p>
              </w:tc>
              <w:tc>
                <w:tcPr>
                  <w:tcW w:w="862" w:type="pct"/>
                  <w:noWrap w:val="0"/>
                  <w:vAlign w:val="center"/>
                </w:tcPr>
                <w:p w14:paraId="513C6668">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年</w:t>
                  </w:r>
                </w:p>
              </w:tc>
              <w:tc>
                <w:tcPr>
                  <w:tcW w:w="2132" w:type="pct"/>
                  <w:noWrap w:val="0"/>
                  <w:vAlign w:val="center"/>
                </w:tcPr>
                <w:p w14:paraId="29D355E5">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《挥发性有机物无组织排放控制标准》GB37822-2019</w:t>
                  </w:r>
                </w:p>
              </w:tc>
            </w:tr>
            <w:tr w14:paraId="25713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16" w:type="pct"/>
                  <w:vMerge w:val="restart"/>
                  <w:noWrap w:val="0"/>
                  <w:vAlign w:val="center"/>
                </w:tcPr>
                <w:p w14:paraId="7B0770B8">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p>
              </w:tc>
              <w:tc>
                <w:tcPr>
                  <w:tcW w:w="1087" w:type="pct"/>
                  <w:noWrap w:val="0"/>
                  <w:vAlign w:val="center"/>
                </w:tcPr>
                <w:p w14:paraId="13A68035">
                  <w:pPr>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VOCs</w:t>
                  </w:r>
                  <w:r>
                    <w:rPr>
                      <w:rFonts w:hint="eastAsia" w:cs="Times New Roman"/>
                      <w:color w:val="auto"/>
                      <w:sz w:val="21"/>
                      <w:szCs w:val="21"/>
                      <w:lang w:eastAsia="zh-CN"/>
                    </w:rPr>
                    <w:t>、</w:t>
                  </w:r>
                  <w:r>
                    <w:rPr>
                      <w:rFonts w:hint="eastAsia"/>
                      <w:sz w:val="21"/>
                      <w:szCs w:val="21"/>
                    </w:rPr>
                    <w:t>苯乙烯</w:t>
                  </w:r>
                  <w:r>
                    <w:rPr>
                      <w:rFonts w:hint="eastAsia"/>
                      <w:sz w:val="21"/>
                      <w:szCs w:val="21"/>
                      <w:lang w:eastAsia="zh-CN"/>
                    </w:rPr>
                    <w:t>、</w:t>
                  </w:r>
                  <w:r>
                    <w:rPr>
                      <w:rFonts w:hint="eastAsia" w:cs="Times New Roman"/>
                      <w:color w:val="auto"/>
                      <w:sz w:val="21"/>
                      <w:szCs w:val="21"/>
                      <w:lang w:val="en-US" w:eastAsia="zh-CN"/>
                    </w:rPr>
                    <w:t>二甲苯、乙苯</w:t>
                  </w:r>
                </w:p>
              </w:tc>
              <w:tc>
                <w:tcPr>
                  <w:tcW w:w="862" w:type="pct"/>
                  <w:noWrap w:val="0"/>
                  <w:vAlign w:val="center"/>
                </w:tcPr>
                <w:p w14:paraId="00CB70E5">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年</w:t>
                  </w:r>
                </w:p>
              </w:tc>
              <w:tc>
                <w:tcPr>
                  <w:tcW w:w="2132" w:type="pct"/>
                  <w:noWrap w:val="0"/>
                  <w:vAlign w:val="center"/>
                </w:tcPr>
                <w:p w14:paraId="53BA1666">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sz w:val="21"/>
                      <w:szCs w:val="21"/>
                    </w:rPr>
                    <w:t>《四川省固定污染源大气挥发性有机物排放标准》（DB51/2377-2017）</w:t>
                  </w:r>
                </w:p>
              </w:tc>
            </w:tr>
            <w:tr w14:paraId="5A9EE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16" w:type="pct"/>
                  <w:vMerge w:val="continue"/>
                  <w:noWrap w:val="0"/>
                  <w:vAlign w:val="center"/>
                </w:tcPr>
                <w:p w14:paraId="62D0540C">
                  <w:pPr>
                    <w:adjustRightInd w:val="0"/>
                    <w:snapToGrid w:val="0"/>
                    <w:spacing w:line="240" w:lineRule="auto"/>
                    <w:jc w:val="center"/>
                    <w:rPr>
                      <w:rFonts w:hint="default" w:ascii="Times New Roman" w:hAnsi="Times New Roman" w:cs="Times New Roman"/>
                      <w:color w:val="auto"/>
                      <w:sz w:val="21"/>
                      <w:szCs w:val="21"/>
                    </w:rPr>
                  </w:pPr>
                </w:p>
              </w:tc>
              <w:tc>
                <w:tcPr>
                  <w:tcW w:w="1087" w:type="pct"/>
                  <w:noWrap w:val="0"/>
                  <w:vAlign w:val="center"/>
                </w:tcPr>
                <w:p w14:paraId="0FF637AF">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862" w:type="pct"/>
                  <w:noWrap w:val="0"/>
                  <w:vAlign w:val="center"/>
                </w:tcPr>
                <w:p w14:paraId="6B34A907">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年</w:t>
                  </w:r>
                </w:p>
              </w:tc>
              <w:tc>
                <w:tcPr>
                  <w:tcW w:w="2132" w:type="pct"/>
                  <w:noWrap w:val="0"/>
                  <w:vAlign w:val="center"/>
                </w:tcPr>
                <w:p w14:paraId="4A33CFE4">
                  <w:pPr>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r>
            <w:tr w14:paraId="4B8AB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16" w:type="pct"/>
                  <w:vMerge w:val="continue"/>
                  <w:noWrap w:val="0"/>
                  <w:vAlign w:val="center"/>
                </w:tcPr>
                <w:p w14:paraId="32FCA8C6">
                  <w:pPr>
                    <w:adjustRightInd w:val="0"/>
                    <w:snapToGrid w:val="0"/>
                    <w:spacing w:line="240" w:lineRule="auto"/>
                    <w:jc w:val="center"/>
                    <w:rPr>
                      <w:rFonts w:hint="default" w:ascii="Times New Roman" w:hAnsi="Times New Roman" w:cs="Times New Roman"/>
                      <w:color w:val="auto"/>
                      <w:sz w:val="21"/>
                      <w:szCs w:val="21"/>
                    </w:rPr>
                  </w:pPr>
                </w:p>
              </w:tc>
              <w:tc>
                <w:tcPr>
                  <w:tcW w:w="1087" w:type="pct"/>
                  <w:noWrap w:val="0"/>
                  <w:vAlign w:val="center"/>
                </w:tcPr>
                <w:p w14:paraId="57E45625">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862" w:type="pct"/>
                  <w:noWrap w:val="0"/>
                  <w:vAlign w:val="center"/>
                </w:tcPr>
                <w:p w14:paraId="7DAD2A15">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季度</w:t>
                  </w:r>
                </w:p>
              </w:tc>
              <w:tc>
                <w:tcPr>
                  <w:tcW w:w="2132" w:type="pct"/>
                  <w:noWrap w:val="0"/>
                  <w:vAlign w:val="center"/>
                </w:tcPr>
                <w:p w14:paraId="6AECA0E0">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《工业企业厂界环境噪声排放标准》（GB12348-2008）3类标准</w:t>
                  </w:r>
                </w:p>
              </w:tc>
            </w:tr>
          </w:tbl>
          <w:p w14:paraId="7CBE4905">
            <w:pPr>
              <w:spacing w:line="360" w:lineRule="auto"/>
              <w:rPr>
                <w:sz w:val="21"/>
                <w:szCs w:val="21"/>
              </w:rPr>
            </w:pPr>
            <w:r>
              <w:rPr>
                <w:rFonts w:hint="eastAsia"/>
                <w:b/>
                <w:bCs/>
                <w:sz w:val="21"/>
                <w:szCs w:val="21"/>
                <w:lang w:val="en-US" w:eastAsia="zh-CN"/>
              </w:rPr>
              <w:t>七</w:t>
            </w:r>
            <w:r>
              <w:rPr>
                <w:b/>
                <w:bCs/>
                <w:sz w:val="21"/>
                <w:szCs w:val="21"/>
              </w:rPr>
              <w:t>、环境风险</w:t>
            </w:r>
          </w:p>
          <w:p w14:paraId="78A32023">
            <w:pPr>
              <w:bidi w:val="0"/>
              <w:spacing w:line="360" w:lineRule="auto"/>
              <w:ind w:firstLine="422" w:firstLineChars="200"/>
              <w:rPr>
                <w:rFonts w:hint="default"/>
                <w:b/>
                <w:bCs/>
              </w:rPr>
            </w:pPr>
            <w:r>
              <w:rPr>
                <w:rFonts w:hint="eastAsia"/>
                <w:b/>
                <w:bCs/>
              </w:rPr>
              <w:t>1、建设项目风险源调查</w:t>
            </w:r>
          </w:p>
          <w:p w14:paraId="1FD4ABD3">
            <w:pPr>
              <w:pStyle w:val="69"/>
              <w:spacing w:line="360" w:lineRule="auto"/>
              <w:ind w:firstLine="48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根据本项目原辅材料性质及《建设项目环境风险评价技术导则》(HJ 169—2018</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附录B，本项目</w:t>
            </w:r>
            <w:r>
              <w:rPr>
                <w:sz w:val="21"/>
                <w:szCs w:val="21"/>
              </w:rPr>
              <w:t>风险物质为</w:t>
            </w:r>
            <w:r>
              <w:rPr>
                <w:rFonts w:hint="eastAsia"/>
                <w:sz w:val="21"/>
                <w:szCs w:val="21"/>
                <w:lang w:val="en-US" w:eastAsia="zh-CN"/>
              </w:rPr>
              <w:t>油漆</w:t>
            </w:r>
            <w:r>
              <w:rPr>
                <w:sz w:val="21"/>
                <w:szCs w:val="21"/>
              </w:rPr>
              <w:t>、</w:t>
            </w:r>
            <w:r>
              <w:rPr>
                <w:rFonts w:hint="eastAsia"/>
                <w:sz w:val="21"/>
                <w:szCs w:val="21"/>
                <w:lang w:val="en-US" w:eastAsia="zh-CN"/>
              </w:rPr>
              <w:t>稀释剂</w:t>
            </w:r>
            <w:r>
              <w:rPr>
                <w:sz w:val="21"/>
                <w:szCs w:val="21"/>
              </w:rPr>
              <w:t>、</w:t>
            </w:r>
            <w:r>
              <w:rPr>
                <w:rFonts w:hint="eastAsia"/>
                <w:sz w:val="21"/>
                <w:szCs w:val="21"/>
                <w:lang w:val="en-US" w:eastAsia="zh-CN"/>
              </w:rPr>
              <w:t>固化剂</w:t>
            </w:r>
            <w:r>
              <w:rPr>
                <w:sz w:val="21"/>
                <w:szCs w:val="21"/>
              </w:rPr>
              <w:t>中所含的</w:t>
            </w:r>
            <w:r>
              <w:rPr>
                <w:rFonts w:hint="eastAsia"/>
                <w:sz w:val="21"/>
                <w:szCs w:val="21"/>
                <w:lang w:val="en-US" w:eastAsia="zh-CN"/>
              </w:rPr>
              <w:t>二甲苯</w:t>
            </w:r>
            <w:r>
              <w:rPr>
                <w:sz w:val="21"/>
                <w:szCs w:val="21"/>
              </w:rPr>
              <w:t>、乙苯、石脑油等以及危废暂存间暂存废油类物质，项目建成后全厂主要危险物质情况见</w:t>
            </w:r>
            <w:r>
              <w:rPr>
                <w:sz w:val="21"/>
                <w:szCs w:val="21"/>
              </w:rPr>
              <w:fldChar w:fldCharType="begin"/>
            </w:r>
            <w:r>
              <w:rPr>
                <w:sz w:val="21"/>
                <w:szCs w:val="21"/>
              </w:rPr>
              <w:instrText xml:space="preserve"> REF _Ref68611274 \h  \* MERGEFORMAT </w:instrText>
            </w:r>
            <w:r>
              <w:rPr>
                <w:sz w:val="21"/>
                <w:szCs w:val="21"/>
              </w:rPr>
              <w:fldChar w:fldCharType="separate"/>
            </w:r>
            <w:r>
              <w:rPr>
                <w:sz w:val="21"/>
                <w:szCs w:val="21"/>
              </w:rPr>
              <w:t>表</w:t>
            </w:r>
            <w:r>
              <w:rPr>
                <w:sz w:val="21"/>
                <w:szCs w:val="21"/>
              </w:rPr>
              <w:fldChar w:fldCharType="end"/>
            </w:r>
            <w:r>
              <w:rPr>
                <w:sz w:val="21"/>
                <w:szCs w:val="21"/>
              </w:rPr>
              <w:t>：</w:t>
            </w:r>
          </w:p>
          <w:p w14:paraId="5AC23F21">
            <w:pPr>
              <w:keepNext/>
              <w:keepLines/>
              <w:widowControl/>
              <w:wordWrap/>
              <w:adjustRightInd w:val="0"/>
              <w:snapToGrid w:val="0"/>
              <w:spacing w:line="240" w:lineRule="auto"/>
              <w:ind w:firstLine="0" w:firstLineChars="0"/>
              <w:jc w:val="center"/>
              <w:outlineLvl w:val="9"/>
              <w:rPr>
                <w:rFonts w:ascii="Times New Roman" w:hAnsi="Times New Roman" w:eastAsia="宋体"/>
                <w:b/>
                <w:color w:val="auto"/>
                <w:sz w:val="21"/>
                <w:szCs w:val="21"/>
              </w:rPr>
            </w:pPr>
            <w:r>
              <w:rPr>
                <w:rFonts w:hint="eastAsia" w:ascii="Times New Roman" w:hAnsi="Times New Roman" w:eastAsia="宋体"/>
                <w:b/>
                <w:color w:val="auto"/>
                <w:sz w:val="21"/>
                <w:szCs w:val="21"/>
                <w:lang w:val="en-US" w:eastAsia="zh-CN"/>
              </w:rPr>
              <w:t>表4-23</w:t>
            </w:r>
            <w:r>
              <w:rPr>
                <w:rFonts w:ascii="Times New Roman" w:hAnsi="Times New Roman" w:eastAsia="宋体"/>
                <w:b/>
                <w:color w:val="auto"/>
                <w:sz w:val="21"/>
                <w:szCs w:val="21"/>
              </w:rPr>
              <w:t>全厂主要危险物质分布、储量一览表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966"/>
              <w:gridCol w:w="1684"/>
              <w:gridCol w:w="1714"/>
              <w:gridCol w:w="1572"/>
              <w:gridCol w:w="1285"/>
              <w:gridCol w:w="1143"/>
            </w:tblGrid>
            <w:tr w14:paraId="25864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81" w:type="dxa"/>
                  <w:vAlign w:val="center"/>
                </w:tcPr>
                <w:p w14:paraId="74CE05EF">
                  <w:pPr>
                    <w:adjustRightInd w:val="0"/>
                    <w:snapToGrid w:val="0"/>
                    <w:jc w:val="center"/>
                    <w:rPr>
                      <w:b/>
                      <w:szCs w:val="21"/>
                    </w:rPr>
                  </w:pPr>
                  <w:r>
                    <w:rPr>
                      <w:b/>
                    </w:rPr>
                    <w:t>序号</w:t>
                  </w:r>
                </w:p>
              </w:tc>
              <w:tc>
                <w:tcPr>
                  <w:tcW w:w="2650" w:type="dxa"/>
                  <w:gridSpan w:val="2"/>
                  <w:vAlign w:val="center"/>
                </w:tcPr>
                <w:p w14:paraId="61F139BF">
                  <w:pPr>
                    <w:adjustRightInd w:val="0"/>
                    <w:snapToGrid w:val="0"/>
                    <w:jc w:val="center"/>
                    <w:rPr>
                      <w:b/>
                      <w:szCs w:val="21"/>
                    </w:rPr>
                  </w:pPr>
                  <w:r>
                    <w:rPr>
                      <w:b/>
                      <w:szCs w:val="21"/>
                    </w:rPr>
                    <w:t>危险化学品名称</w:t>
                  </w:r>
                </w:p>
              </w:tc>
              <w:tc>
                <w:tcPr>
                  <w:tcW w:w="1714" w:type="dxa"/>
                  <w:vAlign w:val="center"/>
                </w:tcPr>
                <w:p w14:paraId="186E0ED7">
                  <w:pPr>
                    <w:adjustRightInd w:val="0"/>
                    <w:snapToGrid w:val="0"/>
                    <w:jc w:val="center"/>
                    <w:rPr>
                      <w:b/>
                      <w:szCs w:val="21"/>
                    </w:rPr>
                  </w:pPr>
                  <w:r>
                    <w:rPr>
                      <w:b/>
                      <w:szCs w:val="21"/>
                    </w:rPr>
                    <w:t>存储方式</w:t>
                  </w:r>
                </w:p>
              </w:tc>
              <w:tc>
                <w:tcPr>
                  <w:tcW w:w="1572" w:type="dxa"/>
                  <w:vAlign w:val="center"/>
                </w:tcPr>
                <w:p w14:paraId="147777FD">
                  <w:pPr>
                    <w:adjustRightInd w:val="0"/>
                    <w:snapToGrid w:val="0"/>
                    <w:jc w:val="center"/>
                    <w:rPr>
                      <w:b/>
                      <w:szCs w:val="21"/>
                    </w:rPr>
                  </w:pPr>
                  <w:r>
                    <w:rPr>
                      <w:b/>
                      <w:szCs w:val="21"/>
                    </w:rPr>
                    <w:t>最大存储量（t）</w:t>
                  </w:r>
                </w:p>
              </w:tc>
              <w:tc>
                <w:tcPr>
                  <w:tcW w:w="1285" w:type="dxa"/>
                  <w:vAlign w:val="center"/>
                </w:tcPr>
                <w:p w14:paraId="05584132">
                  <w:pPr>
                    <w:adjustRightInd w:val="0"/>
                    <w:snapToGrid w:val="0"/>
                    <w:jc w:val="center"/>
                    <w:rPr>
                      <w:b/>
                      <w:szCs w:val="21"/>
                    </w:rPr>
                  </w:pPr>
                  <w:r>
                    <w:rPr>
                      <w:b/>
                      <w:szCs w:val="21"/>
                    </w:rPr>
                    <w:t>临界量（t）</w:t>
                  </w:r>
                </w:p>
              </w:tc>
              <w:tc>
                <w:tcPr>
                  <w:tcW w:w="1143" w:type="dxa"/>
                  <w:vAlign w:val="center"/>
                </w:tcPr>
                <w:p w14:paraId="7F001E0E">
                  <w:pPr>
                    <w:adjustRightInd w:val="0"/>
                    <w:snapToGrid w:val="0"/>
                    <w:jc w:val="center"/>
                    <w:rPr>
                      <w:b/>
                      <w:szCs w:val="21"/>
                    </w:rPr>
                  </w:pPr>
                  <w:r>
                    <w:rPr>
                      <w:b/>
                      <w:szCs w:val="21"/>
                    </w:rPr>
                    <w:t>Q值</w:t>
                  </w:r>
                </w:p>
              </w:tc>
            </w:tr>
            <w:tr w14:paraId="26D04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tblHeader/>
                <w:jc w:val="center"/>
              </w:trPr>
              <w:tc>
                <w:tcPr>
                  <w:tcW w:w="481" w:type="dxa"/>
                  <w:vAlign w:val="center"/>
                </w:tcPr>
                <w:p w14:paraId="7E59C3DA">
                  <w:pPr>
                    <w:adjustRightInd w:val="0"/>
                    <w:snapToGrid w:val="0"/>
                    <w:jc w:val="center"/>
                    <w:rPr>
                      <w:rFonts w:hint="eastAsia" w:eastAsia="宋体"/>
                      <w:szCs w:val="21"/>
                      <w:lang w:eastAsia="zh-CN"/>
                    </w:rPr>
                  </w:pPr>
                  <w:r>
                    <w:rPr>
                      <w:rFonts w:hint="eastAsia"/>
                      <w:szCs w:val="21"/>
                      <w:lang w:val="en-US" w:eastAsia="zh-CN"/>
                    </w:rPr>
                    <w:t>1</w:t>
                  </w:r>
                </w:p>
              </w:tc>
              <w:tc>
                <w:tcPr>
                  <w:tcW w:w="2650" w:type="dxa"/>
                  <w:gridSpan w:val="2"/>
                  <w:vAlign w:val="center"/>
                </w:tcPr>
                <w:p w14:paraId="419E3158">
                  <w:pPr>
                    <w:adjustRightInd w:val="0"/>
                    <w:snapToGrid w:val="0"/>
                    <w:jc w:val="center"/>
                  </w:pPr>
                  <w:r>
                    <w:rPr>
                      <w:rFonts w:hint="eastAsia"/>
                    </w:rPr>
                    <w:t>废油类物质</w:t>
                  </w:r>
                </w:p>
              </w:tc>
              <w:tc>
                <w:tcPr>
                  <w:tcW w:w="1714" w:type="dxa"/>
                  <w:vAlign w:val="center"/>
                </w:tcPr>
                <w:p w14:paraId="344C3C7E">
                  <w:pPr>
                    <w:adjustRightInd w:val="0"/>
                    <w:snapToGrid w:val="0"/>
                    <w:jc w:val="center"/>
                    <w:rPr>
                      <w:snapToGrid w:val="0"/>
                      <w:kern w:val="0"/>
                      <w:szCs w:val="21"/>
                    </w:rPr>
                  </w:pPr>
                  <w:r>
                    <w:rPr>
                      <w:snapToGrid w:val="0"/>
                      <w:kern w:val="0"/>
                      <w:szCs w:val="21"/>
                    </w:rPr>
                    <w:t>废油暂存间桶装</w:t>
                  </w:r>
                </w:p>
              </w:tc>
              <w:tc>
                <w:tcPr>
                  <w:tcW w:w="1572" w:type="dxa"/>
                  <w:vAlign w:val="center"/>
                </w:tcPr>
                <w:p w14:paraId="2AB19B55">
                  <w:pPr>
                    <w:adjustRightInd w:val="0"/>
                    <w:snapToGrid w:val="0"/>
                    <w:jc w:val="center"/>
                    <w:rPr>
                      <w:rFonts w:hint="default" w:eastAsia="宋体"/>
                      <w:szCs w:val="21"/>
                      <w:lang w:val="en-US" w:eastAsia="zh-CN"/>
                    </w:rPr>
                  </w:pPr>
                  <w:r>
                    <w:rPr>
                      <w:rFonts w:hint="eastAsia"/>
                      <w:szCs w:val="21"/>
                      <w:lang w:val="en-US" w:eastAsia="zh-CN"/>
                    </w:rPr>
                    <w:t>0.2</w:t>
                  </w:r>
                </w:p>
              </w:tc>
              <w:tc>
                <w:tcPr>
                  <w:tcW w:w="1285" w:type="dxa"/>
                  <w:vAlign w:val="center"/>
                </w:tcPr>
                <w:p w14:paraId="0C6FD373">
                  <w:pPr>
                    <w:adjustRightInd w:val="0"/>
                    <w:snapToGrid w:val="0"/>
                    <w:jc w:val="center"/>
                    <w:rPr>
                      <w:rFonts w:hint="default" w:eastAsia="宋体"/>
                      <w:szCs w:val="21"/>
                      <w:lang w:val="en-US" w:eastAsia="zh-CN"/>
                    </w:rPr>
                  </w:pPr>
                  <w:r>
                    <w:rPr>
                      <w:rFonts w:hint="eastAsia"/>
                      <w:szCs w:val="21"/>
                      <w:lang w:val="en-US" w:eastAsia="zh-CN"/>
                    </w:rPr>
                    <w:t>2500</w:t>
                  </w:r>
                </w:p>
              </w:tc>
              <w:tc>
                <w:tcPr>
                  <w:tcW w:w="1143" w:type="dxa"/>
                  <w:vAlign w:val="center"/>
                </w:tcPr>
                <w:p w14:paraId="01204BC3">
                  <w:pPr>
                    <w:adjustRightInd w:val="0"/>
                    <w:snapToGrid w:val="0"/>
                    <w:jc w:val="center"/>
                    <w:rPr>
                      <w:rFonts w:hint="default" w:eastAsia="宋体"/>
                      <w:szCs w:val="21"/>
                      <w:lang w:val="en-US" w:eastAsia="zh-CN"/>
                    </w:rPr>
                  </w:pPr>
                  <w:r>
                    <w:rPr>
                      <w:rFonts w:hint="eastAsia"/>
                      <w:szCs w:val="21"/>
                    </w:rPr>
                    <w:t>0.00</w:t>
                  </w:r>
                  <w:r>
                    <w:rPr>
                      <w:rFonts w:hint="eastAsia"/>
                      <w:szCs w:val="21"/>
                      <w:lang w:val="en-US" w:eastAsia="zh-CN"/>
                    </w:rPr>
                    <w:t>008</w:t>
                  </w:r>
                </w:p>
              </w:tc>
            </w:tr>
            <w:tr w14:paraId="43A2C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tblHeader/>
                <w:jc w:val="center"/>
              </w:trPr>
              <w:tc>
                <w:tcPr>
                  <w:tcW w:w="481" w:type="dxa"/>
                  <w:vMerge w:val="restart"/>
                  <w:vAlign w:val="center"/>
                </w:tcPr>
                <w:p w14:paraId="272970F2">
                  <w:pPr>
                    <w:adjustRightInd w:val="0"/>
                    <w:snapToGrid w:val="0"/>
                    <w:jc w:val="center"/>
                    <w:rPr>
                      <w:rFonts w:hint="eastAsia" w:eastAsia="宋体"/>
                      <w:szCs w:val="21"/>
                      <w:lang w:eastAsia="zh-CN"/>
                    </w:rPr>
                  </w:pPr>
                  <w:r>
                    <w:rPr>
                      <w:rFonts w:hint="eastAsia"/>
                      <w:szCs w:val="21"/>
                      <w:lang w:val="en-US" w:eastAsia="zh-CN"/>
                    </w:rPr>
                    <w:t>2</w:t>
                  </w:r>
                </w:p>
              </w:tc>
              <w:tc>
                <w:tcPr>
                  <w:tcW w:w="966" w:type="dxa"/>
                  <w:vMerge w:val="restart"/>
                  <w:vAlign w:val="center"/>
                </w:tcPr>
                <w:p w14:paraId="725D26F0">
                  <w:pPr>
                    <w:adjustRightInd w:val="0"/>
                    <w:snapToGrid w:val="0"/>
                    <w:jc w:val="center"/>
                  </w:pPr>
                  <w:r>
                    <w:rPr>
                      <w:rFonts w:hint="eastAsia"/>
                    </w:rPr>
                    <w:t>油漆</w:t>
                  </w:r>
                </w:p>
              </w:tc>
              <w:tc>
                <w:tcPr>
                  <w:tcW w:w="1684" w:type="dxa"/>
                  <w:vAlign w:val="center"/>
                </w:tcPr>
                <w:p w14:paraId="7FED2E42">
                  <w:pPr>
                    <w:adjustRightInd w:val="0"/>
                    <w:snapToGrid w:val="0"/>
                    <w:jc w:val="center"/>
                    <w:rPr>
                      <w:rFonts w:hint="default" w:eastAsia="宋体"/>
                      <w:lang w:val="en-US" w:eastAsia="zh-CN"/>
                    </w:rPr>
                  </w:pPr>
                  <w:r>
                    <w:rPr>
                      <w:rFonts w:hint="eastAsia"/>
                      <w:lang w:val="en-US" w:eastAsia="zh-CN"/>
                    </w:rPr>
                    <w:t>二甲苯2%</w:t>
                  </w:r>
                </w:p>
              </w:tc>
              <w:tc>
                <w:tcPr>
                  <w:tcW w:w="1714" w:type="dxa"/>
                  <w:vMerge w:val="restart"/>
                  <w:vAlign w:val="center"/>
                </w:tcPr>
                <w:p w14:paraId="5389A548">
                  <w:pPr>
                    <w:adjustRightInd w:val="0"/>
                    <w:snapToGrid w:val="0"/>
                    <w:jc w:val="center"/>
                    <w:rPr>
                      <w:snapToGrid w:val="0"/>
                      <w:kern w:val="0"/>
                      <w:szCs w:val="21"/>
                    </w:rPr>
                  </w:pPr>
                  <w:r>
                    <w:rPr>
                      <w:rFonts w:hint="eastAsia"/>
                      <w:snapToGrid w:val="0"/>
                      <w:kern w:val="0"/>
                      <w:szCs w:val="21"/>
                      <w:lang w:val="en-US" w:eastAsia="zh-CN"/>
                    </w:rPr>
                    <w:t>供漆间</w:t>
                  </w:r>
                  <w:r>
                    <w:rPr>
                      <w:snapToGrid w:val="0"/>
                      <w:kern w:val="0"/>
                      <w:szCs w:val="21"/>
                    </w:rPr>
                    <w:t>桶装</w:t>
                  </w:r>
                </w:p>
              </w:tc>
              <w:tc>
                <w:tcPr>
                  <w:tcW w:w="1572" w:type="dxa"/>
                  <w:vMerge w:val="restart"/>
                  <w:vAlign w:val="center"/>
                </w:tcPr>
                <w:p w14:paraId="35801F47">
                  <w:pPr>
                    <w:adjustRightInd w:val="0"/>
                    <w:snapToGrid w:val="0"/>
                    <w:jc w:val="center"/>
                    <w:rPr>
                      <w:szCs w:val="21"/>
                    </w:rPr>
                  </w:pPr>
                  <w:r>
                    <w:rPr>
                      <w:rFonts w:hint="eastAsia"/>
                      <w:szCs w:val="21"/>
                    </w:rPr>
                    <w:t>5</w:t>
                  </w:r>
                </w:p>
              </w:tc>
              <w:tc>
                <w:tcPr>
                  <w:tcW w:w="1285" w:type="dxa"/>
                  <w:vAlign w:val="center"/>
                </w:tcPr>
                <w:p w14:paraId="305D15D4">
                  <w:pPr>
                    <w:adjustRightInd w:val="0"/>
                    <w:snapToGrid w:val="0"/>
                    <w:jc w:val="center"/>
                    <w:rPr>
                      <w:szCs w:val="21"/>
                    </w:rPr>
                  </w:pPr>
                  <w:r>
                    <w:rPr>
                      <w:rFonts w:hint="eastAsia"/>
                      <w:szCs w:val="21"/>
                    </w:rPr>
                    <w:t>10</w:t>
                  </w:r>
                </w:p>
              </w:tc>
              <w:tc>
                <w:tcPr>
                  <w:tcW w:w="1143" w:type="dxa"/>
                  <w:vAlign w:val="center"/>
                </w:tcPr>
                <w:p w14:paraId="649DAF63">
                  <w:pPr>
                    <w:adjustRightInd w:val="0"/>
                    <w:snapToGrid w:val="0"/>
                    <w:jc w:val="center"/>
                    <w:rPr>
                      <w:rFonts w:hint="default" w:eastAsia="宋体"/>
                      <w:szCs w:val="21"/>
                      <w:lang w:val="en-US" w:eastAsia="zh-CN"/>
                    </w:rPr>
                  </w:pPr>
                  <w:r>
                    <w:rPr>
                      <w:rFonts w:hint="eastAsia"/>
                      <w:szCs w:val="21"/>
                      <w:lang w:val="en-US" w:eastAsia="zh-CN"/>
                    </w:rPr>
                    <w:t>0.01</w:t>
                  </w:r>
                </w:p>
              </w:tc>
            </w:tr>
            <w:tr w14:paraId="6CA3E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tblHeader/>
                <w:jc w:val="center"/>
              </w:trPr>
              <w:tc>
                <w:tcPr>
                  <w:tcW w:w="481" w:type="dxa"/>
                  <w:vMerge w:val="continue"/>
                  <w:vAlign w:val="center"/>
                </w:tcPr>
                <w:p w14:paraId="6D2F34F8">
                  <w:pPr>
                    <w:adjustRightInd w:val="0"/>
                    <w:snapToGrid w:val="0"/>
                    <w:jc w:val="center"/>
                    <w:rPr>
                      <w:rFonts w:hint="eastAsia"/>
                      <w:szCs w:val="21"/>
                      <w:lang w:val="en-US" w:eastAsia="zh-CN"/>
                    </w:rPr>
                  </w:pPr>
                </w:p>
              </w:tc>
              <w:tc>
                <w:tcPr>
                  <w:tcW w:w="966" w:type="dxa"/>
                  <w:vMerge w:val="continue"/>
                  <w:vAlign w:val="center"/>
                </w:tcPr>
                <w:p w14:paraId="4FA72FF4">
                  <w:pPr>
                    <w:adjustRightInd w:val="0"/>
                    <w:snapToGrid w:val="0"/>
                    <w:jc w:val="center"/>
                    <w:rPr>
                      <w:rFonts w:hint="eastAsia"/>
                    </w:rPr>
                  </w:pPr>
                </w:p>
              </w:tc>
              <w:tc>
                <w:tcPr>
                  <w:tcW w:w="1684" w:type="dxa"/>
                  <w:vAlign w:val="center"/>
                </w:tcPr>
                <w:p w14:paraId="10874CBF">
                  <w:pPr>
                    <w:adjustRightInd w:val="0"/>
                    <w:snapToGrid w:val="0"/>
                    <w:jc w:val="center"/>
                    <w:rPr>
                      <w:rFonts w:hint="default"/>
                      <w:lang w:val="en-US" w:eastAsia="zh-CN"/>
                    </w:rPr>
                  </w:pPr>
                  <w:r>
                    <w:rPr>
                      <w:rFonts w:hint="eastAsia"/>
                      <w:lang w:val="en-US" w:eastAsia="zh-CN"/>
                    </w:rPr>
                    <w:t>乙苯0.3%</w:t>
                  </w:r>
                </w:p>
              </w:tc>
              <w:tc>
                <w:tcPr>
                  <w:tcW w:w="1714" w:type="dxa"/>
                  <w:vMerge w:val="continue"/>
                  <w:vAlign w:val="center"/>
                </w:tcPr>
                <w:p w14:paraId="36AB12D0">
                  <w:pPr>
                    <w:adjustRightInd w:val="0"/>
                    <w:snapToGrid w:val="0"/>
                    <w:jc w:val="center"/>
                    <w:rPr>
                      <w:snapToGrid w:val="0"/>
                      <w:kern w:val="0"/>
                      <w:szCs w:val="21"/>
                    </w:rPr>
                  </w:pPr>
                </w:p>
              </w:tc>
              <w:tc>
                <w:tcPr>
                  <w:tcW w:w="1572" w:type="dxa"/>
                  <w:vMerge w:val="continue"/>
                  <w:vAlign w:val="center"/>
                </w:tcPr>
                <w:p w14:paraId="0B19D867">
                  <w:pPr>
                    <w:adjustRightInd w:val="0"/>
                    <w:snapToGrid w:val="0"/>
                    <w:jc w:val="center"/>
                    <w:rPr>
                      <w:rFonts w:hint="eastAsia"/>
                      <w:szCs w:val="21"/>
                    </w:rPr>
                  </w:pPr>
                </w:p>
              </w:tc>
              <w:tc>
                <w:tcPr>
                  <w:tcW w:w="1285" w:type="dxa"/>
                  <w:vAlign w:val="center"/>
                </w:tcPr>
                <w:p w14:paraId="5CF44FCD">
                  <w:pPr>
                    <w:adjustRightInd w:val="0"/>
                    <w:snapToGrid w:val="0"/>
                    <w:jc w:val="center"/>
                    <w:rPr>
                      <w:rFonts w:hint="default" w:eastAsia="宋体"/>
                      <w:szCs w:val="21"/>
                      <w:lang w:val="en-US" w:eastAsia="zh-CN"/>
                    </w:rPr>
                  </w:pPr>
                  <w:r>
                    <w:rPr>
                      <w:rFonts w:hint="eastAsia"/>
                      <w:szCs w:val="21"/>
                      <w:lang w:val="en-US" w:eastAsia="zh-CN"/>
                    </w:rPr>
                    <w:t>10</w:t>
                  </w:r>
                </w:p>
              </w:tc>
              <w:tc>
                <w:tcPr>
                  <w:tcW w:w="1143" w:type="dxa"/>
                  <w:vAlign w:val="center"/>
                </w:tcPr>
                <w:p w14:paraId="1E512775">
                  <w:pPr>
                    <w:adjustRightInd w:val="0"/>
                    <w:snapToGrid w:val="0"/>
                    <w:jc w:val="center"/>
                    <w:rPr>
                      <w:rFonts w:hint="default" w:eastAsia="宋体"/>
                      <w:szCs w:val="21"/>
                      <w:lang w:val="en-US" w:eastAsia="zh-CN"/>
                    </w:rPr>
                  </w:pPr>
                  <w:r>
                    <w:rPr>
                      <w:rFonts w:hint="eastAsia"/>
                      <w:szCs w:val="21"/>
                      <w:lang w:val="en-US" w:eastAsia="zh-CN"/>
                    </w:rPr>
                    <w:t>0.0015</w:t>
                  </w:r>
                </w:p>
              </w:tc>
            </w:tr>
            <w:tr w14:paraId="158AF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tblHeader/>
                <w:jc w:val="center"/>
              </w:trPr>
              <w:tc>
                <w:tcPr>
                  <w:tcW w:w="481" w:type="dxa"/>
                  <w:vMerge w:val="continue"/>
                  <w:vAlign w:val="center"/>
                </w:tcPr>
                <w:p w14:paraId="7C254756">
                  <w:pPr>
                    <w:adjustRightInd w:val="0"/>
                    <w:snapToGrid w:val="0"/>
                    <w:jc w:val="center"/>
                    <w:rPr>
                      <w:rFonts w:hint="eastAsia"/>
                      <w:szCs w:val="21"/>
                      <w:lang w:val="en-US" w:eastAsia="zh-CN"/>
                    </w:rPr>
                  </w:pPr>
                </w:p>
              </w:tc>
              <w:tc>
                <w:tcPr>
                  <w:tcW w:w="966" w:type="dxa"/>
                  <w:vMerge w:val="continue"/>
                  <w:vAlign w:val="center"/>
                </w:tcPr>
                <w:p w14:paraId="1C73613C">
                  <w:pPr>
                    <w:adjustRightInd w:val="0"/>
                    <w:snapToGrid w:val="0"/>
                    <w:jc w:val="center"/>
                    <w:rPr>
                      <w:rFonts w:hint="eastAsia"/>
                    </w:rPr>
                  </w:pPr>
                </w:p>
              </w:tc>
              <w:tc>
                <w:tcPr>
                  <w:tcW w:w="1684" w:type="dxa"/>
                  <w:vAlign w:val="center"/>
                </w:tcPr>
                <w:p w14:paraId="40A61FB4">
                  <w:pPr>
                    <w:adjustRightInd w:val="0"/>
                    <w:snapToGrid w:val="0"/>
                    <w:jc w:val="center"/>
                    <w:rPr>
                      <w:rFonts w:hint="default"/>
                      <w:lang w:val="en-US" w:eastAsia="zh-CN"/>
                    </w:rPr>
                  </w:pPr>
                  <w:r>
                    <w:rPr>
                      <w:rFonts w:hint="eastAsia"/>
                      <w:lang w:val="en-US" w:eastAsia="zh-CN"/>
                    </w:rPr>
                    <w:t>乙酸乙酯10%</w:t>
                  </w:r>
                </w:p>
              </w:tc>
              <w:tc>
                <w:tcPr>
                  <w:tcW w:w="1714" w:type="dxa"/>
                  <w:vMerge w:val="continue"/>
                  <w:vAlign w:val="center"/>
                </w:tcPr>
                <w:p w14:paraId="56765CB1">
                  <w:pPr>
                    <w:adjustRightInd w:val="0"/>
                    <w:snapToGrid w:val="0"/>
                    <w:jc w:val="center"/>
                    <w:rPr>
                      <w:snapToGrid w:val="0"/>
                      <w:kern w:val="0"/>
                      <w:szCs w:val="21"/>
                    </w:rPr>
                  </w:pPr>
                </w:p>
              </w:tc>
              <w:tc>
                <w:tcPr>
                  <w:tcW w:w="1572" w:type="dxa"/>
                  <w:vMerge w:val="continue"/>
                  <w:vAlign w:val="center"/>
                </w:tcPr>
                <w:p w14:paraId="42A8D7D1">
                  <w:pPr>
                    <w:adjustRightInd w:val="0"/>
                    <w:snapToGrid w:val="0"/>
                    <w:jc w:val="center"/>
                    <w:rPr>
                      <w:rFonts w:hint="eastAsia"/>
                      <w:szCs w:val="21"/>
                    </w:rPr>
                  </w:pPr>
                </w:p>
              </w:tc>
              <w:tc>
                <w:tcPr>
                  <w:tcW w:w="1285" w:type="dxa"/>
                  <w:vAlign w:val="center"/>
                </w:tcPr>
                <w:p w14:paraId="35D6F2DB">
                  <w:pPr>
                    <w:adjustRightInd w:val="0"/>
                    <w:snapToGrid w:val="0"/>
                    <w:jc w:val="center"/>
                    <w:rPr>
                      <w:rFonts w:hint="default" w:eastAsia="宋体"/>
                      <w:szCs w:val="21"/>
                      <w:lang w:val="en-US" w:eastAsia="zh-CN"/>
                    </w:rPr>
                  </w:pPr>
                  <w:r>
                    <w:rPr>
                      <w:rFonts w:hint="eastAsia"/>
                      <w:szCs w:val="21"/>
                      <w:lang w:val="en-US" w:eastAsia="zh-CN"/>
                    </w:rPr>
                    <w:t>10</w:t>
                  </w:r>
                </w:p>
              </w:tc>
              <w:tc>
                <w:tcPr>
                  <w:tcW w:w="1143" w:type="dxa"/>
                  <w:vAlign w:val="center"/>
                </w:tcPr>
                <w:p w14:paraId="770078CE">
                  <w:pPr>
                    <w:adjustRightInd w:val="0"/>
                    <w:snapToGrid w:val="0"/>
                    <w:jc w:val="center"/>
                    <w:rPr>
                      <w:rFonts w:hint="default" w:eastAsia="宋体"/>
                      <w:szCs w:val="21"/>
                      <w:lang w:val="en-US" w:eastAsia="zh-CN"/>
                    </w:rPr>
                  </w:pPr>
                  <w:r>
                    <w:rPr>
                      <w:rFonts w:hint="eastAsia"/>
                      <w:szCs w:val="21"/>
                      <w:lang w:val="en-US" w:eastAsia="zh-CN"/>
                    </w:rPr>
                    <w:t>0.05</w:t>
                  </w:r>
                </w:p>
              </w:tc>
            </w:tr>
            <w:tr w14:paraId="3A5CB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tblHeader/>
                <w:jc w:val="center"/>
              </w:trPr>
              <w:tc>
                <w:tcPr>
                  <w:tcW w:w="481" w:type="dxa"/>
                  <w:vAlign w:val="center"/>
                </w:tcPr>
                <w:p w14:paraId="6430AABA">
                  <w:pPr>
                    <w:adjustRightInd w:val="0"/>
                    <w:snapToGrid w:val="0"/>
                    <w:jc w:val="center"/>
                    <w:rPr>
                      <w:rFonts w:hint="eastAsia" w:eastAsia="宋体"/>
                      <w:szCs w:val="21"/>
                      <w:lang w:val="en-US" w:eastAsia="zh-CN"/>
                    </w:rPr>
                  </w:pPr>
                  <w:r>
                    <w:rPr>
                      <w:rFonts w:hint="eastAsia"/>
                      <w:szCs w:val="21"/>
                      <w:lang w:val="en-US" w:eastAsia="zh-CN"/>
                    </w:rPr>
                    <w:t>3</w:t>
                  </w:r>
                </w:p>
              </w:tc>
              <w:tc>
                <w:tcPr>
                  <w:tcW w:w="966" w:type="dxa"/>
                  <w:vAlign w:val="center"/>
                </w:tcPr>
                <w:p w14:paraId="784D3446">
                  <w:pPr>
                    <w:adjustRightInd w:val="0"/>
                    <w:snapToGrid w:val="0"/>
                    <w:jc w:val="center"/>
                    <w:rPr>
                      <w:rFonts w:hint="eastAsia" w:eastAsia="宋体"/>
                      <w:lang w:val="en-US" w:eastAsia="zh-CN"/>
                    </w:rPr>
                  </w:pPr>
                  <w:r>
                    <w:rPr>
                      <w:rFonts w:hint="eastAsia"/>
                      <w:lang w:val="en-US" w:eastAsia="zh-CN"/>
                    </w:rPr>
                    <w:t>稀释剂</w:t>
                  </w:r>
                </w:p>
              </w:tc>
              <w:tc>
                <w:tcPr>
                  <w:tcW w:w="1684" w:type="dxa"/>
                  <w:vAlign w:val="center"/>
                </w:tcPr>
                <w:p w14:paraId="72B8AA8B">
                  <w:pPr>
                    <w:adjustRightInd w:val="0"/>
                    <w:snapToGrid w:val="0"/>
                    <w:jc w:val="center"/>
                    <w:rPr>
                      <w:rFonts w:hint="default"/>
                      <w:lang w:val="en-US"/>
                    </w:rPr>
                  </w:pPr>
                  <w:r>
                    <w:rPr>
                      <w:rFonts w:hint="eastAsia"/>
                      <w:lang w:val="en-US" w:eastAsia="zh-CN"/>
                    </w:rPr>
                    <w:t>乙酸乙酯25%</w:t>
                  </w:r>
                </w:p>
              </w:tc>
              <w:tc>
                <w:tcPr>
                  <w:tcW w:w="1714" w:type="dxa"/>
                  <w:vAlign w:val="center"/>
                </w:tcPr>
                <w:p w14:paraId="3E9903B0">
                  <w:pPr>
                    <w:adjustRightInd w:val="0"/>
                    <w:snapToGrid w:val="0"/>
                    <w:jc w:val="center"/>
                    <w:rPr>
                      <w:snapToGrid w:val="0"/>
                      <w:kern w:val="0"/>
                      <w:szCs w:val="21"/>
                    </w:rPr>
                  </w:pPr>
                  <w:r>
                    <w:rPr>
                      <w:rFonts w:hint="eastAsia"/>
                      <w:snapToGrid w:val="0"/>
                      <w:kern w:val="0"/>
                      <w:szCs w:val="21"/>
                      <w:lang w:val="en-US" w:eastAsia="zh-CN"/>
                    </w:rPr>
                    <w:t>供漆间</w:t>
                  </w:r>
                  <w:r>
                    <w:rPr>
                      <w:snapToGrid w:val="0"/>
                      <w:kern w:val="0"/>
                      <w:szCs w:val="21"/>
                    </w:rPr>
                    <w:t>桶装</w:t>
                  </w:r>
                </w:p>
              </w:tc>
              <w:tc>
                <w:tcPr>
                  <w:tcW w:w="1572" w:type="dxa"/>
                  <w:vAlign w:val="center"/>
                </w:tcPr>
                <w:p w14:paraId="68415F45">
                  <w:pPr>
                    <w:adjustRightInd w:val="0"/>
                    <w:snapToGrid w:val="0"/>
                    <w:jc w:val="center"/>
                    <w:rPr>
                      <w:rFonts w:hint="eastAsia" w:eastAsia="宋体"/>
                      <w:szCs w:val="21"/>
                      <w:lang w:val="en-US" w:eastAsia="zh-CN"/>
                    </w:rPr>
                  </w:pPr>
                  <w:r>
                    <w:rPr>
                      <w:rFonts w:hint="eastAsia"/>
                      <w:szCs w:val="21"/>
                      <w:lang w:val="en-US" w:eastAsia="zh-CN"/>
                    </w:rPr>
                    <w:t>1</w:t>
                  </w:r>
                </w:p>
              </w:tc>
              <w:tc>
                <w:tcPr>
                  <w:tcW w:w="1285" w:type="dxa"/>
                  <w:vAlign w:val="center"/>
                </w:tcPr>
                <w:p w14:paraId="28C990FF">
                  <w:pPr>
                    <w:adjustRightInd w:val="0"/>
                    <w:snapToGrid w:val="0"/>
                    <w:jc w:val="center"/>
                    <w:rPr>
                      <w:rFonts w:hint="default" w:eastAsia="宋体"/>
                      <w:szCs w:val="21"/>
                      <w:lang w:val="en-US" w:eastAsia="zh-CN"/>
                    </w:rPr>
                  </w:pPr>
                  <w:r>
                    <w:rPr>
                      <w:rFonts w:hint="eastAsia"/>
                      <w:szCs w:val="21"/>
                      <w:lang w:val="en-US" w:eastAsia="zh-CN"/>
                    </w:rPr>
                    <w:t>10</w:t>
                  </w:r>
                </w:p>
              </w:tc>
              <w:tc>
                <w:tcPr>
                  <w:tcW w:w="1143" w:type="dxa"/>
                  <w:vAlign w:val="center"/>
                </w:tcPr>
                <w:p w14:paraId="78374E2C">
                  <w:pPr>
                    <w:adjustRightInd w:val="0"/>
                    <w:snapToGrid w:val="0"/>
                    <w:jc w:val="center"/>
                    <w:rPr>
                      <w:rFonts w:hint="default" w:eastAsia="宋体"/>
                      <w:szCs w:val="21"/>
                      <w:lang w:val="en-US" w:eastAsia="zh-CN"/>
                    </w:rPr>
                  </w:pPr>
                  <w:r>
                    <w:rPr>
                      <w:rFonts w:hint="eastAsia"/>
                      <w:szCs w:val="21"/>
                      <w:lang w:val="en-US" w:eastAsia="zh-CN"/>
                    </w:rPr>
                    <w:t>0.025</w:t>
                  </w:r>
                </w:p>
              </w:tc>
            </w:tr>
            <w:tr w14:paraId="1C4D5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tblHeader/>
                <w:jc w:val="center"/>
              </w:trPr>
              <w:tc>
                <w:tcPr>
                  <w:tcW w:w="481" w:type="dxa"/>
                  <w:vMerge w:val="restart"/>
                  <w:vAlign w:val="center"/>
                </w:tcPr>
                <w:p w14:paraId="2592BD63">
                  <w:pPr>
                    <w:adjustRightInd w:val="0"/>
                    <w:snapToGrid w:val="0"/>
                    <w:jc w:val="center"/>
                    <w:rPr>
                      <w:rFonts w:hint="default"/>
                      <w:szCs w:val="21"/>
                      <w:lang w:val="en-US" w:eastAsia="zh-CN"/>
                    </w:rPr>
                  </w:pPr>
                  <w:r>
                    <w:rPr>
                      <w:rFonts w:hint="eastAsia"/>
                      <w:szCs w:val="21"/>
                      <w:lang w:val="en-US" w:eastAsia="zh-CN"/>
                    </w:rPr>
                    <w:t>4</w:t>
                  </w:r>
                </w:p>
              </w:tc>
              <w:tc>
                <w:tcPr>
                  <w:tcW w:w="966" w:type="dxa"/>
                  <w:vMerge w:val="restart"/>
                  <w:vAlign w:val="center"/>
                </w:tcPr>
                <w:p w14:paraId="41255A00">
                  <w:pPr>
                    <w:adjustRightInd w:val="0"/>
                    <w:snapToGrid w:val="0"/>
                    <w:jc w:val="center"/>
                    <w:rPr>
                      <w:rFonts w:hint="default"/>
                      <w:lang w:val="en-US" w:eastAsia="zh-CN"/>
                    </w:rPr>
                  </w:pPr>
                  <w:r>
                    <w:rPr>
                      <w:rFonts w:hint="eastAsia"/>
                      <w:lang w:val="en-US" w:eastAsia="zh-CN"/>
                    </w:rPr>
                    <w:t>固化剂</w:t>
                  </w:r>
                </w:p>
              </w:tc>
              <w:tc>
                <w:tcPr>
                  <w:tcW w:w="1684" w:type="dxa"/>
                  <w:vAlign w:val="center"/>
                </w:tcPr>
                <w:p w14:paraId="6F9C2EBB">
                  <w:pPr>
                    <w:adjustRightInd w:val="0"/>
                    <w:snapToGrid w:val="0"/>
                    <w:jc w:val="center"/>
                    <w:rPr>
                      <w:rFonts w:hint="default" w:eastAsia="宋体"/>
                      <w:lang w:val="en-US" w:eastAsia="zh-CN"/>
                    </w:rPr>
                  </w:pPr>
                  <w:r>
                    <w:t>轻芳烃溶剂石脑油</w:t>
                  </w:r>
                  <w:r>
                    <w:rPr>
                      <w:rFonts w:hint="eastAsia"/>
                      <w:lang w:val="en-US" w:eastAsia="zh-CN"/>
                    </w:rPr>
                    <w:t>1%</w:t>
                  </w:r>
                </w:p>
              </w:tc>
              <w:tc>
                <w:tcPr>
                  <w:tcW w:w="1714" w:type="dxa"/>
                  <w:vMerge w:val="restart"/>
                  <w:vAlign w:val="center"/>
                </w:tcPr>
                <w:p w14:paraId="6BA3AD88">
                  <w:pPr>
                    <w:adjustRightInd w:val="0"/>
                    <w:snapToGrid w:val="0"/>
                    <w:jc w:val="center"/>
                    <w:rPr>
                      <w:snapToGrid w:val="0"/>
                      <w:kern w:val="0"/>
                      <w:szCs w:val="21"/>
                    </w:rPr>
                  </w:pPr>
                  <w:r>
                    <w:rPr>
                      <w:rFonts w:hint="eastAsia"/>
                      <w:snapToGrid w:val="0"/>
                      <w:kern w:val="0"/>
                      <w:szCs w:val="21"/>
                      <w:lang w:val="en-US" w:eastAsia="zh-CN"/>
                    </w:rPr>
                    <w:t>供漆间</w:t>
                  </w:r>
                  <w:r>
                    <w:rPr>
                      <w:snapToGrid w:val="0"/>
                      <w:kern w:val="0"/>
                      <w:szCs w:val="21"/>
                    </w:rPr>
                    <w:t>桶装</w:t>
                  </w:r>
                </w:p>
              </w:tc>
              <w:tc>
                <w:tcPr>
                  <w:tcW w:w="1572" w:type="dxa"/>
                  <w:vMerge w:val="restart"/>
                  <w:vAlign w:val="center"/>
                </w:tcPr>
                <w:p w14:paraId="40BC8EA9">
                  <w:pPr>
                    <w:adjustRightInd w:val="0"/>
                    <w:snapToGrid w:val="0"/>
                    <w:jc w:val="center"/>
                    <w:rPr>
                      <w:rFonts w:hint="default" w:eastAsia="宋体"/>
                      <w:szCs w:val="21"/>
                      <w:lang w:val="en-US" w:eastAsia="zh-CN"/>
                    </w:rPr>
                  </w:pPr>
                  <w:r>
                    <w:rPr>
                      <w:rFonts w:hint="eastAsia"/>
                      <w:szCs w:val="21"/>
                      <w:lang w:val="en-US" w:eastAsia="zh-CN"/>
                    </w:rPr>
                    <w:t>0.5</w:t>
                  </w:r>
                </w:p>
              </w:tc>
              <w:tc>
                <w:tcPr>
                  <w:tcW w:w="1285" w:type="dxa"/>
                  <w:vAlign w:val="center"/>
                </w:tcPr>
                <w:p w14:paraId="4B2B07B2">
                  <w:pPr>
                    <w:adjustRightInd w:val="0"/>
                    <w:snapToGrid w:val="0"/>
                    <w:jc w:val="center"/>
                    <w:rPr>
                      <w:rFonts w:hint="default" w:eastAsia="宋体"/>
                      <w:szCs w:val="21"/>
                      <w:lang w:val="en-US" w:eastAsia="zh-CN"/>
                    </w:rPr>
                  </w:pPr>
                  <w:r>
                    <w:rPr>
                      <w:rFonts w:hint="eastAsia"/>
                      <w:szCs w:val="21"/>
                      <w:lang w:val="en-US" w:eastAsia="zh-CN"/>
                    </w:rPr>
                    <w:t>2500</w:t>
                  </w:r>
                </w:p>
              </w:tc>
              <w:tc>
                <w:tcPr>
                  <w:tcW w:w="1143" w:type="dxa"/>
                  <w:vAlign w:val="center"/>
                </w:tcPr>
                <w:p w14:paraId="0CA91827">
                  <w:pPr>
                    <w:adjustRightInd w:val="0"/>
                    <w:snapToGrid w:val="0"/>
                    <w:jc w:val="center"/>
                    <w:rPr>
                      <w:rFonts w:hint="eastAsia" w:eastAsia="宋体"/>
                      <w:szCs w:val="21"/>
                      <w:lang w:val="en-US" w:eastAsia="zh-CN"/>
                    </w:rPr>
                  </w:pPr>
                  <w:r>
                    <w:rPr>
                      <w:rFonts w:hint="eastAsia"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w:t>
                  </w:r>
                  <w:r>
                    <w:rPr>
                      <w:rFonts w:hint="eastAsia" w:cs="Times New Roman"/>
                      <w:color w:val="auto"/>
                      <w:kern w:val="0"/>
                      <w:sz w:val="21"/>
                      <w:szCs w:val="21"/>
                      <w:vertAlign w:val="superscript"/>
                      <w:lang w:val="en-US" w:eastAsia="zh-CN" w:bidi="ar"/>
                    </w:rPr>
                    <w:t>6</w:t>
                  </w:r>
                </w:p>
              </w:tc>
            </w:tr>
            <w:tr w14:paraId="67ED2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tblHeader/>
                <w:jc w:val="center"/>
              </w:trPr>
              <w:tc>
                <w:tcPr>
                  <w:tcW w:w="481" w:type="dxa"/>
                  <w:vMerge w:val="continue"/>
                  <w:vAlign w:val="center"/>
                </w:tcPr>
                <w:p w14:paraId="0C8E12AA">
                  <w:pPr>
                    <w:adjustRightInd w:val="0"/>
                    <w:snapToGrid w:val="0"/>
                    <w:jc w:val="center"/>
                    <w:rPr>
                      <w:rFonts w:hint="eastAsia"/>
                      <w:szCs w:val="21"/>
                      <w:lang w:val="en-US" w:eastAsia="zh-CN"/>
                    </w:rPr>
                  </w:pPr>
                </w:p>
              </w:tc>
              <w:tc>
                <w:tcPr>
                  <w:tcW w:w="966" w:type="dxa"/>
                  <w:vMerge w:val="continue"/>
                  <w:vAlign w:val="center"/>
                </w:tcPr>
                <w:p w14:paraId="37045E9F">
                  <w:pPr>
                    <w:adjustRightInd w:val="0"/>
                    <w:snapToGrid w:val="0"/>
                    <w:jc w:val="center"/>
                    <w:rPr>
                      <w:rFonts w:hint="eastAsia"/>
                      <w:lang w:val="en-US" w:eastAsia="zh-CN"/>
                    </w:rPr>
                  </w:pPr>
                </w:p>
              </w:tc>
              <w:tc>
                <w:tcPr>
                  <w:tcW w:w="1684" w:type="dxa"/>
                  <w:vAlign w:val="center"/>
                </w:tcPr>
                <w:p w14:paraId="68F5AE59">
                  <w:pPr>
                    <w:adjustRightInd w:val="0"/>
                    <w:snapToGrid w:val="0"/>
                    <w:jc w:val="center"/>
                    <w:rPr>
                      <w:rFonts w:hint="default" w:eastAsia="宋体"/>
                      <w:lang w:val="en-US" w:eastAsia="zh-CN"/>
                    </w:rPr>
                  </w:pPr>
                  <w:r>
                    <w:rPr>
                      <w:rFonts w:hint="eastAsia"/>
                      <w:lang w:val="en-US" w:eastAsia="zh-CN"/>
                    </w:rPr>
                    <w:t>乙苯0.1</w:t>
                  </w:r>
                </w:p>
              </w:tc>
              <w:tc>
                <w:tcPr>
                  <w:tcW w:w="1714" w:type="dxa"/>
                  <w:vMerge w:val="continue"/>
                  <w:vAlign w:val="center"/>
                </w:tcPr>
                <w:p w14:paraId="41DAB375">
                  <w:pPr>
                    <w:adjustRightInd w:val="0"/>
                    <w:snapToGrid w:val="0"/>
                    <w:jc w:val="center"/>
                    <w:rPr>
                      <w:rFonts w:hint="eastAsia"/>
                      <w:snapToGrid w:val="0"/>
                      <w:kern w:val="0"/>
                      <w:szCs w:val="21"/>
                      <w:lang w:val="en-US" w:eastAsia="zh-CN"/>
                    </w:rPr>
                  </w:pPr>
                </w:p>
              </w:tc>
              <w:tc>
                <w:tcPr>
                  <w:tcW w:w="1572" w:type="dxa"/>
                  <w:vMerge w:val="continue"/>
                  <w:vAlign w:val="center"/>
                </w:tcPr>
                <w:p w14:paraId="3C82EF04">
                  <w:pPr>
                    <w:adjustRightInd w:val="0"/>
                    <w:snapToGrid w:val="0"/>
                    <w:jc w:val="center"/>
                    <w:rPr>
                      <w:rFonts w:hint="eastAsia"/>
                      <w:szCs w:val="21"/>
                      <w:lang w:val="en-US" w:eastAsia="zh-CN"/>
                    </w:rPr>
                  </w:pPr>
                </w:p>
              </w:tc>
              <w:tc>
                <w:tcPr>
                  <w:tcW w:w="1285" w:type="dxa"/>
                  <w:vAlign w:val="center"/>
                </w:tcPr>
                <w:p w14:paraId="6F3170C0">
                  <w:pPr>
                    <w:adjustRightInd w:val="0"/>
                    <w:snapToGrid w:val="0"/>
                    <w:jc w:val="center"/>
                    <w:rPr>
                      <w:rFonts w:hint="default"/>
                      <w:szCs w:val="21"/>
                      <w:lang w:val="en-US" w:eastAsia="zh-CN"/>
                    </w:rPr>
                  </w:pPr>
                  <w:r>
                    <w:rPr>
                      <w:rFonts w:hint="eastAsia"/>
                      <w:szCs w:val="21"/>
                      <w:lang w:val="en-US" w:eastAsia="zh-CN"/>
                    </w:rPr>
                    <w:t>10</w:t>
                  </w:r>
                </w:p>
              </w:tc>
              <w:tc>
                <w:tcPr>
                  <w:tcW w:w="1143" w:type="dxa"/>
                  <w:vAlign w:val="center"/>
                </w:tcPr>
                <w:p w14:paraId="4818427F">
                  <w:pPr>
                    <w:adjustRightInd w:val="0"/>
                    <w:snapToGrid w:val="0"/>
                    <w:jc w:val="center"/>
                    <w:rPr>
                      <w:rFonts w:hint="default" w:eastAsia="宋体"/>
                      <w:szCs w:val="21"/>
                      <w:lang w:val="en-US" w:eastAsia="zh-CN"/>
                    </w:rPr>
                  </w:pPr>
                  <w:r>
                    <w:rPr>
                      <w:rFonts w:hint="eastAsia"/>
                      <w:szCs w:val="21"/>
                      <w:lang w:val="en-US" w:eastAsia="zh-CN"/>
                    </w:rPr>
                    <w:t>0.0005</w:t>
                  </w:r>
                </w:p>
              </w:tc>
            </w:tr>
            <w:tr w14:paraId="5459B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tblHeader/>
                <w:jc w:val="center"/>
              </w:trPr>
              <w:tc>
                <w:tcPr>
                  <w:tcW w:w="481" w:type="dxa"/>
                  <w:vMerge w:val="continue"/>
                  <w:vAlign w:val="center"/>
                </w:tcPr>
                <w:p w14:paraId="16E03376">
                  <w:pPr>
                    <w:adjustRightInd w:val="0"/>
                    <w:snapToGrid w:val="0"/>
                    <w:jc w:val="center"/>
                    <w:rPr>
                      <w:rFonts w:hint="eastAsia"/>
                      <w:szCs w:val="21"/>
                      <w:lang w:val="en-US" w:eastAsia="zh-CN"/>
                    </w:rPr>
                  </w:pPr>
                </w:p>
              </w:tc>
              <w:tc>
                <w:tcPr>
                  <w:tcW w:w="966" w:type="dxa"/>
                  <w:vMerge w:val="continue"/>
                  <w:vAlign w:val="center"/>
                </w:tcPr>
                <w:p w14:paraId="0183DBAA">
                  <w:pPr>
                    <w:adjustRightInd w:val="0"/>
                    <w:snapToGrid w:val="0"/>
                    <w:jc w:val="center"/>
                    <w:rPr>
                      <w:rFonts w:hint="eastAsia"/>
                      <w:lang w:val="en-US" w:eastAsia="zh-CN"/>
                    </w:rPr>
                  </w:pPr>
                </w:p>
              </w:tc>
              <w:tc>
                <w:tcPr>
                  <w:tcW w:w="1684" w:type="dxa"/>
                  <w:vAlign w:val="center"/>
                </w:tcPr>
                <w:p w14:paraId="6E5C8C15">
                  <w:pPr>
                    <w:adjustRightInd w:val="0"/>
                    <w:snapToGrid w:val="0"/>
                    <w:jc w:val="center"/>
                    <w:rPr>
                      <w:rFonts w:hint="default"/>
                      <w:lang w:val="en-US" w:eastAsia="zh-CN"/>
                    </w:rPr>
                  </w:pPr>
                  <w:r>
                    <w:rPr>
                      <w:rFonts w:hint="eastAsia"/>
                      <w:lang w:val="en-US" w:eastAsia="zh-CN"/>
                    </w:rPr>
                    <w:t>二甲苯1%</w:t>
                  </w:r>
                </w:p>
              </w:tc>
              <w:tc>
                <w:tcPr>
                  <w:tcW w:w="1714" w:type="dxa"/>
                  <w:vMerge w:val="continue"/>
                  <w:vAlign w:val="center"/>
                </w:tcPr>
                <w:p w14:paraId="2953204C">
                  <w:pPr>
                    <w:adjustRightInd w:val="0"/>
                    <w:snapToGrid w:val="0"/>
                    <w:jc w:val="center"/>
                    <w:rPr>
                      <w:rFonts w:hint="eastAsia"/>
                      <w:snapToGrid w:val="0"/>
                      <w:kern w:val="0"/>
                      <w:szCs w:val="21"/>
                      <w:lang w:val="en-US" w:eastAsia="zh-CN"/>
                    </w:rPr>
                  </w:pPr>
                </w:p>
              </w:tc>
              <w:tc>
                <w:tcPr>
                  <w:tcW w:w="1572" w:type="dxa"/>
                  <w:vMerge w:val="continue"/>
                  <w:vAlign w:val="center"/>
                </w:tcPr>
                <w:p w14:paraId="1C2C0F26">
                  <w:pPr>
                    <w:adjustRightInd w:val="0"/>
                    <w:snapToGrid w:val="0"/>
                    <w:jc w:val="center"/>
                    <w:rPr>
                      <w:rFonts w:hint="eastAsia"/>
                      <w:szCs w:val="21"/>
                      <w:lang w:val="en-US" w:eastAsia="zh-CN"/>
                    </w:rPr>
                  </w:pPr>
                </w:p>
              </w:tc>
              <w:tc>
                <w:tcPr>
                  <w:tcW w:w="1285" w:type="dxa"/>
                  <w:vAlign w:val="center"/>
                </w:tcPr>
                <w:p w14:paraId="22840E00">
                  <w:pPr>
                    <w:adjustRightInd w:val="0"/>
                    <w:snapToGrid w:val="0"/>
                    <w:jc w:val="center"/>
                    <w:rPr>
                      <w:rFonts w:hint="default"/>
                      <w:szCs w:val="21"/>
                      <w:lang w:val="en-US" w:eastAsia="zh-CN"/>
                    </w:rPr>
                  </w:pPr>
                  <w:r>
                    <w:rPr>
                      <w:rFonts w:hint="eastAsia"/>
                      <w:szCs w:val="21"/>
                      <w:lang w:val="en-US" w:eastAsia="zh-CN"/>
                    </w:rPr>
                    <w:t>10</w:t>
                  </w:r>
                </w:p>
              </w:tc>
              <w:tc>
                <w:tcPr>
                  <w:tcW w:w="1143" w:type="dxa"/>
                  <w:vAlign w:val="center"/>
                </w:tcPr>
                <w:p w14:paraId="134A16D6">
                  <w:pPr>
                    <w:adjustRightInd w:val="0"/>
                    <w:snapToGrid w:val="0"/>
                    <w:jc w:val="center"/>
                    <w:rPr>
                      <w:rFonts w:hint="default" w:eastAsia="宋体"/>
                      <w:szCs w:val="21"/>
                      <w:lang w:val="en-US" w:eastAsia="zh-CN"/>
                    </w:rPr>
                  </w:pPr>
                  <w:r>
                    <w:rPr>
                      <w:rFonts w:hint="eastAsia"/>
                      <w:szCs w:val="21"/>
                      <w:lang w:val="en-US" w:eastAsia="zh-CN"/>
                    </w:rPr>
                    <w:t>0.005</w:t>
                  </w:r>
                </w:p>
              </w:tc>
            </w:tr>
            <w:tr w14:paraId="76D78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702" w:type="dxa"/>
                  <w:gridSpan w:val="6"/>
                  <w:vAlign w:val="center"/>
                </w:tcPr>
                <w:p w14:paraId="265DAF25">
                  <w:pPr>
                    <w:adjustRightInd w:val="0"/>
                    <w:snapToGrid w:val="0"/>
                    <w:jc w:val="center"/>
                    <w:rPr>
                      <w:szCs w:val="21"/>
                    </w:rPr>
                  </w:pPr>
                  <w:r>
                    <w:rPr>
                      <w:szCs w:val="21"/>
                    </w:rPr>
                    <w:t>合计</w:t>
                  </w:r>
                </w:p>
              </w:tc>
              <w:tc>
                <w:tcPr>
                  <w:tcW w:w="1143" w:type="dxa"/>
                  <w:vAlign w:val="center"/>
                </w:tcPr>
                <w:p w14:paraId="2B2781F8">
                  <w:pPr>
                    <w:adjustRightInd w:val="0"/>
                    <w:snapToGrid w:val="0"/>
                    <w:jc w:val="center"/>
                    <w:rPr>
                      <w:rFonts w:hint="default" w:eastAsia="宋体"/>
                      <w:szCs w:val="21"/>
                      <w:lang w:val="en-US" w:eastAsia="zh-CN"/>
                    </w:rPr>
                  </w:pPr>
                  <w:r>
                    <w:rPr>
                      <w:szCs w:val="21"/>
                    </w:rPr>
                    <w:t>0.</w:t>
                  </w:r>
                  <w:r>
                    <w:rPr>
                      <w:rFonts w:hint="eastAsia"/>
                      <w:szCs w:val="21"/>
                      <w:lang w:val="en-US" w:eastAsia="zh-CN"/>
                    </w:rPr>
                    <w:t>09208</w:t>
                  </w:r>
                </w:p>
              </w:tc>
            </w:tr>
          </w:tbl>
          <w:p w14:paraId="673E63B8">
            <w:pPr>
              <w:adjustRightInd w:val="0"/>
              <w:snapToGrid w:val="0"/>
              <w:spacing w:line="360" w:lineRule="auto"/>
              <w:ind w:firstLine="480"/>
              <w:rPr>
                <w:color w:val="auto"/>
                <w:sz w:val="21"/>
                <w:szCs w:val="21"/>
                <w:highlight w:val="none"/>
              </w:rPr>
            </w:pPr>
            <w:r>
              <w:rPr>
                <w:color w:val="auto"/>
                <w:sz w:val="21"/>
                <w:szCs w:val="21"/>
                <w:highlight w:val="none"/>
              </w:rPr>
              <w:t>项目Q值为计算所涉及的每种危险物质在厂界内的最大存在总量与其在《建设项目环境风险评价技术导则》（HJ 169-2018）附录B 中对应临界量的比值Q。当只涉及一种危险物质时，计算该物质的总量与其临界量比值，即为Q；当存在多种危险物质时，则按下式计算物质总量与其临界量比值（Q）：</w:t>
            </w:r>
          </w:p>
          <w:p w14:paraId="28049D0B">
            <w:pPr>
              <w:adjustRightInd w:val="0"/>
              <w:snapToGrid w:val="0"/>
              <w:spacing w:line="360" w:lineRule="auto"/>
              <w:ind w:firstLine="480"/>
              <w:jc w:val="center"/>
              <w:rPr>
                <w:color w:val="auto"/>
                <w:sz w:val="24"/>
                <w:szCs w:val="24"/>
                <w:highlight w:val="none"/>
              </w:rPr>
            </w:pPr>
            <w:r>
              <w:rPr>
                <w:color w:val="auto"/>
                <w:sz w:val="24"/>
                <w:szCs w:val="24"/>
                <w:highlight w:val="none"/>
              </w:rPr>
              <w:t>Q= q1/Q1+ q2/Q2+……+qn/Qn</w:t>
            </w:r>
          </w:p>
          <w:p w14:paraId="2D4EAE99">
            <w:pPr>
              <w:adjustRightInd w:val="0"/>
              <w:snapToGrid w:val="0"/>
              <w:spacing w:line="360" w:lineRule="auto"/>
              <w:ind w:firstLine="480"/>
              <w:rPr>
                <w:color w:val="auto"/>
                <w:sz w:val="21"/>
                <w:szCs w:val="21"/>
                <w:highlight w:val="none"/>
              </w:rPr>
            </w:pPr>
            <w:r>
              <w:rPr>
                <w:color w:val="auto"/>
                <w:sz w:val="21"/>
                <w:szCs w:val="21"/>
                <w:highlight w:val="none"/>
              </w:rPr>
              <w:t>式中：q1，q2，…，qn—每种危险物质的最大存在总量，t；</w:t>
            </w:r>
          </w:p>
          <w:p w14:paraId="63299243">
            <w:pPr>
              <w:adjustRightInd w:val="0"/>
              <w:snapToGrid w:val="0"/>
              <w:spacing w:line="360" w:lineRule="auto"/>
              <w:ind w:firstLine="945" w:firstLineChars="450"/>
              <w:rPr>
                <w:color w:val="auto"/>
                <w:sz w:val="21"/>
                <w:szCs w:val="21"/>
                <w:highlight w:val="none"/>
              </w:rPr>
            </w:pPr>
            <w:r>
              <w:rPr>
                <w:color w:val="auto"/>
                <w:sz w:val="21"/>
                <w:szCs w:val="21"/>
                <w:highlight w:val="none"/>
              </w:rPr>
              <w:t>Q1，Q2，…，Qn—每种危险物质的临界量，t。</w:t>
            </w:r>
          </w:p>
          <w:p w14:paraId="453403B3">
            <w:pPr>
              <w:adjustRightInd w:val="0"/>
              <w:snapToGrid w:val="0"/>
              <w:spacing w:line="360" w:lineRule="auto"/>
              <w:ind w:firstLine="945" w:firstLineChars="450"/>
              <w:rPr>
                <w:color w:val="auto"/>
                <w:sz w:val="21"/>
                <w:szCs w:val="21"/>
                <w:highlight w:val="none"/>
              </w:rPr>
            </w:pPr>
            <w:r>
              <w:rPr>
                <w:color w:val="auto"/>
                <w:sz w:val="21"/>
                <w:szCs w:val="21"/>
                <w:highlight w:val="none"/>
              </w:rPr>
              <w:t>当Q＜1 时，该项目环境风险潜势为I。</w:t>
            </w:r>
          </w:p>
          <w:p w14:paraId="1EB5383F">
            <w:pPr>
              <w:pStyle w:val="69"/>
              <w:spacing w:line="360" w:lineRule="auto"/>
              <w:ind w:firstLine="480"/>
              <w:rPr>
                <w:rFonts w:hint="default" w:ascii="Times New Roman" w:hAnsi="Times New Roman" w:cs="Times New Roman"/>
                <w:color w:val="auto"/>
                <w:szCs w:val="24"/>
                <w:highlight w:val="none"/>
              </w:rPr>
            </w:pPr>
            <w:r>
              <w:rPr>
                <w:rFonts w:hint="default" w:ascii="Times New Roman" w:hAnsi="Times New Roman" w:cs="Times New Roman"/>
                <w:color w:val="auto"/>
                <w:sz w:val="21"/>
                <w:szCs w:val="21"/>
                <w:highlight w:val="none"/>
              </w:rPr>
              <w:t>根据计算，本项目Q=</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09208</w:t>
            </w:r>
            <w:r>
              <w:rPr>
                <w:rFonts w:hint="default" w:ascii="Times New Roman" w:hAnsi="Times New Roman" w:cs="Times New Roman"/>
                <w:color w:val="auto"/>
                <w:sz w:val="21"/>
                <w:szCs w:val="21"/>
                <w:highlight w:val="none"/>
              </w:rPr>
              <w:t>&lt;1，环境风险潜势为I。根据《建设项目环境影响报告表编制技术指南 污染影响类》本项目危险物质存量未超过临界量，因此不开展环境风险专题评价。</w:t>
            </w:r>
          </w:p>
          <w:p w14:paraId="6E45525A">
            <w:pPr>
              <w:numPr>
                <w:ilvl w:val="0"/>
                <w:numId w:val="0"/>
              </w:numPr>
              <w:bidi w:val="0"/>
              <w:spacing w:line="360" w:lineRule="auto"/>
              <w:ind w:firstLine="422" w:firstLineChars="200"/>
              <w:rPr>
                <w:rFonts w:hint="eastAsia"/>
                <w:b/>
                <w:bCs/>
                <w:lang w:val="en-US" w:eastAsia="zh-CN"/>
              </w:rPr>
            </w:pPr>
            <w:r>
              <w:rPr>
                <w:rFonts w:hint="eastAsia"/>
                <w:b/>
                <w:bCs/>
                <w:lang w:val="en-US" w:eastAsia="zh-CN"/>
              </w:rPr>
              <w:t>2、环境风险识别</w:t>
            </w:r>
          </w:p>
          <w:p w14:paraId="4D809A83">
            <w:pPr>
              <w:pStyle w:val="82"/>
              <w:wordWrap/>
              <w:ind w:firstLine="48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本项目生产运行过程存在潜在事故风险，主要表现在以下几个方面：</w:t>
            </w:r>
          </w:p>
          <w:p w14:paraId="0DD1EC1B">
            <w:pPr>
              <w:pStyle w:val="82"/>
              <w:wordWrap/>
              <w:ind w:firstLine="480"/>
              <w:outlineLvl w:val="9"/>
              <w:rPr>
                <w:rFonts w:ascii="Times New Roman" w:hAnsi="Times New Roman" w:eastAsia="宋体"/>
                <w:b w:val="0"/>
                <w:color w:val="auto"/>
                <w:sz w:val="21"/>
                <w:szCs w:val="21"/>
              </w:rPr>
            </w:pPr>
            <w:r>
              <w:rPr>
                <w:rFonts w:hint="eastAsia" w:ascii="宋体" w:hAnsi="宋体" w:eastAsia="宋体" w:cs="宋体"/>
                <w:b w:val="0"/>
                <w:color w:val="auto"/>
                <w:sz w:val="21"/>
                <w:szCs w:val="21"/>
              </w:rPr>
              <w:t>①</w:t>
            </w:r>
            <w:r>
              <w:rPr>
                <w:rFonts w:hint="eastAsia"/>
                <w:b w:val="0"/>
                <w:color w:val="auto"/>
                <w:sz w:val="21"/>
                <w:szCs w:val="21"/>
                <w:lang w:eastAsia="zh-CN"/>
              </w:rPr>
              <w:t>火灾、爆炸产生伴生、次生污染物</w:t>
            </w:r>
          </w:p>
          <w:p w14:paraId="7B5C8C0C">
            <w:pPr>
              <w:pStyle w:val="82"/>
              <w:wordWrap/>
              <w:ind w:firstLine="48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项目生产过程中使用的机油、油性漆</w:t>
            </w:r>
            <w:r>
              <w:rPr>
                <w:rFonts w:hint="eastAsia" w:ascii="Times New Roman" w:hAnsi="Times New Roman" w:eastAsia="宋体"/>
                <w:b w:val="0"/>
                <w:color w:val="auto"/>
                <w:sz w:val="21"/>
                <w:szCs w:val="21"/>
                <w:lang w:eastAsia="zh-CN"/>
              </w:rPr>
              <w:t>、</w:t>
            </w:r>
            <w:r>
              <w:rPr>
                <w:rFonts w:hint="eastAsia" w:ascii="Times New Roman" w:hAnsi="Times New Roman" w:eastAsia="宋体"/>
                <w:b w:val="0"/>
                <w:color w:val="auto"/>
                <w:sz w:val="21"/>
                <w:szCs w:val="21"/>
                <w:lang w:val="en-US" w:eastAsia="zh-CN"/>
              </w:rPr>
              <w:t>塑料颗粒</w:t>
            </w:r>
            <w:r>
              <w:rPr>
                <w:rFonts w:ascii="Times New Roman" w:hAnsi="Times New Roman" w:eastAsia="宋体"/>
                <w:b w:val="0"/>
                <w:color w:val="auto"/>
                <w:sz w:val="21"/>
                <w:szCs w:val="21"/>
              </w:rPr>
              <w:t>有泄漏及火灾的风险，且遇明火、高热能引起燃烧，油性漆中的成分二甲苯、乙苯，</w:t>
            </w:r>
            <w:r>
              <w:rPr>
                <w:rFonts w:hint="eastAsia" w:ascii="Times New Roman" w:hAnsi="Times New Roman" w:eastAsia="宋体"/>
                <w:b w:val="0"/>
                <w:color w:val="auto"/>
                <w:sz w:val="21"/>
                <w:szCs w:val="21"/>
                <w:lang w:val="en-US" w:eastAsia="zh-CN"/>
              </w:rPr>
              <w:t>塑料颗粒</w:t>
            </w:r>
            <w:r>
              <w:rPr>
                <w:rFonts w:ascii="Times New Roman" w:hAnsi="Times New Roman" w:eastAsia="宋体"/>
                <w:b w:val="0"/>
                <w:color w:val="auto"/>
                <w:sz w:val="21"/>
                <w:szCs w:val="21"/>
              </w:rPr>
              <w:t>中的苯乙烯遇高热能引起燃烧爆炸的危险。燃烧爆炸的主要危害方式是火焰的直接作用，火焰除对作业人员造成直接伤害外，还可使建筑物的结构强度降低，造成建筑物破坏、倒塌，在一定条件下还有可能引起燃烧转爆轰，造成二次、更大范围的爆炸危害。此外，燃烧产物一般主要为CO</w:t>
            </w:r>
            <w:r>
              <w:rPr>
                <w:rFonts w:ascii="Times New Roman" w:hAnsi="Times New Roman" w:eastAsia="宋体"/>
                <w:b w:val="0"/>
                <w:color w:val="auto"/>
                <w:sz w:val="21"/>
                <w:szCs w:val="21"/>
                <w:vertAlign w:val="subscript"/>
              </w:rPr>
              <w:t>2</w:t>
            </w:r>
            <w:r>
              <w:rPr>
                <w:rFonts w:ascii="Times New Roman" w:hAnsi="Times New Roman" w:eastAsia="宋体"/>
                <w:b w:val="0"/>
                <w:color w:val="auto"/>
                <w:sz w:val="21"/>
                <w:szCs w:val="21"/>
              </w:rPr>
              <w:t>、CO等，燃烧产物特别是烟雾也会对周围人员造成危害。烟雾中含有大量的CO等有毒气体，能使人窒息死亡，同时烟雾刺激眼睛，造成人员伤害。</w:t>
            </w:r>
          </w:p>
          <w:p w14:paraId="01CCD138">
            <w:pPr>
              <w:pStyle w:val="82"/>
              <w:wordWrap/>
              <w:ind w:firstLine="480"/>
              <w:outlineLvl w:val="9"/>
              <w:rPr>
                <w:rFonts w:ascii="Times New Roman" w:hAnsi="Times New Roman" w:eastAsia="宋体"/>
                <w:b w:val="0"/>
                <w:color w:val="auto"/>
                <w:sz w:val="21"/>
                <w:szCs w:val="21"/>
              </w:rPr>
            </w:pPr>
            <w:r>
              <w:rPr>
                <w:rFonts w:hint="eastAsia" w:ascii="宋体" w:hAnsi="宋体" w:eastAsia="宋体" w:cs="宋体"/>
                <w:b w:val="0"/>
                <w:color w:val="auto"/>
                <w:sz w:val="21"/>
                <w:szCs w:val="21"/>
              </w:rPr>
              <w:t>②</w:t>
            </w:r>
            <w:r>
              <w:rPr>
                <w:rFonts w:ascii="Times New Roman" w:hAnsi="Times New Roman" w:eastAsia="宋体"/>
                <w:b w:val="0"/>
                <w:color w:val="auto"/>
                <w:sz w:val="21"/>
                <w:szCs w:val="21"/>
              </w:rPr>
              <w:t>泄露风险</w:t>
            </w:r>
          </w:p>
          <w:p w14:paraId="560377B3">
            <w:pPr>
              <w:pStyle w:val="82"/>
              <w:wordWrap/>
              <w:ind w:firstLine="48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项目设有独立的</w:t>
            </w:r>
            <w:r>
              <w:rPr>
                <w:rFonts w:hint="eastAsia" w:ascii="Times New Roman" w:hAnsi="Times New Roman" w:eastAsia="宋体"/>
                <w:b w:val="0"/>
                <w:color w:val="auto"/>
                <w:sz w:val="21"/>
                <w:szCs w:val="21"/>
                <w:lang w:val="en-US" w:eastAsia="zh-CN"/>
              </w:rPr>
              <w:t>供漆间</w:t>
            </w:r>
            <w:r>
              <w:rPr>
                <w:rFonts w:ascii="Times New Roman" w:hAnsi="Times New Roman" w:eastAsia="宋体"/>
                <w:b w:val="0"/>
                <w:color w:val="auto"/>
                <w:sz w:val="21"/>
                <w:szCs w:val="21"/>
              </w:rPr>
              <w:t>（含水性和油性的油漆、稀释剂、固化剂）若盛装油漆的容器破裂将会造成以上物质的泄漏，或者员工在拿取油漆的过程中操作不当，也可能造成以上物质的泄漏，挥发出的有机废气将会污染大气，泄漏地面将对地下水、土壤造成一定影响。</w:t>
            </w:r>
          </w:p>
          <w:p w14:paraId="221A547D">
            <w:pPr>
              <w:pStyle w:val="82"/>
              <w:wordWrap/>
              <w:ind w:firstLine="480"/>
              <w:outlineLvl w:val="9"/>
              <w:rPr>
                <w:rFonts w:ascii="Times New Roman" w:hAnsi="Times New Roman" w:eastAsia="宋体"/>
                <w:b w:val="0"/>
                <w:color w:val="auto"/>
                <w:sz w:val="21"/>
                <w:szCs w:val="21"/>
              </w:rPr>
            </w:pPr>
            <w:r>
              <w:rPr>
                <w:rFonts w:hint="eastAsia" w:ascii="宋体" w:hAnsi="宋体" w:eastAsia="宋体" w:cs="宋体"/>
                <w:b w:val="0"/>
                <w:color w:val="auto"/>
                <w:sz w:val="21"/>
                <w:szCs w:val="21"/>
              </w:rPr>
              <w:t>③</w:t>
            </w:r>
            <w:r>
              <w:rPr>
                <w:rFonts w:ascii="Times New Roman" w:hAnsi="Times New Roman" w:eastAsia="宋体"/>
                <w:b w:val="0"/>
                <w:color w:val="auto"/>
                <w:sz w:val="21"/>
                <w:szCs w:val="21"/>
              </w:rPr>
              <w:t>环保设备故障</w:t>
            </w:r>
          </w:p>
          <w:p w14:paraId="23FDFC65">
            <w:pPr>
              <w:pStyle w:val="82"/>
              <w:wordWrap/>
              <w:ind w:firstLine="48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本项目环保设备主要为处理喷漆废气（</w:t>
            </w:r>
            <w:r>
              <w:rPr>
                <w:rFonts w:hint="eastAsia"/>
                <w:sz w:val="21"/>
                <w:szCs w:val="21"/>
                <w:lang w:val="en-US" w:eastAsia="zh-CN"/>
              </w:rPr>
              <w:t>水帘水洗柜+</w:t>
            </w:r>
            <w:r>
              <w:rPr>
                <w:rFonts w:ascii="Times New Roman" w:hAnsi="Times New Roman" w:eastAsia="宋体"/>
                <w:b w:val="0"/>
                <w:color w:val="auto"/>
                <w:sz w:val="21"/>
                <w:szCs w:val="21"/>
              </w:rPr>
              <w:t>过滤棉+</w:t>
            </w:r>
            <w:r>
              <w:rPr>
                <w:rFonts w:hint="eastAsia" w:ascii="Times New Roman" w:hAnsi="Times New Roman" w:eastAsia="宋体"/>
                <w:b w:val="0"/>
                <w:color w:val="auto"/>
                <w:sz w:val="21"/>
                <w:szCs w:val="21"/>
                <w:lang w:val="en-US" w:eastAsia="zh-CN"/>
              </w:rPr>
              <w:t>二级活性炭吸附装置</w:t>
            </w:r>
            <w:r>
              <w:rPr>
                <w:rFonts w:ascii="Times New Roman" w:hAnsi="Times New Roman" w:eastAsia="宋体"/>
                <w:b w:val="0"/>
                <w:color w:val="auto"/>
                <w:sz w:val="21"/>
                <w:szCs w:val="21"/>
              </w:rPr>
              <w:t>）</w:t>
            </w:r>
            <w:r>
              <w:rPr>
                <w:rFonts w:hint="eastAsia" w:ascii="Times New Roman" w:hAnsi="Times New Roman" w:eastAsia="宋体"/>
                <w:b w:val="0"/>
                <w:color w:val="auto"/>
                <w:sz w:val="21"/>
                <w:szCs w:val="21"/>
                <w:lang w:eastAsia="zh-CN"/>
              </w:rPr>
              <w:t>、</w:t>
            </w:r>
            <w:r>
              <w:rPr>
                <w:rFonts w:hint="eastAsia" w:ascii="Times New Roman" w:hAnsi="Times New Roman" w:eastAsia="宋体"/>
                <w:b w:val="0"/>
                <w:color w:val="auto"/>
                <w:sz w:val="21"/>
                <w:szCs w:val="21"/>
                <w:lang w:val="en-US" w:eastAsia="zh-CN"/>
              </w:rPr>
              <w:t>注塑废气（二级活性炭吸附装置）</w:t>
            </w:r>
            <w:r>
              <w:rPr>
                <w:rFonts w:ascii="Times New Roman" w:hAnsi="Times New Roman" w:eastAsia="宋体"/>
                <w:b w:val="0"/>
                <w:color w:val="auto"/>
                <w:sz w:val="21"/>
                <w:szCs w:val="21"/>
              </w:rPr>
              <w:t>。在生产的过程中如发现环保设备出现故障，则污染物未经处理进行排放，污染周围的大气、地下水等环境，对员工身体健康也将造成一定影响。</w:t>
            </w:r>
          </w:p>
          <w:p w14:paraId="4353AD80">
            <w:pPr>
              <w:pStyle w:val="82"/>
              <w:wordWrap/>
              <w:ind w:firstLine="48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综上，项目生产过程中可能发生的环境风险事故是储存的油漆（二甲苯、乙</w:t>
            </w:r>
            <w:r>
              <w:rPr>
                <w:rFonts w:hint="eastAsia" w:ascii="Times New Roman" w:hAnsi="Times New Roman" w:eastAsia="宋体"/>
                <w:b w:val="0"/>
                <w:color w:val="auto"/>
                <w:sz w:val="21"/>
                <w:szCs w:val="21"/>
              </w:rPr>
              <w:t>苯</w:t>
            </w:r>
            <w:r>
              <w:rPr>
                <w:rFonts w:ascii="Times New Roman" w:hAnsi="Times New Roman" w:eastAsia="宋体"/>
                <w:b w:val="0"/>
                <w:color w:val="auto"/>
                <w:sz w:val="21"/>
                <w:szCs w:val="21"/>
              </w:rPr>
              <w:t>）、</w:t>
            </w:r>
            <w:r>
              <w:rPr>
                <w:rFonts w:hint="eastAsia" w:ascii="Times New Roman" w:hAnsi="Times New Roman" w:eastAsia="宋体"/>
                <w:b w:val="0"/>
                <w:color w:val="auto"/>
                <w:sz w:val="21"/>
                <w:szCs w:val="21"/>
                <w:lang w:val="en-US" w:eastAsia="zh-CN"/>
              </w:rPr>
              <w:t>固化剂（</w:t>
            </w:r>
            <w:r>
              <w:rPr>
                <w:rFonts w:ascii="Times New Roman" w:hAnsi="Times New Roman" w:eastAsia="宋体"/>
                <w:b w:val="0"/>
                <w:color w:val="auto"/>
                <w:sz w:val="21"/>
                <w:szCs w:val="21"/>
              </w:rPr>
              <w:t>二甲苯、乙</w:t>
            </w:r>
            <w:r>
              <w:rPr>
                <w:rFonts w:hint="eastAsia" w:ascii="Times New Roman" w:hAnsi="Times New Roman" w:eastAsia="宋体"/>
                <w:b w:val="0"/>
                <w:color w:val="auto"/>
                <w:sz w:val="21"/>
                <w:szCs w:val="21"/>
              </w:rPr>
              <w:t>苯</w:t>
            </w:r>
            <w:r>
              <w:rPr>
                <w:rFonts w:hint="eastAsia"/>
                <w:b w:val="0"/>
                <w:color w:val="auto"/>
                <w:sz w:val="21"/>
                <w:szCs w:val="21"/>
                <w:lang w:eastAsia="zh-CN"/>
              </w:rPr>
              <w:t>、</w:t>
            </w:r>
            <w:r>
              <w:rPr>
                <w:rFonts w:hint="eastAsia"/>
                <w:b w:val="0"/>
                <w:color w:val="auto"/>
                <w:sz w:val="21"/>
                <w:szCs w:val="21"/>
                <w:lang w:val="en-US" w:eastAsia="zh-CN"/>
              </w:rPr>
              <w:t>石脑油</w:t>
            </w:r>
            <w:r>
              <w:rPr>
                <w:rFonts w:hint="eastAsia" w:ascii="Times New Roman" w:hAnsi="Times New Roman" w:eastAsia="宋体"/>
                <w:b w:val="0"/>
                <w:color w:val="auto"/>
                <w:sz w:val="21"/>
                <w:szCs w:val="21"/>
                <w:lang w:val="en-US" w:eastAsia="zh-CN"/>
              </w:rPr>
              <w:t>）、注塑颗粒</w:t>
            </w:r>
            <w:r>
              <w:rPr>
                <w:rFonts w:ascii="Times New Roman" w:hAnsi="Times New Roman" w:eastAsia="宋体"/>
                <w:b w:val="0"/>
                <w:color w:val="auto"/>
                <w:sz w:val="21"/>
                <w:szCs w:val="21"/>
              </w:rPr>
              <w:t>（苯乙烯）遇高温明火可燃、爆炸，危险废弃物、油漆、</w:t>
            </w:r>
            <w:r>
              <w:rPr>
                <w:rFonts w:hint="eastAsia" w:ascii="Times New Roman" w:hAnsi="Times New Roman" w:eastAsia="宋体"/>
                <w:b w:val="0"/>
                <w:color w:val="auto"/>
                <w:sz w:val="21"/>
                <w:szCs w:val="21"/>
                <w:lang w:val="en-US" w:eastAsia="zh-CN"/>
              </w:rPr>
              <w:t>固化剂</w:t>
            </w:r>
            <w:r>
              <w:rPr>
                <w:rFonts w:ascii="Times New Roman" w:hAnsi="Times New Roman" w:eastAsia="宋体"/>
                <w:b w:val="0"/>
                <w:color w:val="auto"/>
                <w:sz w:val="21"/>
                <w:szCs w:val="21"/>
              </w:rPr>
              <w:t>泄漏造成地下水和土壤污染、火灾影响、环保设备故障影响等。</w:t>
            </w:r>
          </w:p>
          <w:p w14:paraId="7054C31B">
            <w:pPr>
              <w:wordWrap/>
              <w:autoSpaceDE w:val="0"/>
              <w:autoSpaceDN w:val="0"/>
              <w:adjustRightInd w:val="0"/>
              <w:snapToGrid w:val="0"/>
              <w:spacing w:line="360" w:lineRule="auto"/>
              <w:ind w:firstLine="422" w:firstLineChars="200"/>
              <w:outlineLvl w:val="9"/>
              <w:rPr>
                <w:rFonts w:ascii="Times New Roman" w:hAnsi="Times New Roman" w:eastAsia="宋体"/>
                <w:b/>
                <w:bCs/>
                <w:color w:val="auto"/>
                <w:kern w:val="0"/>
                <w:sz w:val="21"/>
                <w:szCs w:val="21"/>
              </w:rPr>
            </w:pPr>
            <w:r>
              <w:rPr>
                <w:rFonts w:hint="eastAsia" w:ascii="Times New Roman" w:hAnsi="Times New Roman" w:eastAsia="宋体"/>
                <w:b/>
                <w:bCs/>
                <w:color w:val="auto"/>
                <w:kern w:val="0"/>
                <w:sz w:val="21"/>
                <w:szCs w:val="21"/>
                <w:lang w:val="en-US" w:eastAsia="zh-CN"/>
              </w:rPr>
              <w:t>3、</w:t>
            </w:r>
            <w:r>
              <w:rPr>
                <w:rFonts w:ascii="Times New Roman" w:hAnsi="Times New Roman" w:eastAsia="宋体"/>
                <w:b/>
                <w:bCs/>
                <w:color w:val="auto"/>
                <w:kern w:val="0"/>
                <w:sz w:val="21"/>
                <w:szCs w:val="21"/>
              </w:rPr>
              <w:t>风险防范措施</w:t>
            </w:r>
          </w:p>
          <w:p w14:paraId="4D762F6B">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为避免项目因废气、废水事故排放及液体燃料泄漏造成污染影响，项目应做好以下措施：</w:t>
            </w:r>
          </w:p>
          <w:p w14:paraId="2222DB64">
            <w:pPr>
              <w:wordWrap/>
              <w:adjustRightInd w:val="0"/>
              <w:snapToGrid w:val="0"/>
              <w:spacing w:line="360" w:lineRule="auto"/>
              <w:ind w:firstLine="420" w:firstLineChars="0"/>
              <w:outlineLvl w:val="9"/>
              <w:rPr>
                <w:rFonts w:ascii="Times New Roman" w:hAnsi="Times New Roman" w:eastAsia="宋体"/>
                <w:b/>
                <w:color w:val="auto"/>
                <w:sz w:val="21"/>
                <w:szCs w:val="21"/>
              </w:rPr>
            </w:pPr>
            <w:r>
              <w:rPr>
                <w:rFonts w:hint="eastAsia" w:ascii="Times New Roman" w:hAnsi="Times New Roman" w:eastAsia="宋体"/>
                <w:b/>
                <w:color w:val="auto"/>
                <w:sz w:val="21"/>
                <w:szCs w:val="21"/>
              </w:rPr>
              <w:t>（1）泄漏事故</w:t>
            </w:r>
            <w:r>
              <w:rPr>
                <w:rFonts w:ascii="Times New Roman" w:hAnsi="Times New Roman" w:eastAsia="宋体"/>
                <w:b/>
                <w:color w:val="auto"/>
                <w:sz w:val="21"/>
                <w:szCs w:val="21"/>
              </w:rPr>
              <w:t>防范措施及应急处理措施</w:t>
            </w:r>
          </w:p>
          <w:p w14:paraId="258A5441">
            <w:pPr>
              <w:wordWrap/>
              <w:adjustRightInd w:val="0"/>
              <w:snapToGrid w:val="0"/>
              <w:spacing w:line="360" w:lineRule="auto"/>
              <w:ind w:firstLine="420" w:firstLineChars="0"/>
              <w:outlineLvl w:val="9"/>
              <w:rPr>
                <w:rFonts w:ascii="Times New Roman" w:hAnsi="Times New Roman" w:eastAsia="宋体"/>
                <w:b/>
                <w:color w:val="auto"/>
                <w:sz w:val="21"/>
                <w:szCs w:val="21"/>
              </w:rPr>
            </w:pPr>
            <w:r>
              <w:rPr>
                <w:rFonts w:hint="eastAsia" w:ascii="宋体" w:hAnsi="宋体" w:eastAsia="宋体" w:cs="宋体"/>
                <w:b/>
                <w:color w:val="auto"/>
                <w:sz w:val="21"/>
                <w:szCs w:val="21"/>
              </w:rPr>
              <w:t>①</w:t>
            </w:r>
            <w:r>
              <w:rPr>
                <w:rFonts w:ascii="Times New Roman" w:hAnsi="Times New Roman" w:eastAsia="宋体"/>
                <w:b/>
                <w:color w:val="auto"/>
                <w:sz w:val="21"/>
                <w:szCs w:val="21"/>
              </w:rPr>
              <w:t>防范措施</w:t>
            </w:r>
          </w:p>
          <w:p w14:paraId="5A6DAFB3">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A、各类</w:t>
            </w:r>
            <w:r>
              <w:rPr>
                <w:rFonts w:hint="eastAsia" w:ascii="Times New Roman" w:hAnsi="Times New Roman" w:eastAsia="宋体"/>
                <w:b w:val="0"/>
                <w:color w:val="auto"/>
                <w:sz w:val="21"/>
                <w:szCs w:val="21"/>
                <w:lang w:val="en-US" w:eastAsia="zh-CN"/>
              </w:rPr>
              <w:t>塑料颗粒物</w:t>
            </w:r>
            <w:r>
              <w:rPr>
                <w:rFonts w:ascii="Times New Roman" w:hAnsi="Times New Roman" w:eastAsia="宋体"/>
                <w:b w:val="0"/>
                <w:color w:val="auto"/>
                <w:sz w:val="21"/>
                <w:szCs w:val="21"/>
              </w:rPr>
              <w:t>、油漆、</w:t>
            </w:r>
            <w:r>
              <w:rPr>
                <w:rFonts w:hint="eastAsia" w:ascii="Times New Roman" w:hAnsi="Times New Roman" w:eastAsia="宋体"/>
                <w:b w:val="0"/>
                <w:color w:val="auto"/>
                <w:sz w:val="21"/>
                <w:szCs w:val="21"/>
                <w:lang w:val="en-US" w:eastAsia="zh-CN"/>
              </w:rPr>
              <w:t>固化剂</w:t>
            </w:r>
            <w:r>
              <w:rPr>
                <w:rFonts w:ascii="Times New Roman" w:hAnsi="Times New Roman" w:eastAsia="宋体"/>
                <w:b w:val="0"/>
                <w:color w:val="auto"/>
                <w:sz w:val="21"/>
                <w:szCs w:val="21"/>
              </w:rPr>
              <w:t>等环境风险物质、危险废物分类存放，存放处设置警示标 示，加强环境风险物质、危险废物的运输、存放、使用管理。</w:t>
            </w:r>
          </w:p>
          <w:p w14:paraId="10CBCAF4">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B、项目内</w:t>
            </w:r>
            <w:r>
              <w:rPr>
                <w:rFonts w:hint="eastAsia" w:ascii="Times New Roman" w:hAnsi="Times New Roman" w:eastAsia="宋体"/>
                <w:b w:val="0"/>
                <w:color w:val="auto"/>
                <w:sz w:val="21"/>
                <w:szCs w:val="21"/>
                <w:lang w:val="en-US" w:eastAsia="zh-CN"/>
              </w:rPr>
              <w:t>供漆室</w:t>
            </w:r>
            <w:r>
              <w:rPr>
                <w:rFonts w:ascii="Times New Roman" w:hAnsi="Times New Roman" w:eastAsia="宋体"/>
                <w:b w:val="0"/>
                <w:color w:val="auto"/>
                <w:sz w:val="21"/>
                <w:szCs w:val="21"/>
              </w:rPr>
              <w:t>、</w:t>
            </w:r>
            <w:r>
              <w:rPr>
                <w:rFonts w:hint="eastAsia" w:ascii="Times New Roman" w:hAnsi="Times New Roman" w:eastAsia="宋体"/>
                <w:b w:val="0"/>
                <w:color w:val="auto"/>
                <w:sz w:val="21"/>
                <w:szCs w:val="21"/>
                <w:lang w:val="en-US" w:eastAsia="zh-CN"/>
              </w:rPr>
              <w:t>调漆室</w:t>
            </w:r>
            <w:r>
              <w:rPr>
                <w:rFonts w:ascii="Times New Roman" w:hAnsi="Times New Roman" w:eastAsia="宋体"/>
                <w:b w:val="0"/>
                <w:color w:val="auto"/>
                <w:sz w:val="21"/>
                <w:szCs w:val="21"/>
              </w:rPr>
              <w:t>、危废暂存间按照重点防渗区技术要求进行防渗、防腐处理，并设置地沟</w:t>
            </w:r>
            <w:r>
              <w:rPr>
                <w:rFonts w:hint="eastAsia" w:ascii="Times New Roman" w:hAnsi="Times New Roman" w:eastAsia="宋体"/>
                <w:b w:val="0"/>
                <w:color w:val="auto"/>
                <w:sz w:val="21"/>
                <w:szCs w:val="21"/>
              </w:rPr>
              <w:t>或</w:t>
            </w:r>
            <w:r>
              <w:rPr>
                <w:rFonts w:ascii="Times New Roman" w:hAnsi="Times New Roman" w:eastAsia="宋体"/>
                <w:b w:val="0"/>
                <w:color w:val="auto"/>
                <w:sz w:val="21"/>
                <w:szCs w:val="21"/>
              </w:rPr>
              <w:t>围堰，围堰高度不低于20cm，油漆、油类、危废品储存桶下方设置防渗托盘，并设置空桶作为备用应急收容设施。</w:t>
            </w:r>
          </w:p>
          <w:p w14:paraId="5CBA53CC">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C、对废气处理设施进行日常检修，确保废气达标排放，并委托相关资质单位进行日常监测，确保环保设施正常运行。若项目废气净化装置出现故障，废气得不到有效处理， 应停止进行喷漆作业，避免废气对周围环境造成污染影响。</w:t>
            </w:r>
          </w:p>
          <w:p w14:paraId="3FDDE1A7">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D、危废暂存间，进行防渗、防漏措施，各类废物分类暂存，并做好相关等级。</w:t>
            </w:r>
          </w:p>
          <w:p w14:paraId="339B6773">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E、危险废物在暂存过程中会存在一定的风险，因此建设单位应做到：</w:t>
            </w:r>
          </w:p>
          <w:p w14:paraId="6270E020">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a、针对项目中所使用的原料进行筛选，列出危险废物名单，并针对每一项危废制定相应的应急预案，在容器破损、泄漏或发生火灾时，能迅速反应并启动相应的应急预案，将可能造成的损失减至最小。</w:t>
            </w:r>
          </w:p>
          <w:p w14:paraId="017E95D4">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b、建立危险废物台账，如实记载产生危险废物的种类、数量、利用、贮存、处置、流向等信息，跟踪记录危险废物在生产单位内部运转的整个流程。提高危险废物管理水平以及危险废物申报登记数据的准确性。</w:t>
            </w:r>
          </w:p>
          <w:p w14:paraId="75C85495">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c、根据《中华人民共和国固体废物污染环境防治法》，对危险废物的容器和包装物以及收集、贮存、运输、处置危险废物的设施、场所，必须设置危险废物识别标志；收集、贮存危险废物，必须按照危险废物特性分类进行，禁止混合收集、贮存、运输、处置性质不相容而未经安全性处置的危险废物，确保危废得到妥善处置。</w:t>
            </w:r>
          </w:p>
          <w:p w14:paraId="10D0A64C">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F、各车间地面硬化，按分区防渗图进行防渗、防漏处理。在厂区各车间设专门的储存点，设防火安全设施，并严格《危险化学品安全管理条例》（2002年，国务院第344号）的规定进行运输、储存和使用，车间内按有关规范要求配置干粉泡沫化学灭火器。</w:t>
            </w:r>
          </w:p>
          <w:p w14:paraId="49C57525">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G、编写事故应急预案，并经各专业具有实践经验的员工认真讨论、修改、完善、定稿、出版，并发放到每位员工，组织员工定期训练、演练。</w:t>
            </w:r>
          </w:p>
          <w:p w14:paraId="2A6D694C">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hint="eastAsia" w:ascii="宋体" w:hAnsi="宋体" w:eastAsia="宋体" w:cs="宋体"/>
                <w:b/>
                <w:color w:val="auto"/>
                <w:sz w:val="21"/>
                <w:szCs w:val="21"/>
              </w:rPr>
              <w:t>②</w:t>
            </w:r>
            <w:r>
              <w:rPr>
                <w:rFonts w:ascii="Times New Roman" w:hAnsi="Times New Roman" w:eastAsia="宋体"/>
                <w:b/>
                <w:color w:val="auto"/>
                <w:sz w:val="21"/>
                <w:szCs w:val="21"/>
              </w:rPr>
              <w:t>应急处理措施</w:t>
            </w:r>
          </w:p>
          <w:p w14:paraId="0AF14CC4">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一旦发生泄漏事故，首要的应急问题是减少泄漏，及时修补渗漏处；表面处理液等原材料如果发生严重泄漏事故，主要方法是使泄漏点局限在某一区域，然后再回收处理等。</w:t>
            </w:r>
          </w:p>
          <w:p w14:paraId="4C1AEB88">
            <w:pPr>
              <w:wordWrap/>
              <w:adjustRightInd w:val="0"/>
              <w:snapToGrid w:val="0"/>
              <w:spacing w:line="360" w:lineRule="auto"/>
              <w:ind w:firstLine="420" w:firstLineChars="0"/>
              <w:outlineLvl w:val="9"/>
              <w:rPr>
                <w:rFonts w:ascii="Times New Roman" w:hAnsi="Times New Roman" w:eastAsia="宋体"/>
                <w:b/>
                <w:color w:val="auto"/>
                <w:sz w:val="21"/>
                <w:szCs w:val="21"/>
              </w:rPr>
            </w:pPr>
            <w:r>
              <w:rPr>
                <w:rFonts w:hint="eastAsia" w:ascii="宋体" w:hAnsi="宋体" w:eastAsia="宋体" w:cs="宋体"/>
                <w:b/>
                <w:color w:val="auto"/>
                <w:sz w:val="21"/>
                <w:szCs w:val="21"/>
              </w:rPr>
              <w:t>③</w:t>
            </w:r>
            <w:r>
              <w:rPr>
                <w:rFonts w:ascii="Times New Roman" w:hAnsi="Times New Roman" w:eastAsia="宋体"/>
                <w:b/>
                <w:color w:val="auto"/>
                <w:sz w:val="21"/>
                <w:szCs w:val="21"/>
              </w:rPr>
              <w:t>火灾、爆炸事故防范措施及应急措施</w:t>
            </w:r>
          </w:p>
          <w:p w14:paraId="11FD2020">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A、防范措施</w:t>
            </w:r>
          </w:p>
          <w:p w14:paraId="7D2B1831">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a.消防通道和建筑物耐火等级应满足消防要求；在危险物品存放区设立警告牌（严禁烟火）。</w:t>
            </w:r>
          </w:p>
          <w:p w14:paraId="54F3CBEB">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b.按照《建筑灭火器配置设计规范》（GBJ140-90）之规定，应配置相应的灭火器类型（干粉灭火器等）与数量，并在火灾危险场所设置报警装置；严禁区内明火出现。</w:t>
            </w:r>
          </w:p>
          <w:p w14:paraId="7E800AB8">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c.严格执行防火、防爆、防雷击、防毒害等各项要求。</w:t>
            </w:r>
          </w:p>
          <w:p w14:paraId="3596DBFA">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d.加强对公司职工的教育培训，实行上岗证制度，增强职工风险意识，提高事故自救能力，制定和强化各种安全管理、安全生产的规程，减少人为风险事故（如误操作）的发生。</w:t>
            </w:r>
          </w:p>
          <w:p w14:paraId="0E975F0E">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e.加强管理，防止因管理不善而导致火灾：每天对车间设备，进行检查，防止因为设备故障而引起火灾；不允许在车间内抽烟。</w:t>
            </w:r>
          </w:p>
          <w:p w14:paraId="79B9E166">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f.防止静电起火：防止静电灾害可以采用的措施有：接地：使物体与大地之间构成电气泄漏电路，将产生在物体上的静电泄于大地，防止物体贮存静电；工作人员应该穿上防静电工作服；防止流动带电：管道输送溶剂时，流速越快，产生的静电越多。为防止高速流动带电，应该对流速作出限制；维持湿度：保持现场湿度大于 60%，有利于静电的释放。</w:t>
            </w:r>
          </w:p>
          <w:p w14:paraId="1964D276">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g.针对项目内可能存在火灾、爆炸风险的情况，环评建议建设单位组织编制安全评价报告。</w:t>
            </w:r>
          </w:p>
          <w:p w14:paraId="61EEF317">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B、应急处理措施</w:t>
            </w:r>
          </w:p>
          <w:p w14:paraId="34208D91">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当发生火灾、燃爆事故时，现场人员或其他人员应该立刻拨打火警电话119并立即通知有关人员停止作业，尽快切断所有电源，组织人员和其他易燃物品的疏散，并利用就近的消防器材将火苗扑灭。当火灾进入发展阶段、猛烈阶段，应由消防队来组织灭火，现场人员在确保安全的情况下不可逃离现场，应和消防人员配合，做好灭火工作。</w:t>
            </w:r>
          </w:p>
          <w:p w14:paraId="734A2836">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C、非正常排放风险防范措施及对策</w:t>
            </w:r>
          </w:p>
          <w:p w14:paraId="53E11C50">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根据生产工艺的特点和当地自然环境的现状特征，非正常排放对当地自然环境可能造成明显影响的主要是有机废气处理系统的事故排放。环评要求：</w:t>
            </w:r>
            <w:r>
              <w:rPr>
                <w:rFonts w:hint="eastAsia" w:ascii="Times New Roman" w:hAnsi="Times New Roman" w:eastAsia="宋体"/>
                <w:b w:val="0"/>
                <w:color w:val="auto"/>
                <w:sz w:val="21"/>
                <w:szCs w:val="21"/>
              </w:rPr>
              <w:t>建设</w:t>
            </w:r>
            <w:r>
              <w:rPr>
                <w:rFonts w:ascii="Times New Roman" w:hAnsi="Times New Roman" w:eastAsia="宋体"/>
                <w:b w:val="0"/>
                <w:color w:val="auto"/>
                <w:sz w:val="21"/>
                <w:szCs w:val="21"/>
              </w:rPr>
              <w:t>单位应加强设施设备的日常管理和检修；应定期对废气排口进行监测一旦发现超标排放，应立即停产检修废气处理设施和输送管道。通过以上措施的实施，可进一步减轻本项目废气非正常排放对环境的影响。</w:t>
            </w:r>
          </w:p>
          <w:p w14:paraId="654136FA">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hint="eastAsia" w:ascii="Times New Roman" w:hAnsi="Times New Roman" w:eastAsia="宋体"/>
                <w:b/>
                <w:color w:val="auto"/>
                <w:sz w:val="21"/>
                <w:szCs w:val="21"/>
              </w:rPr>
              <w:t>（2）</w:t>
            </w:r>
            <w:r>
              <w:rPr>
                <w:rFonts w:ascii="Times New Roman" w:hAnsi="Times New Roman" w:eastAsia="宋体"/>
                <w:b/>
                <w:color w:val="auto"/>
                <w:sz w:val="21"/>
                <w:szCs w:val="21"/>
              </w:rPr>
              <w:t>应急预案</w:t>
            </w:r>
            <w:r>
              <w:rPr>
                <w:rFonts w:ascii="Times New Roman" w:hAnsi="Times New Roman" w:eastAsia="宋体"/>
                <w:b w:val="0"/>
                <w:color w:val="auto"/>
                <w:sz w:val="21"/>
                <w:szCs w:val="21"/>
              </w:rPr>
              <w:t xml:space="preserve"> </w:t>
            </w:r>
          </w:p>
          <w:p w14:paraId="7372925E">
            <w:pPr>
              <w:wordWrap/>
              <w:adjustRightInd w:val="0"/>
              <w:snapToGrid w:val="0"/>
              <w:spacing w:line="360" w:lineRule="auto"/>
              <w:ind w:firstLine="420" w:firstLineChars="0"/>
              <w:outlineLvl w:val="9"/>
              <w:rPr>
                <w:rFonts w:ascii="Times New Roman" w:hAnsi="Times New Roman" w:eastAsia="宋体"/>
                <w:b w:val="0"/>
                <w:color w:val="auto"/>
                <w:sz w:val="21"/>
                <w:szCs w:val="21"/>
              </w:rPr>
            </w:pPr>
            <w:r>
              <w:rPr>
                <w:rFonts w:ascii="Times New Roman" w:hAnsi="Times New Roman" w:eastAsia="宋体"/>
                <w:b w:val="0"/>
                <w:color w:val="auto"/>
                <w:sz w:val="21"/>
                <w:szCs w:val="21"/>
              </w:rPr>
              <w:t>建设单位应根据《国家突发公共事件总体应急预案》、《国家事故应急预案框架指南》、《危险化学品事故应急救援预案编制导则》等相关规定的要求，制订和完善本项 目风险事故应急预案。具体如下：</w:t>
            </w:r>
          </w:p>
          <w:p w14:paraId="06186818">
            <w:pPr>
              <w:pStyle w:val="7"/>
              <w:wordWrap/>
              <w:spacing w:line="240" w:lineRule="auto"/>
              <w:jc w:val="center"/>
              <w:outlineLvl w:val="9"/>
              <w:rPr>
                <w:rFonts w:ascii="Times New Roman" w:hAnsi="Times New Roman" w:eastAsia="宋体"/>
                <w:b/>
                <w:color w:val="auto"/>
                <w:sz w:val="21"/>
                <w:szCs w:val="21"/>
              </w:rPr>
            </w:pPr>
            <w:r>
              <w:rPr>
                <w:rFonts w:ascii="Times New Roman" w:hAnsi="Times New Roman" w:eastAsia="宋体"/>
                <w:b/>
                <w:color w:val="auto"/>
                <w:sz w:val="21"/>
                <w:szCs w:val="21"/>
              </w:rPr>
              <w:t>表</w:t>
            </w:r>
            <w:r>
              <w:rPr>
                <w:rFonts w:hint="eastAsia" w:ascii="Times New Roman" w:hAnsi="Times New Roman" w:eastAsia="宋体"/>
                <w:b/>
                <w:color w:val="auto"/>
                <w:sz w:val="21"/>
                <w:szCs w:val="21"/>
              </w:rPr>
              <w:t>4-2</w:t>
            </w:r>
            <w:r>
              <w:rPr>
                <w:rFonts w:hint="eastAsia" w:ascii="Times New Roman" w:hAnsi="Times New Roman" w:eastAsia="宋体"/>
                <w:b/>
                <w:color w:val="auto"/>
                <w:sz w:val="21"/>
                <w:szCs w:val="21"/>
                <w:lang w:val="en-US" w:eastAsia="zh-CN"/>
              </w:rPr>
              <w:t>4</w:t>
            </w:r>
            <w:r>
              <w:rPr>
                <w:rFonts w:ascii="Times New Roman" w:hAnsi="Times New Roman" w:eastAsia="宋体"/>
                <w:b/>
                <w:color w:val="auto"/>
                <w:sz w:val="21"/>
                <w:szCs w:val="21"/>
              </w:rPr>
              <w:t>应急预案内容</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2504"/>
              <w:gridCol w:w="5529"/>
            </w:tblGrid>
            <w:tr w14:paraId="1B910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7" w:type="dxa"/>
                  <w:tcBorders>
                    <w:top w:val="single" w:color="auto" w:sz="12" w:space="0"/>
                    <w:left w:val="nil"/>
                    <w:bottom w:val="single" w:color="auto" w:sz="4" w:space="0"/>
                    <w:right w:val="single" w:color="auto" w:sz="4" w:space="0"/>
                  </w:tcBorders>
                  <w:vAlign w:val="center"/>
                </w:tcPr>
                <w:p w14:paraId="7A705F18">
                  <w:pPr>
                    <w:jc w:val="center"/>
                    <w:rPr>
                      <w:b/>
                      <w:bCs/>
                      <w:szCs w:val="21"/>
                    </w:rPr>
                  </w:pPr>
                  <w:r>
                    <w:rPr>
                      <w:b/>
                      <w:bCs/>
                      <w:szCs w:val="21"/>
                    </w:rPr>
                    <w:t>序号</w:t>
                  </w:r>
                </w:p>
              </w:tc>
              <w:tc>
                <w:tcPr>
                  <w:tcW w:w="2425" w:type="dxa"/>
                  <w:tcBorders>
                    <w:top w:val="single" w:color="auto" w:sz="12" w:space="0"/>
                    <w:left w:val="single" w:color="auto" w:sz="4" w:space="0"/>
                    <w:bottom w:val="single" w:color="auto" w:sz="4" w:space="0"/>
                    <w:right w:val="single" w:color="auto" w:sz="4" w:space="0"/>
                  </w:tcBorders>
                  <w:vAlign w:val="center"/>
                </w:tcPr>
                <w:p w14:paraId="750BC6BA">
                  <w:pPr>
                    <w:jc w:val="center"/>
                    <w:rPr>
                      <w:b/>
                      <w:bCs/>
                      <w:szCs w:val="21"/>
                    </w:rPr>
                  </w:pPr>
                  <w:r>
                    <w:rPr>
                      <w:b/>
                      <w:bCs/>
                      <w:szCs w:val="21"/>
                    </w:rPr>
                    <w:t>项目</w:t>
                  </w:r>
                </w:p>
              </w:tc>
              <w:tc>
                <w:tcPr>
                  <w:tcW w:w="5355" w:type="dxa"/>
                  <w:tcBorders>
                    <w:top w:val="single" w:color="auto" w:sz="12" w:space="0"/>
                    <w:left w:val="single" w:color="auto" w:sz="4" w:space="0"/>
                    <w:bottom w:val="single" w:color="auto" w:sz="4" w:space="0"/>
                    <w:right w:val="nil"/>
                  </w:tcBorders>
                  <w:vAlign w:val="center"/>
                </w:tcPr>
                <w:p w14:paraId="20CC9621">
                  <w:pPr>
                    <w:jc w:val="center"/>
                    <w:rPr>
                      <w:b/>
                      <w:bCs/>
                      <w:szCs w:val="21"/>
                    </w:rPr>
                  </w:pPr>
                  <w:r>
                    <w:rPr>
                      <w:b/>
                      <w:bCs/>
                      <w:szCs w:val="21"/>
                    </w:rPr>
                    <w:t>内容及要求</w:t>
                  </w:r>
                </w:p>
              </w:tc>
            </w:tr>
            <w:tr w14:paraId="5B71A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87" w:type="dxa"/>
                  <w:tcBorders>
                    <w:top w:val="single" w:color="auto" w:sz="4" w:space="0"/>
                    <w:left w:val="nil"/>
                    <w:bottom w:val="single" w:color="auto" w:sz="4" w:space="0"/>
                    <w:right w:val="single" w:color="auto" w:sz="4" w:space="0"/>
                  </w:tcBorders>
                  <w:vAlign w:val="center"/>
                </w:tcPr>
                <w:p w14:paraId="183FAEF9">
                  <w:pPr>
                    <w:jc w:val="center"/>
                    <w:rPr>
                      <w:szCs w:val="21"/>
                    </w:rPr>
                  </w:pPr>
                  <w:r>
                    <w:rPr>
                      <w:szCs w:val="21"/>
                    </w:rPr>
                    <w:t>1</w:t>
                  </w:r>
                </w:p>
              </w:tc>
              <w:tc>
                <w:tcPr>
                  <w:tcW w:w="2425" w:type="dxa"/>
                  <w:tcBorders>
                    <w:top w:val="single" w:color="auto" w:sz="4" w:space="0"/>
                    <w:left w:val="single" w:color="auto" w:sz="4" w:space="0"/>
                    <w:bottom w:val="single" w:color="auto" w:sz="4" w:space="0"/>
                    <w:right w:val="single" w:color="auto" w:sz="4" w:space="0"/>
                  </w:tcBorders>
                  <w:vAlign w:val="center"/>
                </w:tcPr>
                <w:p w14:paraId="624310B4">
                  <w:pPr>
                    <w:jc w:val="center"/>
                    <w:rPr>
                      <w:szCs w:val="21"/>
                    </w:rPr>
                  </w:pPr>
                  <w:r>
                    <w:rPr>
                      <w:szCs w:val="21"/>
                    </w:rPr>
                    <w:t>应急计划区</w:t>
                  </w:r>
                </w:p>
              </w:tc>
              <w:tc>
                <w:tcPr>
                  <w:tcW w:w="5355" w:type="dxa"/>
                  <w:tcBorders>
                    <w:top w:val="single" w:color="auto" w:sz="4" w:space="0"/>
                    <w:left w:val="single" w:color="auto" w:sz="4" w:space="0"/>
                    <w:bottom w:val="single" w:color="auto" w:sz="4" w:space="0"/>
                    <w:right w:val="nil"/>
                  </w:tcBorders>
                  <w:vAlign w:val="center"/>
                </w:tcPr>
                <w:p w14:paraId="149E9612">
                  <w:pPr>
                    <w:jc w:val="center"/>
                    <w:rPr>
                      <w:szCs w:val="21"/>
                    </w:rPr>
                  </w:pPr>
                  <w:r>
                    <w:rPr>
                      <w:szCs w:val="21"/>
                    </w:rPr>
                    <w:t>危险目标：危废暂存间、环境保护目标</w:t>
                  </w:r>
                </w:p>
              </w:tc>
            </w:tr>
            <w:tr w14:paraId="58A82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87" w:type="dxa"/>
                  <w:tcBorders>
                    <w:top w:val="single" w:color="auto" w:sz="4" w:space="0"/>
                    <w:left w:val="nil"/>
                    <w:bottom w:val="single" w:color="auto" w:sz="4" w:space="0"/>
                    <w:right w:val="single" w:color="auto" w:sz="4" w:space="0"/>
                  </w:tcBorders>
                  <w:vAlign w:val="center"/>
                </w:tcPr>
                <w:p w14:paraId="6161C389">
                  <w:pPr>
                    <w:jc w:val="center"/>
                    <w:rPr>
                      <w:szCs w:val="21"/>
                    </w:rPr>
                  </w:pPr>
                  <w:r>
                    <w:rPr>
                      <w:szCs w:val="21"/>
                    </w:rPr>
                    <w:t>2</w:t>
                  </w:r>
                </w:p>
              </w:tc>
              <w:tc>
                <w:tcPr>
                  <w:tcW w:w="2425" w:type="dxa"/>
                  <w:tcBorders>
                    <w:top w:val="single" w:color="auto" w:sz="4" w:space="0"/>
                    <w:left w:val="single" w:color="auto" w:sz="4" w:space="0"/>
                    <w:bottom w:val="single" w:color="auto" w:sz="4" w:space="0"/>
                    <w:right w:val="single" w:color="auto" w:sz="4" w:space="0"/>
                  </w:tcBorders>
                  <w:vAlign w:val="center"/>
                </w:tcPr>
                <w:p w14:paraId="3BC0B572">
                  <w:pPr>
                    <w:jc w:val="center"/>
                    <w:rPr>
                      <w:szCs w:val="21"/>
                    </w:rPr>
                  </w:pPr>
                  <w:r>
                    <w:rPr>
                      <w:szCs w:val="21"/>
                    </w:rPr>
                    <w:t>应急组织机构、人员</w:t>
                  </w:r>
                </w:p>
              </w:tc>
              <w:tc>
                <w:tcPr>
                  <w:tcW w:w="5355" w:type="dxa"/>
                  <w:tcBorders>
                    <w:top w:val="single" w:color="auto" w:sz="4" w:space="0"/>
                    <w:left w:val="single" w:color="auto" w:sz="4" w:space="0"/>
                    <w:bottom w:val="single" w:color="auto" w:sz="4" w:space="0"/>
                    <w:right w:val="nil"/>
                  </w:tcBorders>
                  <w:vAlign w:val="center"/>
                </w:tcPr>
                <w:p w14:paraId="1C342C8B">
                  <w:pPr>
                    <w:jc w:val="center"/>
                    <w:rPr>
                      <w:szCs w:val="21"/>
                    </w:rPr>
                  </w:pPr>
                  <w:r>
                    <w:rPr>
                      <w:szCs w:val="21"/>
                    </w:rPr>
                    <w:t>厂区、地区应急组织机构、人员</w:t>
                  </w:r>
                </w:p>
              </w:tc>
            </w:tr>
            <w:tr w14:paraId="0E8FC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87" w:type="dxa"/>
                  <w:tcBorders>
                    <w:top w:val="single" w:color="auto" w:sz="4" w:space="0"/>
                    <w:left w:val="nil"/>
                    <w:bottom w:val="single" w:color="auto" w:sz="4" w:space="0"/>
                    <w:right w:val="single" w:color="auto" w:sz="4" w:space="0"/>
                  </w:tcBorders>
                  <w:vAlign w:val="center"/>
                </w:tcPr>
                <w:p w14:paraId="1A361376">
                  <w:pPr>
                    <w:jc w:val="center"/>
                    <w:rPr>
                      <w:szCs w:val="21"/>
                    </w:rPr>
                  </w:pPr>
                  <w:r>
                    <w:rPr>
                      <w:szCs w:val="21"/>
                    </w:rPr>
                    <w:t>3</w:t>
                  </w:r>
                </w:p>
              </w:tc>
              <w:tc>
                <w:tcPr>
                  <w:tcW w:w="2425" w:type="dxa"/>
                  <w:tcBorders>
                    <w:top w:val="single" w:color="auto" w:sz="4" w:space="0"/>
                    <w:left w:val="single" w:color="auto" w:sz="4" w:space="0"/>
                    <w:bottom w:val="single" w:color="auto" w:sz="4" w:space="0"/>
                    <w:right w:val="single" w:color="auto" w:sz="4" w:space="0"/>
                  </w:tcBorders>
                  <w:vAlign w:val="center"/>
                </w:tcPr>
                <w:p w14:paraId="049E1E4F">
                  <w:pPr>
                    <w:jc w:val="center"/>
                    <w:rPr>
                      <w:szCs w:val="21"/>
                    </w:rPr>
                  </w:pPr>
                  <w:r>
                    <w:rPr>
                      <w:szCs w:val="21"/>
                    </w:rPr>
                    <w:t>预案分级响应条件</w:t>
                  </w:r>
                </w:p>
              </w:tc>
              <w:tc>
                <w:tcPr>
                  <w:tcW w:w="5355" w:type="dxa"/>
                  <w:tcBorders>
                    <w:top w:val="single" w:color="auto" w:sz="4" w:space="0"/>
                    <w:left w:val="single" w:color="auto" w:sz="4" w:space="0"/>
                    <w:bottom w:val="single" w:color="auto" w:sz="4" w:space="0"/>
                    <w:right w:val="nil"/>
                  </w:tcBorders>
                  <w:vAlign w:val="center"/>
                </w:tcPr>
                <w:p w14:paraId="6740F029">
                  <w:pPr>
                    <w:jc w:val="center"/>
                    <w:rPr>
                      <w:szCs w:val="21"/>
                    </w:rPr>
                  </w:pPr>
                  <w:r>
                    <w:rPr>
                      <w:szCs w:val="21"/>
                    </w:rPr>
                    <w:t>规定预案的级别及分级响应程序</w:t>
                  </w:r>
                </w:p>
              </w:tc>
            </w:tr>
            <w:tr w14:paraId="4C6DE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87" w:type="dxa"/>
                  <w:tcBorders>
                    <w:top w:val="single" w:color="auto" w:sz="4" w:space="0"/>
                    <w:left w:val="nil"/>
                    <w:bottom w:val="single" w:color="auto" w:sz="4" w:space="0"/>
                    <w:right w:val="single" w:color="auto" w:sz="4" w:space="0"/>
                  </w:tcBorders>
                  <w:vAlign w:val="center"/>
                </w:tcPr>
                <w:p w14:paraId="3DA9AC37">
                  <w:pPr>
                    <w:jc w:val="center"/>
                    <w:rPr>
                      <w:szCs w:val="21"/>
                    </w:rPr>
                  </w:pPr>
                  <w:r>
                    <w:rPr>
                      <w:szCs w:val="21"/>
                    </w:rPr>
                    <w:t>4</w:t>
                  </w:r>
                </w:p>
              </w:tc>
              <w:tc>
                <w:tcPr>
                  <w:tcW w:w="2425" w:type="dxa"/>
                  <w:tcBorders>
                    <w:top w:val="single" w:color="auto" w:sz="4" w:space="0"/>
                    <w:left w:val="single" w:color="auto" w:sz="4" w:space="0"/>
                    <w:bottom w:val="single" w:color="auto" w:sz="4" w:space="0"/>
                    <w:right w:val="single" w:color="auto" w:sz="4" w:space="0"/>
                  </w:tcBorders>
                  <w:vAlign w:val="center"/>
                </w:tcPr>
                <w:p w14:paraId="258D43CE">
                  <w:pPr>
                    <w:jc w:val="center"/>
                    <w:rPr>
                      <w:szCs w:val="21"/>
                    </w:rPr>
                  </w:pPr>
                  <w:r>
                    <w:rPr>
                      <w:szCs w:val="21"/>
                    </w:rPr>
                    <w:t>应急救援保障</w:t>
                  </w:r>
                </w:p>
              </w:tc>
              <w:tc>
                <w:tcPr>
                  <w:tcW w:w="5355" w:type="dxa"/>
                  <w:tcBorders>
                    <w:top w:val="single" w:color="auto" w:sz="4" w:space="0"/>
                    <w:left w:val="single" w:color="auto" w:sz="4" w:space="0"/>
                    <w:bottom w:val="single" w:color="auto" w:sz="4" w:space="0"/>
                    <w:right w:val="nil"/>
                  </w:tcBorders>
                  <w:vAlign w:val="center"/>
                </w:tcPr>
                <w:p w14:paraId="5EADFF34">
                  <w:pPr>
                    <w:jc w:val="center"/>
                    <w:rPr>
                      <w:szCs w:val="21"/>
                    </w:rPr>
                  </w:pPr>
                  <w:r>
                    <w:rPr>
                      <w:szCs w:val="21"/>
                    </w:rPr>
                    <w:t>应急设施，设备与器材等</w:t>
                  </w:r>
                </w:p>
              </w:tc>
            </w:tr>
            <w:tr w14:paraId="65EDE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87" w:type="dxa"/>
                  <w:tcBorders>
                    <w:top w:val="single" w:color="auto" w:sz="4" w:space="0"/>
                    <w:left w:val="nil"/>
                    <w:bottom w:val="single" w:color="auto" w:sz="4" w:space="0"/>
                    <w:right w:val="single" w:color="auto" w:sz="4" w:space="0"/>
                  </w:tcBorders>
                  <w:vAlign w:val="center"/>
                </w:tcPr>
                <w:p w14:paraId="0FBC708B">
                  <w:pPr>
                    <w:jc w:val="center"/>
                    <w:rPr>
                      <w:szCs w:val="21"/>
                    </w:rPr>
                  </w:pPr>
                  <w:r>
                    <w:rPr>
                      <w:szCs w:val="21"/>
                    </w:rPr>
                    <w:t>5</w:t>
                  </w:r>
                </w:p>
              </w:tc>
              <w:tc>
                <w:tcPr>
                  <w:tcW w:w="2425" w:type="dxa"/>
                  <w:tcBorders>
                    <w:top w:val="single" w:color="auto" w:sz="4" w:space="0"/>
                    <w:left w:val="single" w:color="auto" w:sz="4" w:space="0"/>
                    <w:bottom w:val="single" w:color="auto" w:sz="4" w:space="0"/>
                    <w:right w:val="single" w:color="auto" w:sz="4" w:space="0"/>
                  </w:tcBorders>
                  <w:vAlign w:val="center"/>
                </w:tcPr>
                <w:p w14:paraId="0E31DA48">
                  <w:pPr>
                    <w:jc w:val="center"/>
                    <w:rPr>
                      <w:szCs w:val="21"/>
                    </w:rPr>
                  </w:pPr>
                  <w:r>
                    <w:rPr>
                      <w:szCs w:val="21"/>
                    </w:rPr>
                    <w:t>报警、通讯联络方式</w:t>
                  </w:r>
                </w:p>
              </w:tc>
              <w:tc>
                <w:tcPr>
                  <w:tcW w:w="5355" w:type="dxa"/>
                  <w:tcBorders>
                    <w:top w:val="single" w:color="auto" w:sz="4" w:space="0"/>
                    <w:left w:val="single" w:color="auto" w:sz="4" w:space="0"/>
                    <w:bottom w:val="single" w:color="auto" w:sz="4" w:space="0"/>
                    <w:right w:val="nil"/>
                  </w:tcBorders>
                  <w:vAlign w:val="center"/>
                </w:tcPr>
                <w:p w14:paraId="5089A656">
                  <w:pPr>
                    <w:jc w:val="center"/>
                    <w:rPr>
                      <w:szCs w:val="21"/>
                    </w:rPr>
                  </w:pPr>
                  <w:r>
                    <w:rPr>
                      <w:szCs w:val="21"/>
                    </w:rPr>
                    <w:t>规定应急状态下的报警通讯方式、通知方式和交通保障、管制</w:t>
                  </w:r>
                </w:p>
              </w:tc>
            </w:tr>
            <w:tr w14:paraId="72CB8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87" w:type="dxa"/>
                  <w:tcBorders>
                    <w:top w:val="single" w:color="auto" w:sz="4" w:space="0"/>
                    <w:left w:val="nil"/>
                    <w:bottom w:val="single" w:color="auto" w:sz="4" w:space="0"/>
                    <w:right w:val="single" w:color="auto" w:sz="4" w:space="0"/>
                  </w:tcBorders>
                  <w:vAlign w:val="center"/>
                </w:tcPr>
                <w:p w14:paraId="4B3B8FAA">
                  <w:pPr>
                    <w:jc w:val="center"/>
                    <w:rPr>
                      <w:szCs w:val="21"/>
                    </w:rPr>
                  </w:pPr>
                  <w:r>
                    <w:rPr>
                      <w:szCs w:val="21"/>
                    </w:rPr>
                    <w:t>6</w:t>
                  </w:r>
                </w:p>
              </w:tc>
              <w:tc>
                <w:tcPr>
                  <w:tcW w:w="2425" w:type="dxa"/>
                  <w:tcBorders>
                    <w:top w:val="single" w:color="auto" w:sz="4" w:space="0"/>
                    <w:left w:val="single" w:color="auto" w:sz="4" w:space="0"/>
                    <w:bottom w:val="single" w:color="auto" w:sz="4" w:space="0"/>
                    <w:right w:val="single" w:color="auto" w:sz="4" w:space="0"/>
                  </w:tcBorders>
                  <w:vAlign w:val="center"/>
                </w:tcPr>
                <w:p w14:paraId="07CDD200">
                  <w:pPr>
                    <w:jc w:val="center"/>
                    <w:rPr>
                      <w:szCs w:val="21"/>
                    </w:rPr>
                  </w:pPr>
                  <w:r>
                    <w:rPr>
                      <w:szCs w:val="21"/>
                    </w:rPr>
                    <w:t>应急环境监测、抢险、救援及控制措施</w:t>
                  </w:r>
                </w:p>
              </w:tc>
              <w:tc>
                <w:tcPr>
                  <w:tcW w:w="5355" w:type="dxa"/>
                  <w:tcBorders>
                    <w:top w:val="single" w:color="auto" w:sz="4" w:space="0"/>
                    <w:left w:val="single" w:color="auto" w:sz="4" w:space="0"/>
                    <w:bottom w:val="single" w:color="auto" w:sz="4" w:space="0"/>
                    <w:right w:val="nil"/>
                  </w:tcBorders>
                  <w:vAlign w:val="center"/>
                </w:tcPr>
                <w:p w14:paraId="5DC07F34">
                  <w:pPr>
                    <w:jc w:val="center"/>
                    <w:rPr>
                      <w:szCs w:val="21"/>
                    </w:rPr>
                  </w:pPr>
                  <w:r>
                    <w:rPr>
                      <w:szCs w:val="21"/>
                    </w:rPr>
                    <w:t>由专业队伍负责对事故现场进行侦查监测，对事故性质、参数与后果进行评估，为指挥部门提供决策依据</w:t>
                  </w:r>
                </w:p>
              </w:tc>
            </w:tr>
            <w:tr w14:paraId="138CC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87" w:type="dxa"/>
                  <w:tcBorders>
                    <w:top w:val="single" w:color="auto" w:sz="4" w:space="0"/>
                    <w:left w:val="nil"/>
                    <w:bottom w:val="single" w:color="auto" w:sz="4" w:space="0"/>
                    <w:right w:val="single" w:color="auto" w:sz="4" w:space="0"/>
                  </w:tcBorders>
                  <w:vAlign w:val="center"/>
                </w:tcPr>
                <w:p w14:paraId="6F2C8F52">
                  <w:pPr>
                    <w:jc w:val="center"/>
                    <w:rPr>
                      <w:szCs w:val="21"/>
                    </w:rPr>
                  </w:pPr>
                  <w:r>
                    <w:rPr>
                      <w:szCs w:val="21"/>
                    </w:rPr>
                    <w:t>7</w:t>
                  </w:r>
                </w:p>
              </w:tc>
              <w:tc>
                <w:tcPr>
                  <w:tcW w:w="2425" w:type="dxa"/>
                  <w:tcBorders>
                    <w:top w:val="single" w:color="auto" w:sz="4" w:space="0"/>
                    <w:left w:val="single" w:color="auto" w:sz="4" w:space="0"/>
                    <w:bottom w:val="single" w:color="auto" w:sz="4" w:space="0"/>
                    <w:right w:val="single" w:color="auto" w:sz="4" w:space="0"/>
                  </w:tcBorders>
                  <w:vAlign w:val="center"/>
                </w:tcPr>
                <w:p w14:paraId="7A6A85DB">
                  <w:pPr>
                    <w:jc w:val="center"/>
                    <w:rPr>
                      <w:szCs w:val="21"/>
                    </w:rPr>
                  </w:pPr>
                  <w:r>
                    <w:rPr>
                      <w:szCs w:val="21"/>
                    </w:rPr>
                    <w:t>应急检测、防护措施、清除泄漏措施和器材</w:t>
                  </w:r>
                </w:p>
              </w:tc>
              <w:tc>
                <w:tcPr>
                  <w:tcW w:w="5355" w:type="dxa"/>
                  <w:tcBorders>
                    <w:top w:val="single" w:color="auto" w:sz="4" w:space="0"/>
                    <w:left w:val="single" w:color="auto" w:sz="4" w:space="0"/>
                    <w:bottom w:val="single" w:color="auto" w:sz="4" w:space="0"/>
                    <w:right w:val="nil"/>
                  </w:tcBorders>
                  <w:vAlign w:val="center"/>
                </w:tcPr>
                <w:p w14:paraId="4CF0DFAE">
                  <w:pPr>
                    <w:jc w:val="center"/>
                    <w:rPr>
                      <w:szCs w:val="21"/>
                    </w:rPr>
                  </w:pPr>
                  <w:r>
                    <w:rPr>
                      <w:szCs w:val="21"/>
                    </w:rPr>
                    <w:t>事故现场、邻近区域、控制防火区域，控制和清除污染措施及相应设备</w:t>
                  </w:r>
                </w:p>
              </w:tc>
            </w:tr>
            <w:tr w14:paraId="531DF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87" w:type="dxa"/>
                  <w:tcBorders>
                    <w:top w:val="single" w:color="auto" w:sz="4" w:space="0"/>
                    <w:left w:val="nil"/>
                    <w:bottom w:val="single" w:color="auto" w:sz="4" w:space="0"/>
                    <w:right w:val="single" w:color="auto" w:sz="4" w:space="0"/>
                  </w:tcBorders>
                  <w:vAlign w:val="center"/>
                </w:tcPr>
                <w:p w14:paraId="40C4225C">
                  <w:pPr>
                    <w:jc w:val="center"/>
                    <w:rPr>
                      <w:szCs w:val="21"/>
                    </w:rPr>
                  </w:pPr>
                  <w:r>
                    <w:rPr>
                      <w:szCs w:val="21"/>
                    </w:rPr>
                    <w:t>8</w:t>
                  </w:r>
                </w:p>
              </w:tc>
              <w:tc>
                <w:tcPr>
                  <w:tcW w:w="2425" w:type="dxa"/>
                  <w:tcBorders>
                    <w:top w:val="single" w:color="auto" w:sz="4" w:space="0"/>
                    <w:left w:val="single" w:color="auto" w:sz="4" w:space="0"/>
                    <w:bottom w:val="single" w:color="auto" w:sz="4" w:space="0"/>
                    <w:right w:val="single" w:color="auto" w:sz="4" w:space="0"/>
                  </w:tcBorders>
                  <w:vAlign w:val="center"/>
                </w:tcPr>
                <w:p w14:paraId="206142F9">
                  <w:pPr>
                    <w:jc w:val="center"/>
                    <w:rPr>
                      <w:szCs w:val="21"/>
                    </w:rPr>
                  </w:pPr>
                  <w:r>
                    <w:rPr>
                      <w:szCs w:val="21"/>
                    </w:rPr>
                    <w:t>人员紧急撤离、疏散，应急剂量控制、撤离组织计划</w:t>
                  </w:r>
                </w:p>
              </w:tc>
              <w:tc>
                <w:tcPr>
                  <w:tcW w:w="5355" w:type="dxa"/>
                  <w:tcBorders>
                    <w:top w:val="single" w:color="auto" w:sz="4" w:space="0"/>
                    <w:left w:val="single" w:color="auto" w:sz="4" w:space="0"/>
                    <w:bottom w:val="single" w:color="auto" w:sz="4" w:space="0"/>
                    <w:right w:val="nil"/>
                  </w:tcBorders>
                  <w:vAlign w:val="center"/>
                </w:tcPr>
                <w:p w14:paraId="28CB256A">
                  <w:pPr>
                    <w:jc w:val="center"/>
                    <w:rPr>
                      <w:szCs w:val="21"/>
                    </w:rPr>
                  </w:pPr>
                  <w:r>
                    <w:rPr>
                      <w:szCs w:val="21"/>
                    </w:rPr>
                    <w:t>事故现场、邻近区、受事故影响的区域人员及公众对毒物应急剂量控制规定，撤离组织计划及救护，医疗救护与公众健康</w:t>
                  </w:r>
                </w:p>
              </w:tc>
            </w:tr>
            <w:tr w14:paraId="3105D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87" w:type="dxa"/>
                  <w:tcBorders>
                    <w:top w:val="single" w:color="auto" w:sz="4" w:space="0"/>
                    <w:left w:val="nil"/>
                    <w:bottom w:val="single" w:color="auto" w:sz="4" w:space="0"/>
                    <w:right w:val="single" w:color="auto" w:sz="4" w:space="0"/>
                  </w:tcBorders>
                  <w:vAlign w:val="center"/>
                </w:tcPr>
                <w:p w14:paraId="57680F8A">
                  <w:pPr>
                    <w:jc w:val="center"/>
                    <w:rPr>
                      <w:szCs w:val="21"/>
                    </w:rPr>
                  </w:pPr>
                  <w:r>
                    <w:rPr>
                      <w:szCs w:val="21"/>
                    </w:rPr>
                    <w:t>9</w:t>
                  </w:r>
                </w:p>
              </w:tc>
              <w:tc>
                <w:tcPr>
                  <w:tcW w:w="2425" w:type="dxa"/>
                  <w:tcBorders>
                    <w:top w:val="single" w:color="auto" w:sz="4" w:space="0"/>
                    <w:left w:val="single" w:color="auto" w:sz="4" w:space="0"/>
                    <w:bottom w:val="single" w:color="auto" w:sz="4" w:space="0"/>
                    <w:right w:val="single" w:color="auto" w:sz="4" w:space="0"/>
                  </w:tcBorders>
                  <w:vAlign w:val="center"/>
                </w:tcPr>
                <w:p w14:paraId="45FC3FA4">
                  <w:pPr>
                    <w:jc w:val="center"/>
                    <w:rPr>
                      <w:szCs w:val="21"/>
                    </w:rPr>
                  </w:pPr>
                  <w:r>
                    <w:rPr>
                      <w:szCs w:val="21"/>
                    </w:rPr>
                    <w:t>事故应急救援关闭程序与恢复措施</w:t>
                  </w:r>
                </w:p>
              </w:tc>
              <w:tc>
                <w:tcPr>
                  <w:tcW w:w="5355" w:type="dxa"/>
                  <w:tcBorders>
                    <w:top w:val="single" w:color="auto" w:sz="4" w:space="0"/>
                    <w:left w:val="single" w:color="auto" w:sz="4" w:space="0"/>
                    <w:bottom w:val="single" w:color="auto" w:sz="4" w:space="0"/>
                    <w:right w:val="nil"/>
                  </w:tcBorders>
                  <w:vAlign w:val="center"/>
                </w:tcPr>
                <w:p w14:paraId="3F9DEF79">
                  <w:pPr>
                    <w:jc w:val="center"/>
                    <w:rPr>
                      <w:szCs w:val="21"/>
                    </w:rPr>
                  </w:pPr>
                  <w:r>
                    <w:rPr>
                      <w:szCs w:val="21"/>
                    </w:rPr>
                    <w:t>规定应急状态终止程序</w:t>
                  </w:r>
                </w:p>
                <w:p w14:paraId="12C23D0A">
                  <w:pPr>
                    <w:jc w:val="center"/>
                    <w:rPr>
                      <w:szCs w:val="21"/>
                    </w:rPr>
                  </w:pPr>
                  <w:r>
                    <w:rPr>
                      <w:szCs w:val="21"/>
                    </w:rPr>
                    <w:t>事故现场善后处理，恢复措施</w:t>
                  </w:r>
                </w:p>
                <w:p w14:paraId="74B0185E">
                  <w:pPr>
                    <w:jc w:val="center"/>
                    <w:rPr>
                      <w:szCs w:val="21"/>
                    </w:rPr>
                  </w:pPr>
                  <w:r>
                    <w:rPr>
                      <w:szCs w:val="21"/>
                    </w:rPr>
                    <w:t>邻近区域解除事故警戒及善后恢复措施</w:t>
                  </w:r>
                </w:p>
              </w:tc>
            </w:tr>
            <w:tr w14:paraId="0593B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tcBorders>
                    <w:top w:val="single" w:color="auto" w:sz="4" w:space="0"/>
                    <w:left w:val="nil"/>
                    <w:bottom w:val="single" w:color="auto" w:sz="12" w:space="0"/>
                    <w:right w:val="single" w:color="auto" w:sz="4" w:space="0"/>
                  </w:tcBorders>
                  <w:vAlign w:val="center"/>
                </w:tcPr>
                <w:p w14:paraId="0113382C">
                  <w:pPr>
                    <w:jc w:val="center"/>
                    <w:rPr>
                      <w:szCs w:val="21"/>
                    </w:rPr>
                  </w:pPr>
                  <w:r>
                    <w:rPr>
                      <w:szCs w:val="21"/>
                    </w:rPr>
                    <w:t>10</w:t>
                  </w:r>
                </w:p>
              </w:tc>
              <w:tc>
                <w:tcPr>
                  <w:tcW w:w="2425" w:type="dxa"/>
                  <w:tcBorders>
                    <w:top w:val="single" w:color="auto" w:sz="4" w:space="0"/>
                    <w:left w:val="single" w:color="auto" w:sz="4" w:space="0"/>
                    <w:bottom w:val="single" w:color="auto" w:sz="12" w:space="0"/>
                    <w:right w:val="single" w:color="auto" w:sz="4" w:space="0"/>
                  </w:tcBorders>
                  <w:vAlign w:val="center"/>
                </w:tcPr>
                <w:p w14:paraId="75E68F36">
                  <w:pPr>
                    <w:jc w:val="center"/>
                    <w:rPr>
                      <w:szCs w:val="21"/>
                    </w:rPr>
                  </w:pPr>
                  <w:r>
                    <w:rPr>
                      <w:szCs w:val="21"/>
                    </w:rPr>
                    <w:t>应急培训计划</w:t>
                  </w:r>
                </w:p>
              </w:tc>
              <w:tc>
                <w:tcPr>
                  <w:tcW w:w="5355" w:type="dxa"/>
                  <w:tcBorders>
                    <w:top w:val="single" w:color="auto" w:sz="4" w:space="0"/>
                    <w:left w:val="single" w:color="auto" w:sz="4" w:space="0"/>
                    <w:bottom w:val="single" w:color="auto" w:sz="12" w:space="0"/>
                    <w:right w:val="nil"/>
                  </w:tcBorders>
                  <w:vAlign w:val="center"/>
                </w:tcPr>
                <w:p w14:paraId="55A763E2">
                  <w:pPr>
                    <w:jc w:val="center"/>
                    <w:rPr>
                      <w:szCs w:val="21"/>
                    </w:rPr>
                  </w:pPr>
                  <w:r>
                    <w:rPr>
                      <w:szCs w:val="21"/>
                    </w:rPr>
                    <w:t>应急计划制定后，平时安排人员培训与演练</w:t>
                  </w:r>
                </w:p>
              </w:tc>
            </w:tr>
          </w:tbl>
          <w:p w14:paraId="5002D87B">
            <w:pPr>
              <w:keepNext w:val="0"/>
              <w:keepLines w:val="0"/>
              <w:widowControl/>
              <w:suppressLineNumbers w:val="0"/>
              <w:spacing w:line="360" w:lineRule="auto"/>
              <w:ind w:firstLine="422" w:firstLineChars="200"/>
              <w:jc w:val="left"/>
              <w:rPr>
                <w:sz w:val="21"/>
                <w:szCs w:val="21"/>
              </w:rPr>
            </w:pPr>
            <w:r>
              <w:rPr>
                <w:rFonts w:hint="eastAsia" w:ascii="宋体" w:hAnsi="宋体" w:eastAsia="宋体" w:cs="宋体"/>
                <w:b/>
                <w:bCs/>
                <w:color w:val="000000"/>
                <w:kern w:val="0"/>
                <w:sz w:val="21"/>
                <w:szCs w:val="21"/>
                <w:lang w:val="en-US" w:eastAsia="zh-CN" w:bidi="ar"/>
              </w:rPr>
              <w:t xml:space="preserve">4、分析结论 </w:t>
            </w:r>
          </w:p>
          <w:p w14:paraId="67057B1A">
            <w:pPr>
              <w:keepNext w:val="0"/>
              <w:keepLines w:val="0"/>
              <w:widowControl/>
              <w:suppressLineNumbers w:val="0"/>
              <w:spacing w:line="360" w:lineRule="auto"/>
              <w:ind w:firstLine="420" w:firstLineChars="20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项目营运过程中严格执行</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三同时</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制度，落实本报告提出的各项措施、建立和落实各项风险预警防范措施和事故应急计划，杜绝重大环境污染事故的发生，可使项目建成后风险水平处于可接受程度。 </w:t>
            </w:r>
          </w:p>
          <w:p w14:paraId="3B5211B8">
            <w:pPr>
              <w:wordWrap/>
              <w:adjustRightInd w:val="0"/>
              <w:snapToGrid w:val="0"/>
              <w:spacing w:line="240" w:lineRule="auto"/>
              <w:ind w:firstLine="420" w:firstLineChars="0"/>
              <w:jc w:val="center"/>
              <w:outlineLvl w:val="9"/>
              <w:rPr>
                <w:rFonts w:ascii="Times New Roman" w:hAnsi="Times New Roman" w:eastAsia="宋体"/>
                <w:b/>
                <w:color w:val="auto"/>
                <w:sz w:val="21"/>
                <w:szCs w:val="21"/>
              </w:rPr>
            </w:pPr>
            <w:r>
              <w:rPr>
                <w:rFonts w:ascii="Times New Roman" w:hAnsi="Times New Roman" w:eastAsia="宋体"/>
                <w:b/>
                <w:color w:val="auto"/>
                <w:sz w:val="21"/>
                <w:szCs w:val="21"/>
              </w:rPr>
              <w:t>表</w:t>
            </w:r>
            <w:r>
              <w:rPr>
                <w:rFonts w:hint="eastAsia" w:ascii="Times New Roman" w:hAnsi="Times New Roman" w:eastAsia="宋体"/>
                <w:b/>
                <w:color w:val="auto"/>
                <w:sz w:val="21"/>
                <w:szCs w:val="21"/>
              </w:rPr>
              <w:t>4-</w:t>
            </w:r>
            <w:r>
              <w:rPr>
                <w:rFonts w:hint="eastAsia" w:ascii="Times New Roman" w:hAnsi="Times New Roman" w:eastAsia="宋体"/>
                <w:b/>
                <w:color w:val="auto"/>
                <w:sz w:val="21"/>
                <w:szCs w:val="21"/>
                <w:lang w:val="en-US" w:eastAsia="zh-CN"/>
              </w:rPr>
              <w:t>25</w:t>
            </w:r>
            <w:r>
              <w:rPr>
                <w:rFonts w:ascii="Times New Roman" w:hAnsi="Times New Roman" w:eastAsia="宋体"/>
                <w:b/>
                <w:color w:val="auto"/>
                <w:sz w:val="21"/>
                <w:szCs w:val="21"/>
              </w:rPr>
              <w:t>建设项目风险简单分析内容表</w:t>
            </w:r>
          </w:p>
          <w:tbl>
            <w:tblPr>
              <w:tblStyle w:val="27"/>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762"/>
              <w:gridCol w:w="2912"/>
              <w:gridCol w:w="609"/>
              <w:gridCol w:w="2839"/>
            </w:tblGrid>
            <w:tr w14:paraId="3363A2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74" w:type="pct"/>
                  <w:vAlign w:val="center"/>
                </w:tcPr>
                <w:p w14:paraId="1306E774">
                  <w:pPr>
                    <w:jc w:val="center"/>
                    <w:rPr>
                      <w:szCs w:val="21"/>
                    </w:rPr>
                  </w:pPr>
                  <w:r>
                    <w:rPr>
                      <w:szCs w:val="21"/>
                    </w:rPr>
                    <w:t>建设项目名称</w:t>
                  </w:r>
                </w:p>
              </w:tc>
              <w:tc>
                <w:tcPr>
                  <w:tcW w:w="4026" w:type="pct"/>
                  <w:gridSpan w:val="4"/>
                  <w:vAlign w:val="center"/>
                </w:tcPr>
                <w:p w14:paraId="589C15FA">
                  <w:pPr>
                    <w:jc w:val="center"/>
                    <w:rPr>
                      <w:rFonts w:hint="eastAsia" w:eastAsia="宋体"/>
                      <w:szCs w:val="21"/>
                      <w:lang w:eastAsia="zh-CN"/>
                    </w:rPr>
                  </w:pPr>
                  <w:r>
                    <w:rPr>
                      <w:rFonts w:hint="eastAsia"/>
                      <w:lang w:eastAsia="zh-CN"/>
                    </w:rPr>
                    <w:t>遂宁广瑞汽车配件年产汽车内外装饰件105万件生产线项目</w:t>
                  </w:r>
                </w:p>
              </w:tc>
            </w:tr>
            <w:tr w14:paraId="2DCACF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74" w:type="pct"/>
                  <w:vAlign w:val="center"/>
                </w:tcPr>
                <w:p w14:paraId="58F54F2E">
                  <w:pPr>
                    <w:jc w:val="center"/>
                    <w:rPr>
                      <w:szCs w:val="21"/>
                    </w:rPr>
                  </w:pPr>
                  <w:r>
                    <w:rPr>
                      <w:szCs w:val="21"/>
                    </w:rPr>
                    <w:t>建设地点</w:t>
                  </w:r>
                </w:p>
              </w:tc>
              <w:tc>
                <w:tcPr>
                  <w:tcW w:w="4026" w:type="pct"/>
                  <w:gridSpan w:val="4"/>
                  <w:vAlign w:val="center"/>
                </w:tcPr>
                <w:p w14:paraId="64B97DDD">
                  <w:pPr>
                    <w:jc w:val="center"/>
                    <w:rPr>
                      <w:rFonts w:hint="eastAsia" w:eastAsia="宋体"/>
                      <w:szCs w:val="21"/>
                      <w:lang w:eastAsia="zh-CN"/>
                    </w:rPr>
                  </w:pPr>
                  <w:r>
                    <w:rPr>
                      <w:rFonts w:hint="eastAsia"/>
                      <w:lang w:eastAsia="zh-CN"/>
                    </w:rPr>
                    <w:t>四川省遂宁市蓬溪县赤城镇上游工业园区拓展区11号F地块</w:t>
                  </w:r>
                </w:p>
              </w:tc>
            </w:tr>
            <w:tr w14:paraId="4845A6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74" w:type="pct"/>
                  <w:vAlign w:val="center"/>
                </w:tcPr>
                <w:p w14:paraId="1FE5667D">
                  <w:pPr>
                    <w:jc w:val="center"/>
                    <w:rPr>
                      <w:szCs w:val="21"/>
                    </w:rPr>
                  </w:pPr>
                  <w:r>
                    <w:rPr>
                      <w:szCs w:val="21"/>
                    </w:rPr>
                    <w:t>地理坐标</w:t>
                  </w:r>
                </w:p>
              </w:tc>
              <w:tc>
                <w:tcPr>
                  <w:tcW w:w="431" w:type="pct"/>
                  <w:vAlign w:val="center"/>
                </w:tcPr>
                <w:p w14:paraId="1934B74D">
                  <w:pPr>
                    <w:jc w:val="center"/>
                    <w:rPr>
                      <w:szCs w:val="21"/>
                    </w:rPr>
                  </w:pPr>
                  <w:r>
                    <w:rPr>
                      <w:szCs w:val="21"/>
                    </w:rPr>
                    <w:t>经度</w:t>
                  </w:r>
                </w:p>
              </w:tc>
              <w:tc>
                <w:tcPr>
                  <w:tcW w:w="1646" w:type="pct"/>
                  <w:vAlign w:val="center"/>
                </w:tcPr>
                <w:p w14:paraId="6F3DE3B2">
                  <w:pPr>
                    <w:rPr>
                      <w:szCs w:val="21"/>
                    </w:rPr>
                  </w:pPr>
                  <w:r>
                    <w:rPr>
                      <w:szCs w:val="21"/>
                    </w:rPr>
                    <w:t>东经</w:t>
                  </w:r>
                  <w:r>
                    <w:rPr>
                      <w:rFonts w:hint="eastAsia"/>
                      <w:szCs w:val="21"/>
                    </w:rPr>
                    <w:t>104</w:t>
                  </w:r>
                  <w:r>
                    <w:rPr>
                      <w:szCs w:val="21"/>
                    </w:rPr>
                    <w:t>度</w:t>
                  </w:r>
                  <w:r>
                    <w:rPr>
                      <w:rFonts w:hint="eastAsia"/>
                      <w:szCs w:val="21"/>
                      <w:lang w:val="en-US" w:eastAsia="zh-CN"/>
                    </w:rPr>
                    <w:t>40</w:t>
                  </w:r>
                  <w:r>
                    <w:rPr>
                      <w:szCs w:val="21"/>
                    </w:rPr>
                    <w:t>分</w:t>
                  </w:r>
                  <w:r>
                    <w:rPr>
                      <w:rFonts w:hint="eastAsia"/>
                      <w:szCs w:val="21"/>
                    </w:rPr>
                    <w:t>44.150</w:t>
                  </w:r>
                  <w:r>
                    <w:rPr>
                      <w:szCs w:val="21"/>
                    </w:rPr>
                    <w:t xml:space="preserve">秒， </w:t>
                  </w:r>
                </w:p>
              </w:tc>
              <w:tc>
                <w:tcPr>
                  <w:tcW w:w="344" w:type="pct"/>
                  <w:vAlign w:val="center"/>
                </w:tcPr>
                <w:p w14:paraId="1321B48A">
                  <w:pPr>
                    <w:jc w:val="center"/>
                    <w:rPr>
                      <w:szCs w:val="21"/>
                    </w:rPr>
                  </w:pPr>
                  <w:r>
                    <w:rPr>
                      <w:szCs w:val="21"/>
                    </w:rPr>
                    <w:t>纬度</w:t>
                  </w:r>
                </w:p>
              </w:tc>
              <w:tc>
                <w:tcPr>
                  <w:tcW w:w="1605" w:type="pct"/>
                  <w:vAlign w:val="center"/>
                </w:tcPr>
                <w:p w14:paraId="4DB16FF7">
                  <w:pPr>
                    <w:jc w:val="center"/>
                    <w:rPr>
                      <w:szCs w:val="21"/>
                    </w:rPr>
                  </w:pPr>
                  <w:r>
                    <w:rPr>
                      <w:szCs w:val="21"/>
                    </w:rPr>
                    <w:t>北纬</w:t>
                  </w:r>
                  <w:r>
                    <w:rPr>
                      <w:rFonts w:hint="eastAsia"/>
                      <w:szCs w:val="21"/>
                    </w:rPr>
                    <w:t>30</w:t>
                  </w:r>
                  <w:r>
                    <w:rPr>
                      <w:szCs w:val="21"/>
                    </w:rPr>
                    <w:t>度</w:t>
                  </w:r>
                  <w:r>
                    <w:rPr>
                      <w:rFonts w:hint="eastAsia"/>
                      <w:szCs w:val="21"/>
                      <w:lang w:val="en-US" w:eastAsia="zh-CN"/>
                    </w:rPr>
                    <w:t>44</w:t>
                  </w:r>
                  <w:r>
                    <w:rPr>
                      <w:szCs w:val="21"/>
                    </w:rPr>
                    <w:t>分</w:t>
                  </w:r>
                  <w:r>
                    <w:rPr>
                      <w:rFonts w:hint="eastAsia"/>
                      <w:szCs w:val="21"/>
                    </w:rPr>
                    <w:t>37.833</w:t>
                  </w:r>
                  <w:r>
                    <w:rPr>
                      <w:szCs w:val="21"/>
                    </w:rPr>
                    <w:t>秒</w:t>
                  </w:r>
                </w:p>
              </w:tc>
            </w:tr>
            <w:tr w14:paraId="490311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74" w:type="pct"/>
                  <w:vAlign w:val="center"/>
                </w:tcPr>
                <w:p w14:paraId="799CF2C0">
                  <w:pPr>
                    <w:jc w:val="center"/>
                    <w:rPr>
                      <w:szCs w:val="21"/>
                    </w:rPr>
                  </w:pPr>
                  <w:r>
                    <w:rPr>
                      <w:szCs w:val="21"/>
                    </w:rPr>
                    <w:t>主要危险物质及分布</w:t>
                  </w:r>
                </w:p>
              </w:tc>
              <w:tc>
                <w:tcPr>
                  <w:tcW w:w="4026" w:type="pct"/>
                  <w:gridSpan w:val="4"/>
                  <w:vAlign w:val="center"/>
                </w:tcPr>
                <w:p w14:paraId="0433A8CE">
                  <w:pPr>
                    <w:rPr>
                      <w:szCs w:val="21"/>
                    </w:rPr>
                  </w:pPr>
                  <w:r>
                    <w:rPr>
                      <w:rFonts w:hint="eastAsia"/>
                      <w:sz w:val="21"/>
                      <w:szCs w:val="21"/>
                      <w:lang w:val="en-US" w:eastAsia="zh-CN"/>
                    </w:rPr>
                    <w:t>油漆</w:t>
                  </w:r>
                  <w:r>
                    <w:rPr>
                      <w:sz w:val="21"/>
                      <w:szCs w:val="21"/>
                    </w:rPr>
                    <w:t>、</w:t>
                  </w:r>
                  <w:r>
                    <w:rPr>
                      <w:rFonts w:hint="eastAsia"/>
                      <w:sz w:val="21"/>
                      <w:szCs w:val="21"/>
                      <w:lang w:val="en-US" w:eastAsia="zh-CN"/>
                    </w:rPr>
                    <w:t>稀释剂</w:t>
                  </w:r>
                  <w:r>
                    <w:rPr>
                      <w:sz w:val="21"/>
                      <w:szCs w:val="21"/>
                    </w:rPr>
                    <w:t>、</w:t>
                  </w:r>
                  <w:r>
                    <w:rPr>
                      <w:rFonts w:hint="eastAsia"/>
                      <w:sz w:val="21"/>
                      <w:szCs w:val="21"/>
                      <w:lang w:val="en-US" w:eastAsia="zh-CN"/>
                    </w:rPr>
                    <w:t>固化剂</w:t>
                  </w:r>
                  <w:r>
                    <w:rPr>
                      <w:sz w:val="21"/>
                      <w:szCs w:val="21"/>
                    </w:rPr>
                    <w:t>以及危废暂存间暂存废油类物质</w:t>
                  </w:r>
                  <w:r>
                    <w:rPr>
                      <w:rFonts w:hint="eastAsia"/>
                      <w:szCs w:val="21"/>
                    </w:rPr>
                    <w:t>。</w:t>
                  </w:r>
                </w:p>
              </w:tc>
            </w:tr>
            <w:tr w14:paraId="47DDD2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4" w:type="pct"/>
                  <w:vAlign w:val="center"/>
                </w:tcPr>
                <w:p w14:paraId="7640A529">
                  <w:pPr>
                    <w:jc w:val="center"/>
                    <w:rPr>
                      <w:szCs w:val="21"/>
                    </w:rPr>
                  </w:pPr>
                  <w:r>
                    <w:rPr>
                      <w:szCs w:val="21"/>
                    </w:rPr>
                    <w:t xml:space="preserve">环境影响途径及危害后果 </w:t>
                  </w:r>
                </w:p>
              </w:tc>
              <w:tc>
                <w:tcPr>
                  <w:tcW w:w="4026" w:type="pct"/>
                  <w:gridSpan w:val="4"/>
                  <w:vAlign w:val="center"/>
                </w:tcPr>
                <w:p w14:paraId="4A80A75B">
                  <w:pPr>
                    <w:rPr>
                      <w:szCs w:val="21"/>
                    </w:rPr>
                  </w:pPr>
                  <w:r>
                    <w:rPr>
                      <w:rFonts w:hint="eastAsia"/>
                      <w:szCs w:val="21"/>
                    </w:rPr>
                    <w:t>详见上文“</w:t>
                  </w:r>
                  <w:r>
                    <w:rPr>
                      <w:rFonts w:hint="eastAsia"/>
                      <w:szCs w:val="21"/>
                      <w:lang w:val="en-US" w:eastAsia="zh-CN"/>
                    </w:rPr>
                    <w:t>七、</w:t>
                  </w:r>
                  <w:r>
                    <w:rPr>
                      <w:rFonts w:hint="eastAsia"/>
                      <w:szCs w:val="21"/>
                    </w:rPr>
                    <w:t>环境风险</w:t>
                  </w:r>
                  <w:r>
                    <w:rPr>
                      <w:rFonts w:hint="eastAsia"/>
                      <w:szCs w:val="21"/>
                      <w:lang w:val="en-US" w:eastAsia="zh-CN"/>
                    </w:rPr>
                    <w:t>2、</w:t>
                  </w:r>
                  <w:r>
                    <w:rPr>
                      <w:rFonts w:hint="eastAsia"/>
                      <w:szCs w:val="21"/>
                    </w:rPr>
                    <w:t>环境风险识别”</w:t>
                  </w:r>
                  <w:r>
                    <w:rPr>
                      <w:szCs w:val="21"/>
                    </w:rPr>
                    <w:t>。</w:t>
                  </w:r>
                </w:p>
              </w:tc>
            </w:tr>
            <w:tr w14:paraId="227CED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74" w:type="pct"/>
                  <w:vAlign w:val="center"/>
                </w:tcPr>
                <w:p w14:paraId="2B35A6EF">
                  <w:pPr>
                    <w:jc w:val="center"/>
                    <w:rPr>
                      <w:szCs w:val="21"/>
                    </w:rPr>
                  </w:pPr>
                  <w:r>
                    <w:rPr>
                      <w:szCs w:val="21"/>
                    </w:rPr>
                    <w:t>风险防范措施要求</w:t>
                  </w:r>
                </w:p>
              </w:tc>
              <w:tc>
                <w:tcPr>
                  <w:tcW w:w="4026" w:type="pct"/>
                  <w:gridSpan w:val="4"/>
                  <w:vAlign w:val="center"/>
                </w:tcPr>
                <w:p w14:paraId="056AD34C">
                  <w:pPr>
                    <w:jc w:val="left"/>
                    <w:rPr>
                      <w:szCs w:val="21"/>
                    </w:rPr>
                  </w:pPr>
                  <w:r>
                    <w:rPr>
                      <w:rFonts w:hint="eastAsia"/>
                      <w:szCs w:val="21"/>
                    </w:rPr>
                    <w:t>详见上文“</w:t>
                  </w:r>
                  <w:r>
                    <w:rPr>
                      <w:rFonts w:hint="eastAsia"/>
                      <w:szCs w:val="21"/>
                      <w:lang w:val="en-US" w:eastAsia="zh-CN"/>
                    </w:rPr>
                    <w:t>七、</w:t>
                  </w:r>
                  <w:r>
                    <w:rPr>
                      <w:rFonts w:hint="eastAsia"/>
                      <w:szCs w:val="21"/>
                    </w:rPr>
                    <w:t>环境风险</w:t>
                  </w:r>
                  <w:r>
                    <w:rPr>
                      <w:rFonts w:hint="eastAsia"/>
                      <w:szCs w:val="21"/>
                      <w:lang w:val="en-US" w:eastAsia="zh-CN"/>
                    </w:rPr>
                    <w:t>3、</w:t>
                  </w:r>
                  <w:r>
                    <w:rPr>
                      <w:rFonts w:hint="eastAsia"/>
                      <w:szCs w:val="21"/>
                    </w:rPr>
                    <w:t>风险防范措施”</w:t>
                  </w:r>
                  <w:r>
                    <w:rPr>
                      <w:szCs w:val="21"/>
                    </w:rPr>
                    <w:t>。</w:t>
                  </w:r>
                </w:p>
              </w:tc>
            </w:tr>
            <w:tr w14:paraId="39F727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000" w:type="pct"/>
                  <w:gridSpan w:val="5"/>
                  <w:vAlign w:val="center"/>
                </w:tcPr>
                <w:p w14:paraId="1CF09734">
                  <w:pPr>
                    <w:jc w:val="center"/>
                    <w:rPr>
                      <w:szCs w:val="21"/>
                    </w:rPr>
                  </w:pPr>
                  <w:r>
                    <w:rPr>
                      <w:kern w:val="0"/>
                      <w:szCs w:val="21"/>
                    </w:rPr>
                    <w:t>填表说明：</w:t>
                  </w:r>
                  <w:r>
                    <w:t>本项目主要危险物质为</w:t>
                  </w:r>
                  <w:r>
                    <w:rPr>
                      <w:rFonts w:hint="eastAsia"/>
                      <w:sz w:val="21"/>
                      <w:szCs w:val="21"/>
                      <w:lang w:val="en-US" w:eastAsia="zh-CN"/>
                    </w:rPr>
                    <w:t>油漆</w:t>
                  </w:r>
                  <w:r>
                    <w:rPr>
                      <w:sz w:val="21"/>
                      <w:szCs w:val="21"/>
                    </w:rPr>
                    <w:t>、</w:t>
                  </w:r>
                  <w:r>
                    <w:rPr>
                      <w:rFonts w:hint="eastAsia"/>
                      <w:sz w:val="21"/>
                      <w:szCs w:val="21"/>
                      <w:lang w:val="en-US" w:eastAsia="zh-CN"/>
                    </w:rPr>
                    <w:t>稀释剂</w:t>
                  </w:r>
                  <w:r>
                    <w:rPr>
                      <w:sz w:val="21"/>
                      <w:szCs w:val="21"/>
                    </w:rPr>
                    <w:t>、</w:t>
                  </w:r>
                  <w:r>
                    <w:rPr>
                      <w:rFonts w:hint="eastAsia"/>
                      <w:sz w:val="21"/>
                      <w:szCs w:val="21"/>
                      <w:lang w:val="en-US" w:eastAsia="zh-CN"/>
                    </w:rPr>
                    <w:t>固化剂</w:t>
                  </w:r>
                  <w:r>
                    <w:t>等化学品。主要分布在</w:t>
                  </w:r>
                  <w:r>
                    <w:rPr>
                      <w:rFonts w:hint="eastAsia"/>
                      <w:lang w:val="en-US" w:eastAsia="zh-CN"/>
                    </w:rPr>
                    <w:t>供漆室</w:t>
                  </w:r>
                  <w:r>
                    <w:t>和危废暂存间。本项目风险评价根据《建设项目环境风险评价技术导则》（HJ 169-2018）进行分析。危险化学品全厂最大储存量Q值＜</w:t>
                  </w:r>
                  <w:r>
                    <w:rPr>
                      <w:rFonts w:hint="eastAsia"/>
                    </w:rPr>
                    <w:t>1，</w:t>
                  </w:r>
                  <w:r>
                    <w:t>项目环境风险潜势为I，评价等级为简单分析。在落实了环评提出的风险防范措施后，环境风险可控，不会对周围环境造成较大风险</w:t>
                  </w:r>
                  <w:r>
                    <w:rPr>
                      <w:szCs w:val="21"/>
                    </w:rPr>
                    <w:t>。</w:t>
                  </w:r>
                </w:p>
              </w:tc>
            </w:tr>
          </w:tbl>
          <w:p w14:paraId="536A7B37">
            <w:pPr>
              <w:bidi w:val="0"/>
              <w:spacing w:line="360" w:lineRule="auto"/>
              <w:ind w:firstLine="422" w:firstLineChars="200"/>
              <w:rPr>
                <w:rFonts w:hint="default"/>
              </w:rPr>
            </w:pPr>
            <w:r>
              <w:rPr>
                <w:rFonts w:hint="eastAsia"/>
                <w:b/>
                <w:bCs/>
                <w:lang w:val="en-US" w:eastAsia="zh-CN"/>
              </w:rPr>
              <w:t>八</w:t>
            </w:r>
            <w:r>
              <w:rPr>
                <w:b/>
                <w:bCs/>
              </w:rPr>
              <w:t>、</w:t>
            </w:r>
            <w:r>
              <w:rPr>
                <w:rFonts w:hint="default"/>
                <w:b/>
                <w:bCs/>
              </w:rPr>
              <w:t>环保投资</w:t>
            </w:r>
          </w:p>
          <w:p w14:paraId="237C9FE5">
            <w:pPr>
              <w:bidi w:val="0"/>
              <w:spacing w:line="360" w:lineRule="auto"/>
              <w:ind w:firstLine="420" w:firstLineChars="200"/>
              <w:rPr>
                <w:rFonts w:hint="default"/>
              </w:rPr>
            </w:pPr>
            <w:r>
              <w:rPr>
                <w:rFonts w:hint="default"/>
              </w:rPr>
              <w:t>本项目总投资为</w:t>
            </w:r>
            <w:r>
              <w:rPr>
                <w:rFonts w:hint="eastAsia"/>
                <w:lang w:val="en-US" w:eastAsia="zh-CN"/>
              </w:rPr>
              <w:t>300</w:t>
            </w:r>
            <w:r>
              <w:rPr>
                <w:rFonts w:hint="default"/>
              </w:rPr>
              <w:t>万元，其中环保投资约为</w:t>
            </w:r>
            <w:r>
              <w:rPr>
                <w:rFonts w:hint="eastAsia"/>
                <w:color w:val="auto"/>
                <w:lang w:val="en-US" w:eastAsia="zh-CN"/>
              </w:rPr>
              <w:t>37.3</w:t>
            </w:r>
            <w:r>
              <w:rPr>
                <w:rFonts w:hint="default"/>
              </w:rPr>
              <w:t>万元，占总投资</w:t>
            </w:r>
            <w:r>
              <w:rPr>
                <w:rFonts w:hint="eastAsia"/>
                <w:color w:val="auto"/>
                <w:lang w:val="en-US" w:eastAsia="zh-CN"/>
              </w:rPr>
              <w:t>12.6</w:t>
            </w:r>
            <w:r>
              <w:rPr>
                <w:rFonts w:hint="default"/>
              </w:rPr>
              <w:t>%，环保措施及投资情况如下。</w:t>
            </w:r>
          </w:p>
          <w:p w14:paraId="25E1ACAC">
            <w:pPr>
              <w:bidi w:val="0"/>
              <w:spacing w:line="240" w:lineRule="auto"/>
              <w:jc w:val="center"/>
              <w:rPr>
                <w:rFonts w:hint="default"/>
              </w:rPr>
            </w:pPr>
            <w:r>
              <w:rPr>
                <w:rFonts w:hint="default"/>
                <w:b/>
                <w:bCs/>
              </w:rPr>
              <w:t>表</w:t>
            </w:r>
            <w:r>
              <w:rPr>
                <w:rFonts w:hint="eastAsia"/>
                <w:b/>
                <w:bCs/>
                <w:lang w:val="en-US" w:eastAsia="zh-CN"/>
              </w:rPr>
              <w:t>4-26</w:t>
            </w:r>
            <w:r>
              <w:rPr>
                <w:rFonts w:hint="default"/>
                <w:b/>
                <w:bCs/>
              </w:rPr>
              <w:t>主要环保设施及投资估算一览表</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585"/>
              <w:gridCol w:w="830"/>
              <w:gridCol w:w="4942"/>
              <w:gridCol w:w="1352"/>
              <w:gridCol w:w="1134"/>
            </w:tblGrid>
            <w:tr w14:paraId="6FF3C75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15" w:hRule="atLeast"/>
                <w:jc w:val="center"/>
              </w:trPr>
              <w:tc>
                <w:tcPr>
                  <w:tcW w:w="800" w:type="pct"/>
                  <w:gridSpan w:val="2"/>
                  <w:noWrap w:val="0"/>
                  <w:vAlign w:val="center"/>
                </w:tcPr>
                <w:p w14:paraId="09A41C62">
                  <w:pPr>
                    <w:widowControl/>
                    <w:spacing w:line="240" w:lineRule="auto"/>
                    <w:jc w:val="center"/>
                    <w:rPr>
                      <w:b/>
                      <w:kern w:val="0"/>
                      <w:szCs w:val="21"/>
                    </w:rPr>
                  </w:pPr>
                  <w:r>
                    <w:rPr>
                      <w:b/>
                      <w:spacing w:val="-1"/>
                      <w:kern w:val="0"/>
                      <w:szCs w:val="21"/>
                    </w:rPr>
                    <w:t>环保项目</w:t>
                  </w:r>
                </w:p>
              </w:tc>
              <w:tc>
                <w:tcPr>
                  <w:tcW w:w="2793" w:type="pct"/>
                  <w:noWrap w:val="0"/>
                  <w:vAlign w:val="center"/>
                </w:tcPr>
                <w:p w14:paraId="06A05056">
                  <w:pPr>
                    <w:widowControl/>
                    <w:spacing w:line="240" w:lineRule="auto"/>
                    <w:jc w:val="center"/>
                    <w:rPr>
                      <w:b/>
                      <w:kern w:val="0"/>
                      <w:szCs w:val="21"/>
                    </w:rPr>
                  </w:pPr>
                  <w:r>
                    <w:rPr>
                      <w:b/>
                      <w:kern w:val="0"/>
                      <w:szCs w:val="21"/>
                    </w:rPr>
                    <w:t>环保措施</w:t>
                  </w:r>
                </w:p>
              </w:tc>
              <w:tc>
                <w:tcPr>
                  <w:tcW w:w="764" w:type="pct"/>
                  <w:noWrap w:val="0"/>
                  <w:vAlign w:val="center"/>
                </w:tcPr>
                <w:p w14:paraId="446D1A2E">
                  <w:pPr>
                    <w:widowControl/>
                    <w:spacing w:line="240" w:lineRule="auto"/>
                    <w:jc w:val="center"/>
                    <w:rPr>
                      <w:b/>
                      <w:kern w:val="0"/>
                      <w:szCs w:val="21"/>
                    </w:rPr>
                  </w:pPr>
                  <w:r>
                    <w:rPr>
                      <w:b/>
                      <w:spacing w:val="-1"/>
                      <w:kern w:val="0"/>
                      <w:szCs w:val="21"/>
                    </w:rPr>
                    <w:t>预计金额</w:t>
                  </w:r>
                </w:p>
                <w:p w14:paraId="062B9E91">
                  <w:pPr>
                    <w:widowControl/>
                    <w:spacing w:line="240" w:lineRule="auto"/>
                    <w:jc w:val="center"/>
                    <w:rPr>
                      <w:b/>
                      <w:kern w:val="0"/>
                      <w:szCs w:val="21"/>
                    </w:rPr>
                  </w:pPr>
                  <w:r>
                    <w:rPr>
                      <w:b/>
                      <w:kern w:val="0"/>
                      <w:szCs w:val="21"/>
                    </w:rPr>
                    <w:t>（万元）</w:t>
                  </w:r>
                </w:p>
              </w:tc>
              <w:tc>
                <w:tcPr>
                  <w:tcW w:w="641" w:type="pct"/>
                  <w:noWrap w:val="0"/>
                  <w:vAlign w:val="center"/>
                </w:tcPr>
                <w:p w14:paraId="7F927B1F">
                  <w:pPr>
                    <w:widowControl/>
                    <w:spacing w:line="240" w:lineRule="auto"/>
                    <w:jc w:val="center"/>
                    <w:rPr>
                      <w:b/>
                      <w:kern w:val="0"/>
                      <w:szCs w:val="21"/>
                    </w:rPr>
                  </w:pPr>
                  <w:r>
                    <w:rPr>
                      <w:b/>
                      <w:spacing w:val="-1"/>
                      <w:kern w:val="0"/>
                      <w:szCs w:val="21"/>
                    </w:rPr>
                    <w:t>备注</w:t>
                  </w:r>
                </w:p>
              </w:tc>
            </w:tr>
            <w:tr w14:paraId="0C3AE7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16" w:hRule="atLeast"/>
                <w:jc w:val="center"/>
              </w:trPr>
              <w:tc>
                <w:tcPr>
                  <w:tcW w:w="331" w:type="pct"/>
                  <w:vMerge w:val="restart"/>
                  <w:noWrap w:val="0"/>
                  <w:vAlign w:val="center"/>
                </w:tcPr>
                <w:p w14:paraId="3DFE3258">
                  <w:pPr>
                    <w:widowControl/>
                    <w:spacing w:line="240" w:lineRule="auto"/>
                    <w:jc w:val="center"/>
                    <w:rPr>
                      <w:kern w:val="0"/>
                      <w:szCs w:val="21"/>
                    </w:rPr>
                  </w:pPr>
                  <w:r>
                    <w:rPr>
                      <w:kern w:val="0"/>
                      <w:szCs w:val="21"/>
                    </w:rPr>
                    <w:t>水污染防治</w:t>
                  </w:r>
                </w:p>
              </w:tc>
              <w:tc>
                <w:tcPr>
                  <w:tcW w:w="469" w:type="pct"/>
                  <w:noWrap w:val="0"/>
                  <w:vAlign w:val="center"/>
                </w:tcPr>
                <w:p w14:paraId="41F58FA5">
                  <w:pPr>
                    <w:widowControl/>
                    <w:spacing w:line="240" w:lineRule="auto"/>
                    <w:jc w:val="center"/>
                    <w:rPr>
                      <w:bCs/>
                      <w:spacing w:val="-1"/>
                      <w:kern w:val="0"/>
                      <w:szCs w:val="21"/>
                    </w:rPr>
                  </w:pPr>
                  <w:r>
                    <w:rPr>
                      <w:bCs/>
                      <w:spacing w:val="-1"/>
                      <w:kern w:val="0"/>
                      <w:szCs w:val="21"/>
                    </w:rPr>
                    <w:t>施工期</w:t>
                  </w:r>
                </w:p>
              </w:tc>
              <w:tc>
                <w:tcPr>
                  <w:tcW w:w="2793" w:type="pct"/>
                  <w:noWrap w:val="0"/>
                  <w:vAlign w:val="center"/>
                </w:tcPr>
                <w:p w14:paraId="5CB86B85">
                  <w:pPr>
                    <w:widowControl/>
                    <w:spacing w:line="240" w:lineRule="auto"/>
                    <w:jc w:val="both"/>
                    <w:rPr>
                      <w:b/>
                      <w:kern w:val="0"/>
                      <w:szCs w:val="21"/>
                    </w:rPr>
                  </w:pPr>
                  <w:r>
                    <w:rPr>
                      <w:kern w:val="0"/>
                      <w:szCs w:val="21"/>
                    </w:rPr>
                    <w:t>施工期产生的生活废水</w:t>
                  </w:r>
                  <w:r>
                    <w:rPr>
                      <w:rFonts w:hint="eastAsia"/>
                      <w:kern w:val="0"/>
                      <w:szCs w:val="21"/>
                    </w:rPr>
                    <w:t>经</w:t>
                  </w:r>
                  <w:r>
                    <w:rPr>
                      <w:rFonts w:hint="eastAsia" w:ascii="Times New Roman" w:hAnsi="Times New Roman" w:cs="Times New Roman"/>
                      <w:sz w:val="21"/>
                      <w:szCs w:val="21"/>
                      <w:lang w:val="en-US" w:eastAsia="zh-CN"/>
                    </w:rPr>
                    <w:t>万象壹品门业</w:t>
                  </w:r>
                  <w:r>
                    <w:rPr>
                      <w:rFonts w:hint="eastAsia"/>
                      <w:kern w:val="0"/>
                      <w:szCs w:val="21"/>
                      <w:lang w:val="en-US" w:eastAsia="zh-CN"/>
                    </w:rPr>
                    <w:t>既有</w:t>
                  </w:r>
                  <w:r>
                    <w:rPr>
                      <w:rFonts w:hint="eastAsia"/>
                      <w:kern w:val="0"/>
                      <w:szCs w:val="21"/>
                    </w:rPr>
                    <w:t>生活废水收集设施收集处理后排入市政污水管网</w:t>
                  </w:r>
                  <w:r>
                    <w:rPr>
                      <w:kern w:val="0"/>
                      <w:szCs w:val="21"/>
                    </w:rPr>
                    <w:t>送蓬溪经开区污水处理厂处理</w:t>
                  </w:r>
                </w:p>
              </w:tc>
              <w:tc>
                <w:tcPr>
                  <w:tcW w:w="764" w:type="pct"/>
                  <w:noWrap w:val="0"/>
                  <w:vAlign w:val="center"/>
                </w:tcPr>
                <w:p w14:paraId="1E8D6465">
                  <w:pPr>
                    <w:widowControl/>
                    <w:spacing w:line="240" w:lineRule="auto"/>
                    <w:jc w:val="center"/>
                    <w:rPr>
                      <w:rFonts w:hint="eastAsia" w:eastAsia="宋体"/>
                      <w:b/>
                      <w:kern w:val="0"/>
                      <w:szCs w:val="21"/>
                      <w:lang w:eastAsia="zh-CN"/>
                    </w:rPr>
                  </w:pPr>
                  <w:r>
                    <w:rPr>
                      <w:rFonts w:hint="eastAsia"/>
                      <w:kern w:val="0"/>
                      <w:szCs w:val="21"/>
                      <w:lang w:val="en-US" w:eastAsia="zh-CN"/>
                    </w:rPr>
                    <w:t>/</w:t>
                  </w:r>
                </w:p>
              </w:tc>
              <w:tc>
                <w:tcPr>
                  <w:tcW w:w="641" w:type="pct"/>
                  <w:vMerge w:val="restart"/>
                  <w:noWrap w:val="0"/>
                  <w:vAlign w:val="center"/>
                </w:tcPr>
                <w:p w14:paraId="1BD3822A">
                  <w:pPr>
                    <w:widowControl/>
                    <w:spacing w:line="240" w:lineRule="auto"/>
                    <w:jc w:val="center"/>
                    <w:rPr>
                      <w:rFonts w:hint="default" w:eastAsia="宋体"/>
                      <w:b w:val="0"/>
                      <w:bCs/>
                      <w:spacing w:val="-1"/>
                      <w:kern w:val="0"/>
                      <w:szCs w:val="21"/>
                      <w:lang w:val="en-US" w:eastAsia="zh-CN"/>
                    </w:rPr>
                  </w:pPr>
                  <w:r>
                    <w:rPr>
                      <w:rFonts w:hint="eastAsia"/>
                      <w:b w:val="0"/>
                      <w:bCs/>
                      <w:spacing w:val="-1"/>
                      <w:kern w:val="0"/>
                      <w:szCs w:val="21"/>
                      <w:lang w:val="en-US" w:eastAsia="zh-CN"/>
                    </w:rPr>
                    <w:t>依托</w:t>
                  </w:r>
                  <w:r>
                    <w:rPr>
                      <w:rFonts w:hint="eastAsia" w:ascii="Times New Roman" w:hAnsi="Times New Roman" w:cs="Times New Roman"/>
                      <w:sz w:val="21"/>
                      <w:szCs w:val="21"/>
                      <w:lang w:val="en-US" w:eastAsia="zh-CN"/>
                    </w:rPr>
                    <w:t>万象壹品门业</w:t>
                  </w:r>
                  <w:r>
                    <w:rPr>
                      <w:rFonts w:hint="eastAsia"/>
                      <w:b w:val="0"/>
                      <w:bCs/>
                      <w:spacing w:val="-1"/>
                      <w:kern w:val="0"/>
                      <w:szCs w:val="21"/>
                      <w:lang w:val="en-US" w:eastAsia="zh-CN"/>
                    </w:rPr>
                    <w:t>既有生活废水处理设施</w:t>
                  </w:r>
                </w:p>
              </w:tc>
            </w:tr>
            <w:tr w14:paraId="3C4EA7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38" w:hRule="atLeast"/>
                <w:jc w:val="center"/>
              </w:trPr>
              <w:tc>
                <w:tcPr>
                  <w:tcW w:w="331" w:type="pct"/>
                  <w:vMerge w:val="continue"/>
                  <w:noWrap w:val="0"/>
                  <w:vAlign w:val="center"/>
                </w:tcPr>
                <w:p w14:paraId="01707408">
                  <w:pPr>
                    <w:widowControl/>
                    <w:spacing w:line="240" w:lineRule="auto"/>
                    <w:jc w:val="left"/>
                    <w:rPr>
                      <w:kern w:val="0"/>
                      <w:szCs w:val="21"/>
                    </w:rPr>
                  </w:pPr>
                </w:p>
              </w:tc>
              <w:tc>
                <w:tcPr>
                  <w:tcW w:w="469" w:type="pct"/>
                  <w:vMerge w:val="restart"/>
                  <w:noWrap w:val="0"/>
                  <w:vAlign w:val="center"/>
                </w:tcPr>
                <w:p w14:paraId="11E8C646">
                  <w:pPr>
                    <w:widowControl/>
                    <w:spacing w:line="240" w:lineRule="auto"/>
                    <w:jc w:val="left"/>
                    <w:rPr>
                      <w:bCs/>
                      <w:kern w:val="0"/>
                      <w:szCs w:val="21"/>
                    </w:rPr>
                  </w:pPr>
                  <w:r>
                    <w:rPr>
                      <w:bCs/>
                      <w:spacing w:val="-1"/>
                      <w:kern w:val="0"/>
                      <w:szCs w:val="21"/>
                    </w:rPr>
                    <w:t>运营期</w:t>
                  </w:r>
                </w:p>
              </w:tc>
              <w:tc>
                <w:tcPr>
                  <w:tcW w:w="2793" w:type="pct"/>
                  <w:noWrap w:val="0"/>
                  <w:vAlign w:val="center"/>
                </w:tcPr>
                <w:p w14:paraId="5270EC1F">
                  <w:pPr>
                    <w:widowControl/>
                    <w:spacing w:line="240" w:lineRule="auto"/>
                    <w:rPr>
                      <w:kern w:val="0"/>
                      <w:szCs w:val="21"/>
                    </w:rPr>
                  </w:pPr>
                  <w:r>
                    <w:rPr>
                      <w:rFonts w:hint="eastAsia"/>
                      <w:kern w:val="0"/>
                      <w:szCs w:val="21"/>
                      <w:lang w:val="en-US" w:eastAsia="zh-CN"/>
                    </w:rPr>
                    <w:t>运营期</w:t>
                  </w:r>
                  <w:r>
                    <w:rPr>
                      <w:kern w:val="0"/>
                      <w:szCs w:val="21"/>
                    </w:rPr>
                    <w:t>产生的生活废水</w:t>
                  </w:r>
                  <w:r>
                    <w:rPr>
                      <w:rFonts w:hint="eastAsia"/>
                      <w:kern w:val="0"/>
                      <w:szCs w:val="21"/>
                      <w:lang w:eastAsia="zh-CN"/>
                    </w:rPr>
                    <w:t>、</w:t>
                  </w:r>
                  <w:r>
                    <w:rPr>
                      <w:rFonts w:hint="eastAsia"/>
                      <w:kern w:val="0"/>
                      <w:szCs w:val="21"/>
                      <w:lang w:val="en-US" w:eastAsia="zh-CN"/>
                    </w:rPr>
                    <w:t>地面清洁废水</w:t>
                  </w:r>
                  <w:r>
                    <w:rPr>
                      <w:rFonts w:hint="eastAsia"/>
                      <w:kern w:val="0"/>
                      <w:szCs w:val="21"/>
                    </w:rPr>
                    <w:t>经</w:t>
                  </w:r>
                  <w:r>
                    <w:rPr>
                      <w:rFonts w:hint="eastAsia" w:ascii="Times New Roman" w:hAnsi="Times New Roman" w:cs="Times New Roman"/>
                      <w:sz w:val="21"/>
                      <w:szCs w:val="21"/>
                      <w:lang w:val="en-US" w:eastAsia="zh-CN"/>
                    </w:rPr>
                    <w:t>万象壹品门业</w:t>
                  </w:r>
                  <w:r>
                    <w:rPr>
                      <w:rFonts w:hint="eastAsia"/>
                      <w:kern w:val="0"/>
                      <w:szCs w:val="21"/>
                      <w:lang w:val="en-US" w:eastAsia="zh-CN"/>
                    </w:rPr>
                    <w:t>既有</w:t>
                  </w:r>
                  <w:r>
                    <w:rPr>
                      <w:rFonts w:hint="eastAsia"/>
                      <w:kern w:val="0"/>
                      <w:szCs w:val="21"/>
                    </w:rPr>
                    <w:t>生活废水收集设施收集处理后排入市政污水管网</w:t>
                  </w:r>
                  <w:r>
                    <w:rPr>
                      <w:kern w:val="0"/>
                      <w:szCs w:val="21"/>
                    </w:rPr>
                    <w:t>送蓬溪经开区污水处理厂处理</w:t>
                  </w:r>
                </w:p>
              </w:tc>
              <w:tc>
                <w:tcPr>
                  <w:tcW w:w="764" w:type="pct"/>
                  <w:noWrap w:val="0"/>
                  <w:vAlign w:val="center"/>
                </w:tcPr>
                <w:p w14:paraId="0F8C29FA">
                  <w:pPr>
                    <w:widowControl/>
                    <w:spacing w:line="240" w:lineRule="auto"/>
                    <w:jc w:val="center"/>
                    <w:rPr>
                      <w:rFonts w:hint="eastAsia" w:eastAsia="宋体"/>
                      <w:kern w:val="0"/>
                      <w:szCs w:val="21"/>
                      <w:lang w:eastAsia="zh-CN"/>
                    </w:rPr>
                  </w:pPr>
                  <w:r>
                    <w:rPr>
                      <w:rFonts w:hint="eastAsia"/>
                      <w:kern w:val="0"/>
                      <w:szCs w:val="21"/>
                      <w:lang w:val="en-US" w:eastAsia="zh-CN"/>
                    </w:rPr>
                    <w:t>/</w:t>
                  </w:r>
                </w:p>
              </w:tc>
              <w:tc>
                <w:tcPr>
                  <w:tcW w:w="641" w:type="pct"/>
                  <w:vMerge w:val="continue"/>
                  <w:noWrap w:val="0"/>
                  <w:vAlign w:val="center"/>
                </w:tcPr>
                <w:p w14:paraId="5FB509E8">
                  <w:pPr>
                    <w:widowControl/>
                    <w:spacing w:line="240" w:lineRule="auto"/>
                    <w:jc w:val="center"/>
                    <w:rPr>
                      <w:kern w:val="0"/>
                      <w:szCs w:val="21"/>
                    </w:rPr>
                  </w:pPr>
                </w:p>
              </w:tc>
            </w:tr>
            <w:tr w14:paraId="3DB4F9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73" w:hRule="atLeast"/>
                <w:jc w:val="center"/>
              </w:trPr>
              <w:tc>
                <w:tcPr>
                  <w:tcW w:w="331" w:type="pct"/>
                  <w:vMerge w:val="continue"/>
                  <w:noWrap w:val="0"/>
                  <w:vAlign w:val="center"/>
                </w:tcPr>
                <w:p w14:paraId="2F1038EB">
                  <w:pPr>
                    <w:widowControl/>
                    <w:spacing w:line="240" w:lineRule="auto"/>
                    <w:jc w:val="left"/>
                    <w:rPr>
                      <w:kern w:val="0"/>
                      <w:szCs w:val="21"/>
                    </w:rPr>
                  </w:pPr>
                </w:p>
              </w:tc>
              <w:tc>
                <w:tcPr>
                  <w:tcW w:w="469" w:type="pct"/>
                  <w:vMerge w:val="continue"/>
                  <w:noWrap w:val="0"/>
                  <w:vAlign w:val="center"/>
                </w:tcPr>
                <w:p w14:paraId="359C911A">
                  <w:pPr>
                    <w:widowControl/>
                    <w:spacing w:line="240" w:lineRule="auto"/>
                    <w:jc w:val="left"/>
                    <w:rPr>
                      <w:bCs/>
                      <w:spacing w:val="-1"/>
                      <w:kern w:val="0"/>
                      <w:szCs w:val="21"/>
                    </w:rPr>
                  </w:pPr>
                </w:p>
              </w:tc>
              <w:tc>
                <w:tcPr>
                  <w:tcW w:w="2793" w:type="pct"/>
                  <w:noWrap w:val="0"/>
                  <w:vAlign w:val="center"/>
                </w:tcPr>
                <w:p w14:paraId="231C8F4A">
                  <w:pPr>
                    <w:widowControl/>
                    <w:spacing w:line="240" w:lineRule="auto"/>
                    <w:rPr>
                      <w:rFonts w:hint="default"/>
                      <w:kern w:val="0"/>
                      <w:szCs w:val="21"/>
                      <w:lang w:val="en-US" w:eastAsia="zh-CN"/>
                    </w:rPr>
                  </w:pPr>
                  <w:r>
                    <w:rPr>
                      <w:rFonts w:hint="eastAsia" w:ascii="Times New Roman" w:hAnsi="Times New Roman" w:eastAsia="宋体" w:cs="Times New Roman"/>
                      <w:lang w:val="en-US" w:eastAsia="zh-CN"/>
                    </w:rPr>
                    <w:t>设置循环冷却水池</w:t>
                  </w:r>
                  <w:r>
                    <w:rPr>
                      <w:rFonts w:hint="eastAsia" w:cs="Times New Roman"/>
                      <w:lang w:val="en-US" w:eastAsia="zh-CN"/>
                    </w:rPr>
                    <w:t>两</w:t>
                  </w:r>
                  <w:r>
                    <w:rPr>
                      <w:rFonts w:hint="eastAsia" w:ascii="Times New Roman" w:hAnsi="Times New Roman" w:eastAsia="宋体" w:cs="Times New Roman"/>
                      <w:lang w:val="en-US" w:eastAsia="zh-CN"/>
                    </w:rPr>
                    <w:t>处，容积</w:t>
                  </w:r>
                  <w:r>
                    <w:rPr>
                      <w:rFonts w:hint="eastAsia" w:cs="Times New Roman"/>
                      <w:lang w:val="en-US" w:eastAsia="zh-CN"/>
                    </w:rPr>
                    <w:t>分别</w:t>
                  </w:r>
                  <w:r>
                    <w:rPr>
                      <w:rFonts w:hint="eastAsia" w:cs="Times New Roman"/>
                      <w:color w:val="auto"/>
                      <w:lang w:val="en-US" w:eastAsia="zh-CN"/>
                    </w:rPr>
                    <w:t>为4</w:t>
                  </w:r>
                  <w:r>
                    <w:rPr>
                      <w:rFonts w:hint="default" w:ascii="Times New Roman" w:hAnsi="Times New Roman" w:eastAsia="宋体" w:cs="Times New Roman"/>
                      <w:color w:val="auto"/>
                      <w:lang w:val="en-US" w:eastAsia="zh-CN"/>
                    </w:rPr>
                    <w:t>m³</w:t>
                  </w:r>
                  <w:r>
                    <w:rPr>
                      <w:rFonts w:hint="eastAsia" w:cs="Times New Roman"/>
                      <w:color w:val="auto"/>
                      <w:lang w:val="en-US" w:eastAsia="zh-CN"/>
                    </w:rPr>
                    <w:t>、4</w:t>
                  </w:r>
                  <w:r>
                    <w:rPr>
                      <w:rFonts w:hint="default" w:ascii="Times New Roman" w:hAnsi="Times New Roman" w:eastAsia="宋体" w:cs="Times New Roman"/>
                      <w:color w:val="auto"/>
                      <w:lang w:val="en-US" w:eastAsia="zh-CN"/>
                    </w:rPr>
                    <w:t>m³</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冷却水</w:t>
                  </w:r>
                  <w:r>
                    <w:rPr>
                      <w:rFonts w:hint="eastAsia" w:ascii="Times New Roman" w:hAnsi="Times New Roman" w:eastAsia="宋体" w:cs="Times New Roman"/>
                      <w:color w:val="auto"/>
                      <w:sz w:val="21"/>
                      <w:szCs w:val="21"/>
                      <w:lang w:val="en-US" w:eastAsia="zh-CN"/>
                    </w:rPr>
                    <w:t>循环使用</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个月后更新排放1次</w:t>
                  </w:r>
                  <w:r>
                    <w:rPr>
                      <w:rFonts w:hint="eastAsia" w:ascii="Times New Roman" w:hAnsi="Times New Roman" w:eastAsia="宋体" w:cs="Times New Roman"/>
                      <w:lang w:val="en-US" w:eastAsia="zh-CN"/>
                    </w:rPr>
                    <w:t>。更新排放的废水与</w:t>
                  </w:r>
                  <w:r>
                    <w:rPr>
                      <w:rFonts w:hint="eastAsia" w:cs="Times New Roman"/>
                      <w:lang w:val="en-US" w:eastAsia="zh-CN"/>
                    </w:rPr>
                    <w:t>生活污水</w:t>
                  </w:r>
                  <w:r>
                    <w:rPr>
                      <w:rFonts w:hint="eastAsia" w:ascii="Times New Roman" w:hAnsi="Times New Roman" w:eastAsia="宋体" w:cs="Times New Roman"/>
                      <w:lang w:val="en-US" w:eastAsia="zh-CN"/>
                    </w:rPr>
                    <w:t>一起排入</w:t>
                  </w:r>
                  <w:r>
                    <w:rPr>
                      <w:rFonts w:hint="eastAsia" w:cs="Times New Roman"/>
                      <w:lang w:val="en-US" w:eastAsia="zh-CN"/>
                    </w:rPr>
                    <w:t>生活污水预处理池，进</w:t>
                  </w:r>
                  <w:r>
                    <w:rPr>
                      <w:rFonts w:hint="eastAsia" w:ascii="Times New Roman" w:hAnsi="Times New Roman" w:eastAsia="宋体" w:cs="Times New Roman"/>
                      <w:lang w:val="en-US" w:eastAsia="zh-CN"/>
                    </w:rPr>
                    <w:t>入市政污水管网送蓬溪县经开区污水处理厂处理。</w:t>
                  </w:r>
                </w:p>
              </w:tc>
              <w:tc>
                <w:tcPr>
                  <w:tcW w:w="764" w:type="pct"/>
                  <w:noWrap w:val="0"/>
                  <w:vAlign w:val="center"/>
                </w:tcPr>
                <w:p w14:paraId="78B65CC1">
                  <w:pPr>
                    <w:widowControl/>
                    <w:spacing w:line="240" w:lineRule="auto"/>
                    <w:jc w:val="center"/>
                    <w:rPr>
                      <w:rFonts w:hint="default"/>
                      <w:kern w:val="0"/>
                      <w:szCs w:val="21"/>
                      <w:lang w:val="en-US" w:eastAsia="zh-CN"/>
                    </w:rPr>
                  </w:pPr>
                  <w:r>
                    <w:rPr>
                      <w:rFonts w:hint="eastAsia"/>
                      <w:kern w:val="0"/>
                      <w:szCs w:val="21"/>
                      <w:lang w:val="en-US" w:eastAsia="zh-CN"/>
                    </w:rPr>
                    <w:t>3</w:t>
                  </w:r>
                </w:p>
              </w:tc>
              <w:tc>
                <w:tcPr>
                  <w:tcW w:w="641" w:type="pct"/>
                  <w:noWrap w:val="0"/>
                  <w:vAlign w:val="center"/>
                </w:tcPr>
                <w:p w14:paraId="55CB73C8">
                  <w:pPr>
                    <w:widowControl/>
                    <w:spacing w:line="240" w:lineRule="auto"/>
                    <w:jc w:val="center"/>
                    <w:rPr>
                      <w:rFonts w:hint="eastAsia" w:eastAsia="宋体"/>
                      <w:kern w:val="0"/>
                      <w:szCs w:val="21"/>
                      <w:lang w:val="en-US" w:eastAsia="zh-CN"/>
                    </w:rPr>
                  </w:pPr>
                  <w:r>
                    <w:rPr>
                      <w:rFonts w:hint="eastAsia"/>
                      <w:kern w:val="0"/>
                      <w:szCs w:val="21"/>
                      <w:lang w:val="en-US" w:eastAsia="zh-CN"/>
                    </w:rPr>
                    <w:t>/</w:t>
                  </w:r>
                </w:p>
              </w:tc>
            </w:tr>
            <w:tr w14:paraId="1ACD5F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1" w:hRule="atLeast"/>
                <w:jc w:val="center"/>
              </w:trPr>
              <w:tc>
                <w:tcPr>
                  <w:tcW w:w="331" w:type="pct"/>
                  <w:vMerge w:val="restart"/>
                  <w:noWrap w:val="0"/>
                  <w:vAlign w:val="center"/>
                </w:tcPr>
                <w:p w14:paraId="6504CEBD">
                  <w:pPr>
                    <w:widowControl/>
                    <w:spacing w:line="240" w:lineRule="auto"/>
                    <w:jc w:val="center"/>
                    <w:rPr>
                      <w:kern w:val="0"/>
                      <w:szCs w:val="21"/>
                    </w:rPr>
                  </w:pPr>
                  <w:r>
                    <w:rPr>
                      <w:spacing w:val="-1"/>
                      <w:kern w:val="0"/>
                      <w:szCs w:val="21"/>
                    </w:rPr>
                    <w:t>噪声</w:t>
                  </w:r>
                </w:p>
                <w:p w14:paraId="7D8D0F75">
                  <w:pPr>
                    <w:widowControl/>
                    <w:spacing w:line="240" w:lineRule="auto"/>
                    <w:jc w:val="center"/>
                    <w:rPr>
                      <w:kern w:val="0"/>
                      <w:szCs w:val="21"/>
                    </w:rPr>
                  </w:pPr>
                  <w:r>
                    <w:rPr>
                      <w:spacing w:val="-1"/>
                      <w:kern w:val="0"/>
                      <w:szCs w:val="21"/>
                    </w:rPr>
                    <w:t>防治</w:t>
                  </w:r>
                </w:p>
              </w:tc>
              <w:tc>
                <w:tcPr>
                  <w:tcW w:w="469" w:type="pct"/>
                  <w:noWrap w:val="0"/>
                  <w:vAlign w:val="center"/>
                </w:tcPr>
                <w:p w14:paraId="22CBAF1D">
                  <w:pPr>
                    <w:widowControl/>
                    <w:spacing w:line="240" w:lineRule="auto"/>
                    <w:jc w:val="center"/>
                    <w:rPr>
                      <w:spacing w:val="-1"/>
                      <w:kern w:val="0"/>
                      <w:szCs w:val="21"/>
                    </w:rPr>
                  </w:pPr>
                  <w:r>
                    <w:rPr>
                      <w:spacing w:val="-1"/>
                      <w:kern w:val="0"/>
                      <w:szCs w:val="21"/>
                    </w:rPr>
                    <w:t>施工期</w:t>
                  </w:r>
                </w:p>
              </w:tc>
              <w:tc>
                <w:tcPr>
                  <w:tcW w:w="2793" w:type="pct"/>
                  <w:noWrap w:val="0"/>
                  <w:vAlign w:val="center"/>
                </w:tcPr>
                <w:p w14:paraId="60828048">
                  <w:pPr>
                    <w:widowControl/>
                    <w:spacing w:line="240" w:lineRule="auto"/>
                    <w:jc w:val="left"/>
                    <w:rPr>
                      <w:kern w:val="0"/>
                      <w:szCs w:val="21"/>
                    </w:rPr>
                  </w:pPr>
                  <w:r>
                    <w:rPr>
                      <w:kern w:val="0"/>
                      <w:szCs w:val="21"/>
                    </w:rPr>
                    <w:t>合理安排工作时间，文明施工，高噪声施工应避开夜间及午休时间。</w:t>
                  </w:r>
                </w:p>
              </w:tc>
              <w:tc>
                <w:tcPr>
                  <w:tcW w:w="764" w:type="pct"/>
                  <w:vMerge w:val="restart"/>
                  <w:noWrap w:val="0"/>
                  <w:vAlign w:val="center"/>
                </w:tcPr>
                <w:p w14:paraId="065A85E5">
                  <w:pPr>
                    <w:widowControl/>
                    <w:spacing w:line="240" w:lineRule="auto"/>
                    <w:jc w:val="center"/>
                    <w:rPr>
                      <w:kern w:val="0"/>
                      <w:szCs w:val="21"/>
                    </w:rPr>
                  </w:pPr>
                  <w:r>
                    <w:rPr>
                      <w:kern w:val="0"/>
                      <w:szCs w:val="21"/>
                    </w:rPr>
                    <w:t>/</w:t>
                  </w:r>
                </w:p>
              </w:tc>
              <w:tc>
                <w:tcPr>
                  <w:tcW w:w="641" w:type="pct"/>
                  <w:vMerge w:val="restart"/>
                  <w:noWrap w:val="0"/>
                  <w:vAlign w:val="center"/>
                </w:tcPr>
                <w:p w14:paraId="797524E7">
                  <w:pPr>
                    <w:widowControl/>
                    <w:spacing w:line="240" w:lineRule="auto"/>
                    <w:jc w:val="center"/>
                    <w:rPr>
                      <w:kern w:val="0"/>
                      <w:szCs w:val="21"/>
                    </w:rPr>
                  </w:pPr>
                  <w:r>
                    <w:rPr>
                      <w:kern w:val="0"/>
                      <w:szCs w:val="21"/>
                    </w:rPr>
                    <w:t>/</w:t>
                  </w:r>
                </w:p>
              </w:tc>
            </w:tr>
            <w:tr w14:paraId="5E180F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6" w:hRule="atLeast"/>
                <w:jc w:val="center"/>
              </w:trPr>
              <w:tc>
                <w:tcPr>
                  <w:tcW w:w="331" w:type="pct"/>
                  <w:vMerge w:val="continue"/>
                  <w:noWrap w:val="0"/>
                  <w:vAlign w:val="center"/>
                </w:tcPr>
                <w:p w14:paraId="0BBCB25F">
                  <w:pPr>
                    <w:widowControl/>
                    <w:spacing w:line="240" w:lineRule="auto"/>
                    <w:jc w:val="center"/>
                  </w:pPr>
                </w:p>
              </w:tc>
              <w:tc>
                <w:tcPr>
                  <w:tcW w:w="469" w:type="pct"/>
                  <w:noWrap w:val="0"/>
                  <w:vAlign w:val="center"/>
                </w:tcPr>
                <w:p w14:paraId="18C75D41">
                  <w:pPr>
                    <w:widowControl/>
                    <w:spacing w:line="240" w:lineRule="auto"/>
                    <w:jc w:val="center"/>
                    <w:rPr>
                      <w:spacing w:val="-1"/>
                      <w:kern w:val="0"/>
                      <w:szCs w:val="21"/>
                    </w:rPr>
                  </w:pPr>
                  <w:r>
                    <w:rPr>
                      <w:spacing w:val="-1"/>
                      <w:kern w:val="0"/>
                      <w:szCs w:val="21"/>
                    </w:rPr>
                    <w:t>运营期</w:t>
                  </w:r>
                </w:p>
              </w:tc>
              <w:tc>
                <w:tcPr>
                  <w:tcW w:w="2793" w:type="pct"/>
                  <w:noWrap w:val="0"/>
                  <w:vAlign w:val="center"/>
                </w:tcPr>
                <w:p w14:paraId="2A4A0659">
                  <w:pPr>
                    <w:widowControl/>
                    <w:spacing w:line="240" w:lineRule="auto"/>
                    <w:jc w:val="left"/>
                    <w:rPr>
                      <w:kern w:val="0"/>
                      <w:szCs w:val="21"/>
                    </w:rPr>
                  </w:pPr>
                  <w:r>
                    <w:rPr>
                      <w:kern w:val="0"/>
                      <w:szCs w:val="21"/>
                    </w:rPr>
                    <w:t>选用低噪声设备、加强设备维护。</w:t>
                  </w:r>
                </w:p>
              </w:tc>
              <w:tc>
                <w:tcPr>
                  <w:tcW w:w="764" w:type="pct"/>
                  <w:vMerge w:val="continue"/>
                  <w:noWrap w:val="0"/>
                  <w:vAlign w:val="center"/>
                </w:tcPr>
                <w:p w14:paraId="2154CC18">
                  <w:pPr>
                    <w:widowControl/>
                    <w:spacing w:line="240" w:lineRule="auto"/>
                    <w:jc w:val="center"/>
                    <w:rPr>
                      <w:spacing w:val="-1"/>
                      <w:kern w:val="0"/>
                      <w:szCs w:val="21"/>
                    </w:rPr>
                  </w:pPr>
                </w:p>
              </w:tc>
              <w:tc>
                <w:tcPr>
                  <w:tcW w:w="641" w:type="pct"/>
                  <w:vMerge w:val="continue"/>
                  <w:noWrap w:val="0"/>
                  <w:vAlign w:val="center"/>
                </w:tcPr>
                <w:p w14:paraId="6290E9F1">
                  <w:pPr>
                    <w:widowControl/>
                    <w:spacing w:line="240" w:lineRule="auto"/>
                    <w:jc w:val="center"/>
                    <w:rPr>
                      <w:spacing w:val="-1"/>
                      <w:kern w:val="0"/>
                      <w:szCs w:val="21"/>
                    </w:rPr>
                  </w:pPr>
                </w:p>
              </w:tc>
            </w:tr>
            <w:tr w14:paraId="38398E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6" w:hRule="atLeast"/>
                <w:jc w:val="center"/>
              </w:trPr>
              <w:tc>
                <w:tcPr>
                  <w:tcW w:w="331" w:type="pct"/>
                  <w:vMerge w:val="restart"/>
                  <w:noWrap w:val="0"/>
                  <w:vAlign w:val="center"/>
                </w:tcPr>
                <w:p w14:paraId="62DDF797">
                  <w:pPr>
                    <w:widowControl/>
                    <w:spacing w:line="240" w:lineRule="auto"/>
                    <w:jc w:val="center"/>
                    <w:rPr>
                      <w:kern w:val="0"/>
                      <w:szCs w:val="21"/>
                    </w:rPr>
                  </w:pPr>
                  <w:r>
                    <w:rPr>
                      <w:spacing w:val="-1"/>
                      <w:kern w:val="0"/>
                      <w:szCs w:val="21"/>
                    </w:rPr>
                    <w:t>固废处置</w:t>
                  </w:r>
                </w:p>
              </w:tc>
              <w:tc>
                <w:tcPr>
                  <w:tcW w:w="469" w:type="pct"/>
                  <w:noWrap w:val="0"/>
                  <w:vAlign w:val="center"/>
                </w:tcPr>
                <w:p w14:paraId="43A34DFF">
                  <w:pPr>
                    <w:widowControl/>
                    <w:spacing w:line="240" w:lineRule="auto"/>
                    <w:jc w:val="center"/>
                    <w:rPr>
                      <w:spacing w:val="-1"/>
                      <w:kern w:val="0"/>
                      <w:szCs w:val="21"/>
                    </w:rPr>
                  </w:pPr>
                  <w:r>
                    <w:rPr>
                      <w:spacing w:val="-1"/>
                      <w:kern w:val="0"/>
                      <w:szCs w:val="21"/>
                    </w:rPr>
                    <w:t>施工期</w:t>
                  </w:r>
                </w:p>
              </w:tc>
              <w:tc>
                <w:tcPr>
                  <w:tcW w:w="2793" w:type="pct"/>
                  <w:noWrap w:val="0"/>
                  <w:vAlign w:val="center"/>
                </w:tcPr>
                <w:p w14:paraId="776259C0">
                  <w:pPr>
                    <w:widowControl/>
                    <w:spacing w:line="240" w:lineRule="auto"/>
                    <w:jc w:val="left"/>
                    <w:rPr>
                      <w:kern w:val="0"/>
                      <w:szCs w:val="21"/>
                    </w:rPr>
                  </w:pPr>
                  <w:r>
                    <w:rPr>
                      <w:kern w:val="0"/>
                      <w:szCs w:val="21"/>
                    </w:rPr>
                    <w:t>生活垃圾委托市政环卫部门统一处置。</w:t>
                  </w:r>
                </w:p>
              </w:tc>
              <w:tc>
                <w:tcPr>
                  <w:tcW w:w="764" w:type="pct"/>
                  <w:noWrap w:val="0"/>
                  <w:vAlign w:val="center"/>
                </w:tcPr>
                <w:p w14:paraId="60ACD50A">
                  <w:pPr>
                    <w:widowControl/>
                    <w:spacing w:line="240" w:lineRule="auto"/>
                    <w:jc w:val="center"/>
                    <w:rPr>
                      <w:rFonts w:hint="eastAsia"/>
                      <w:spacing w:val="-1"/>
                      <w:kern w:val="0"/>
                      <w:szCs w:val="21"/>
                    </w:rPr>
                  </w:pPr>
                  <w:r>
                    <w:rPr>
                      <w:rFonts w:hint="eastAsia"/>
                      <w:spacing w:val="-1"/>
                      <w:kern w:val="0"/>
                      <w:szCs w:val="21"/>
                    </w:rPr>
                    <w:t>/</w:t>
                  </w:r>
                </w:p>
              </w:tc>
              <w:tc>
                <w:tcPr>
                  <w:tcW w:w="641" w:type="pct"/>
                  <w:noWrap w:val="0"/>
                  <w:vAlign w:val="center"/>
                </w:tcPr>
                <w:p w14:paraId="70A907E4">
                  <w:pPr>
                    <w:widowControl/>
                    <w:spacing w:line="240" w:lineRule="auto"/>
                    <w:jc w:val="center"/>
                    <w:rPr>
                      <w:rFonts w:hint="eastAsia" w:eastAsia="宋体"/>
                      <w:spacing w:val="-1"/>
                      <w:kern w:val="0"/>
                      <w:szCs w:val="21"/>
                      <w:lang w:val="en-US" w:eastAsia="zh-CN"/>
                    </w:rPr>
                  </w:pPr>
                  <w:r>
                    <w:rPr>
                      <w:rFonts w:hint="eastAsia"/>
                      <w:spacing w:val="-1"/>
                      <w:kern w:val="0"/>
                      <w:szCs w:val="21"/>
                      <w:lang w:val="en-US" w:eastAsia="zh-CN"/>
                    </w:rPr>
                    <w:t>/</w:t>
                  </w:r>
                </w:p>
              </w:tc>
            </w:tr>
            <w:tr w14:paraId="5F1A03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39" w:hRule="atLeast"/>
                <w:jc w:val="center"/>
              </w:trPr>
              <w:tc>
                <w:tcPr>
                  <w:tcW w:w="331" w:type="pct"/>
                  <w:vMerge w:val="continue"/>
                  <w:noWrap w:val="0"/>
                  <w:vAlign w:val="center"/>
                </w:tcPr>
                <w:p w14:paraId="17173BF0">
                  <w:pPr>
                    <w:widowControl/>
                    <w:spacing w:line="240" w:lineRule="auto"/>
                    <w:jc w:val="center"/>
                    <w:rPr>
                      <w:kern w:val="0"/>
                      <w:szCs w:val="21"/>
                    </w:rPr>
                  </w:pPr>
                </w:p>
              </w:tc>
              <w:tc>
                <w:tcPr>
                  <w:tcW w:w="469" w:type="pct"/>
                  <w:vMerge w:val="restart"/>
                  <w:noWrap w:val="0"/>
                  <w:vAlign w:val="center"/>
                </w:tcPr>
                <w:p w14:paraId="65658EF5">
                  <w:pPr>
                    <w:widowControl/>
                    <w:spacing w:line="240" w:lineRule="auto"/>
                    <w:jc w:val="center"/>
                    <w:rPr>
                      <w:spacing w:val="-1"/>
                      <w:kern w:val="0"/>
                      <w:szCs w:val="21"/>
                    </w:rPr>
                  </w:pPr>
                  <w:r>
                    <w:rPr>
                      <w:spacing w:val="-1"/>
                      <w:kern w:val="0"/>
                      <w:szCs w:val="21"/>
                    </w:rPr>
                    <w:t>运营期</w:t>
                  </w:r>
                </w:p>
              </w:tc>
              <w:tc>
                <w:tcPr>
                  <w:tcW w:w="2793" w:type="pct"/>
                  <w:noWrap w:val="0"/>
                  <w:vAlign w:val="center"/>
                </w:tcPr>
                <w:p w14:paraId="40E9CE1C">
                  <w:pPr>
                    <w:widowControl/>
                    <w:spacing w:line="240" w:lineRule="auto"/>
                    <w:jc w:val="left"/>
                    <w:rPr>
                      <w:kern w:val="0"/>
                      <w:szCs w:val="21"/>
                    </w:rPr>
                  </w:pPr>
                  <w:r>
                    <w:rPr>
                      <w:kern w:val="0"/>
                      <w:szCs w:val="21"/>
                    </w:rPr>
                    <w:t>规范化建设危险废物暂存间约</w:t>
                  </w:r>
                  <w:r>
                    <w:rPr>
                      <w:rFonts w:hint="eastAsia"/>
                      <w:color w:val="auto"/>
                      <w:kern w:val="0"/>
                      <w:szCs w:val="21"/>
                      <w:lang w:val="en-US" w:eastAsia="zh-CN"/>
                    </w:rPr>
                    <w:t>23</w:t>
                  </w:r>
                  <w:r>
                    <w:rPr>
                      <w:rFonts w:hint="default" w:ascii="Times New Roman" w:hAnsi="Times New Roman" w:eastAsia="宋体" w:cs="Times New Roman"/>
                      <w:color w:val="auto"/>
                      <w:lang w:val="en-US" w:eastAsia="zh-CN"/>
                    </w:rPr>
                    <w:t>m³</w:t>
                  </w:r>
                  <w:r>
                    <w:rPr>
                      <w:kern w:val="0"/>
                      <w:szCs w:val="21"/>
                    </w:rPr>
                    <w:t>。危险废物分类收集后定期委托</w:t>
                  </w:r>
                  <w:r>
                    <w:rPr>
                      <w:rFonts w:hint="eastAsia"/>
                      <w:kern w:val="0"/>
                      <w:szCs w:val="21"/>
                      <w:lang w:val="en-US" w:eastAsia="zh-CN"/>
                    </w:rPr>
                    <w:t>有</w:t>
                  </w:r>
                  <w:r>
                    <w:rPr>
                      <w:kern w:val="0"/>
                      <w:szCs w:val="21"/>
                    </w:rPr>
                    <w:t>资质</w:t>
                  </w:r>
                  <w:r>
                    <w:rPr>
                      <w:rFonts w:hint="eastAsia"/>
                      <w:kern w:val="0"/>
                      <w:szCs w:val="21"/>
                      <w:lang w:val="en-US" w:eastAsia="zh-CN"/>
                    </w:rPr>
                    <w:t>的</w:t>
                  </w:r>
                  <w:r>
                    <w:rPr>
                      <w:kern w:val="0"/>
                      <w:szCs w:val="21"/>
                    </w:rPr>
                    <w:t>单位处置。</w:t>
                  </w:r>
                </w:p>
              </w:tc>
              <w:tc>
                <w:tcPr>
                  <w:tcW w:w="764" w:type="pct"/>
                  <w:noWrap w:val="0"/>
                  <w:vAlign w:val="center"/>
                </w:tcPr>
                <w:p w14:paraId="33CE7F8B">
                  <w:pPr>
                    <w:widowControl/>
                    <w:spacing w:line="240" w:lineRule="auto"/>
                    <w:jc w:val="center"/>
                    <w:rPr>
                      <w:rFonts w:hint="default" w:eastAsia="宋体"/>
                      <w:kern w:val="0"/>
                      <w:szCs w:val="21"/>
                      <w:lang w:val="en-US" w:eastAsia="zh-CN"/>
                    </w:rPr>
                  </w:pPr>
                  <w:r>
                    <w:rPr>
                      <w:rFonts w:hint="eastAsia"/>
                      <w:kern w:val="0"/>
                      <w:szCs w:val="21"/>
                      <w:lang w:val="en-US" w:eastAsia="zh-CN"/>
                    </w:rPr>
                    <w:t>2</w:t>
                  </w:r>
                </w:p>
              </w:tc>
              <w:tc>
                <w:tcPr>
                  <w:tcW w:w="641" w:type="pct"/>
                  <w:noWrap w:val="0"/>
                  <w:vAlign w:val="center"/>
                </w:tcPr>
                <w:p w14:paraId="65D27C58">
                  <w:pPr>
                    <w:widowControl/>
                    <w:spacing w:line="240" w:lineRule="auto"/>
                    <w:jc w:val="center"/>
                    <w:rPr>
                      <w:rFonts w:hint="eastAsia" w:eastAsia="宋体"/>
                      <w:kern w:val="0"/>
                      <w:szCs w:val="21"/>
                      <w:lang w:val="en-US" w:eastAsia="zh-CN"/>
                    </w:rPr>
                  </w:pPr>
                  <w:r>
                    <w:rPr>
                      <w:rFonts w:hint="eastAsia"/>
                      <w:kern w:val="0"/>
                      <w:szCs w:val="21"/>
                      <w:lang w:val="en-US" w:eastAsia="zh-CN"/>
                    </w:rPr>
                    <w:t>/</w:t>
                  </w:r>
                </w:p>
              </w:tc>
            </w:tr>
            <w:tr w14:paraId="23A1E2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9" w:hRule="atLeast"/>
                <w:jc w:val="center"/>
              </w:trPr>
              <w:tc>
                <w:tcPr>
                  <w:tcW w:w="331" w:type="pct"/>
                  <w:vMerge w:val="continue"/>
                  <w:noWrap w:val="0"/>
                  <w:vAlign w:val="center"/>
                </w:tcPr>
                <w:p w14:paraId="1DDA7D0A">
                  <w:pPr>
                    <w:widowControl/>
                    <w:spacing w:line="240" w:lineRule="auto"/>
                    <w:jc w:val="center"/>
                    <w:rPr>
                      <w:kern w:val="0"/>
                      <w:szCs w:val="21"/>
                    </w:rPr>
                  </w:pPr>
                </w:p>
              </w:tc>
              <w:tc>
                <w:tcPr>
                  <w:tcW w:w="469" w:type="pct"/>
                  <w:vMerge w:val="continue"/>
                  <w:noWrap w:val="0"/>
                  <w:vAlign w:val="center"/>
                </w:tcPr>
                <w:p w14:paraId="6513907E">
                  <w:pPr>
                    <w:widowControl/>
                    <w:spacing w:line="240" w:lineRule="auto"/>
                    <w:jc w:val="center"/>
                    <w:rPr>
                      <w:spacing w:val="-1"/>
                      <w:kern w:val="0"/>
                      <w:szCs w:val="21"/>
                    </w:rPr>
                  </w:pPr>
                </w:p>
              </w:tc>
              <w:tc>
                <w:tcPr>
                  <w:tcW w:w="2793" w:type="pct"/>
                  <w:noWrap w:val="0"/>
                  <w:vAlign w:val="center"/>
                </w:tcPr>
                <w:p w14:paraId="3B96331D">
                  <w:pPr>
                    <w:widowControl/>
                    <w:spacing w:line="240" w:lineRule="auto"/>
                    <w:jc w:val="left"/>
                    <w:rPr>
                      <w:kern w:val="0"/>
                      <w:szCs w:val="21"/>
                    </w:rPr>
                  </w:pPr>
                  <w:r>
                    <w:rPr>
                      <w:rFonts w:hint="eastAsia"/>
                      <w:kern w:val="0"/>
                      <w:szCs w:val="21"/>
                      <w:lang w:val="en-US" w:eastAsia="zh-CN"/>
                    </w:rPr>
                    <w:t>设置</w:t>
                  </w:r>
                  <w:r>
                    <w:rPr>
                      <w:kern w:val="0"/>
                      <w:szCs w:val="21"/>
                    </w:rPr>
                    <w:t>一般固废</w:t>
                  </w:r>
                  <w:r>
                    <w:rPr>
                      <w:rFonts w:hint="eastAsia"/>
                      <w:kern w:val="0"/>
                      <w:szCs w:val="21"/>
                      <w:lang w:val="en-US" w:eastAsia="zh-CN"/>
                    </w:rPr>
                    <w:t>暂存点</w:t>
                  </w:r>
                  <w:r>
                    <w:rPr>
                      <w:kern w:val="0"/>
                      <w:szCs w:val="21"/>
                    </w:rPr>
                    <w:t>一处</w:t>
                  </w:r>
                  <w:r>
                    <w:rPr>
                      <w:rFonts w:hint="eastAsia"/>
                      <w:kern w:val="0"/>
                      <w:szCs w:val="21"/>
                      <w:lang w:eastAsia="zh-CN"/>
                    </w:rPr>
                    <w:t>，</w:t>
                  </w:r>
                  <w:r>
                    <w:rPr>
                      <w:rFonts w:hint="eastAsia"/>
                      <w:kern w:val="0"/>
                      <w:szCs w:val="21"/>
                      <w:lang w:val="en-US" w:eastAsia="zh-CN"/>
                    </w:rPr>
                    <w:t>面积约</w:t>
                  </w:r>
                  <w:r>
                    <w:rPr>
                      <w:rFonts w:hint="eastAsia"/>
                      <w:color w:val="auto"/>
                      <w:kern w:val="0"/>
                      <w:szCs w:val="21"/>
                      <w:lang w:val="en-US" w:eastAsia="zh-CN"/>
                    </w:rPr>
                    <w:t>35</w:t>
                  </w:r>
                  <w:r>
                    <w:rPr>
                      <w:rFonts w:hint="default" w:ascii="Times New Roman" w:hAnsi="Times New Roman" w:eastAsia="宋体" w:cs="Times New Roman"/>
                      <w:color w:val="auto"/>
                      <w:lang w:val="en-US" w:eastAsia="zh-CN"/>
                    </w:rPr>
                    <w:t>m³</w:t>
                  </w:r>
                  <w:r>
                    <w:rPr>
                      <w:rFonts w:hint="eastAsia"/>
                      <w:kern w:val="0"/>
                      <w:szCs w:val="21"/>
                      <w:lang w:val="en-US" w:eastAsia="zh-CN"/>
                    </w:rPr>
                    <w:t>，用于收集暂存边角料、废包装物等</w:t>
                  </w:r>
                  <w:r>
                    <w:rPr>
                      <w:kern w:val="0"/>
                      <w:szCs w:val="21"/>
                    </w:rPr>
                    <w:t>。</w:t>
                  </w:r>
                </w:p>
              </w:tc>
              <w:tc>
                <w:tcPr>
                  <w:tcW w:w="764" w:type="pct"/>
                  <w:noWrap w:val="0"/>
                  <w:vAlign w:val="center"/>
                </w:tcPr>
                <w:p w14:paraId="269CB0BC">
                  <w:pPr>
                    <w:widowControl/>
                    <w:spacing w:line="240" w:lineRule="auto"/>
                    <w:jc w:val="center"/>
                    <w:rPr>
                      <w:rFonts w:hint="default" w:eastAsia="宋体"/>
                      <w:kern w:val="0"/>
                      <w:szCs w:val="21"/>
                      <w:lang w:val="en-US" w:eastAsia="zh-CN"/>
                    </w:rPr>
                  </w:pPr>
                  <w:r>
                    <w:rPr>
                      <w:rFonts w:hint="eastAsia"/>
                      <w:kern w:val="0"/>
                      <w:szCs w:val="21"/>
                      <w:lang w:val="en-US" w:eastAsia="zh-CN"/>
                    </w:rPr>
                    <w:t>0.2</w:t>
                  </w:r>
                </w:p>
              </w:tc>
              <w:tc>
                <w:tcPr>
                  <w:tcW w:w="641" w:type="pct"/>
                  <w:noWrap w:val="0"/>
                  <w:vAlign w:val="center"/>
                </w:tcPr>
                <w:p w14:paraId="7A5E794C">
                  <w:pPr>
                    <w:widowControl/>
                    <w:spacing w:line="240" w:lineRule="auto"/>
                    <w:jc w:val="center"/>
                    <w:rPr>
                      <w:rFonts w:hint="eastAsia" w:eastAsia="宋体"/>
                      <w:kern w:val="0"/>
                      <w:szCs w:val="21"/>
                      <w:lang w:val="en-US" w:eastAsia="zh-CN"/>
                    </w:rPr>
                  </w:pPr>
                  <w:r>
                    <w:rPr>
                      <w:rFonts w:hint="eastAsia"/>
                      <w:kern w:val="0"/>
                      <w:szCs w:val="21"/>
                      <w:lang w:val="en-US" w:eastAsia="zh-CN"/>
                    </w:rPr>
                    <w:t>/</w:t>
                  </w:r>
                </w:p>
              </w:tc>
            </w:tr>
            <w:tr w14:paraId="3AD769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8" w:hRule="atLeast"/>
                <w:jc w:val="center"/>
              </w:trPr>
              <w:tc>
                <w:tcPr>
                  <w:tcW w:w="331" w:type="pct"/>
                  <w:vMerge w:val="continue"/>
                  <w:noWrap w:val="0"/>
                  <w:vAlign w:val="center"/>
                </w:tcPr>
                <w:p w14:paraId="73D670FF">
                  <w:pPr>
                    <w:adjustRightInd w:val="0"/>
                    <w:snapToGrid w:val="0"/>
                    <w:spacing w:line="240" w:lineRule="auto"/>
                    <w:jc w:val="center"/>
                    <w:rPr>
                      <w:szCs w:val="21"/>
                    </w:rPr>
                  </w:pPr>
                </w:p>
              </w:tc>
              <w:tc>
                <w:tcPr>
                  <w:tcW w:w="469" w:type="pct"/>
                  <w:vMerge w:val="continue"/>
                  <w:noWrap w:val="0"/>
                  <w:vAlign w:val="center"/>
                </w:tcPr>
                <w:p w14:paraId="5F3B2788">
                  <w:pPr>
                    <w:adjustRightInd w:val="0"/>
                    <w:snapToGrid w:val="0"/>
                    <w:spacing w:line="240" w:lineRule="auto"/>
                    <w:jc w:val="center"/>
                    <w:rPr>
                      <w:szCs w:val="21"/>
                    </w:rPr>
                  </w:pPr>
                </w:p>
              </w:tc>
              <w:tc>
                <w:tcPr>
                  <w:tcW w:w="2793" w:type="pct"/>
                  <w:noWrap w:val="0"/>
                  <w:vAlign w:val="center"/>
                </w:tcPr>
                <w:p w14:paraId="1A8888F2">
                  <w:pPr>
                    <w:widowControl/>
                    <w:spacing w:line="240" w:lineRule="auto"/>
                    <w:jc w:val="left"/>
                    <w:rPr>
                      <w:kern w:val="0"/>
                      <w:szCs w:val="21"/>
                    </w:rPr>
                  </w:pPr>
                  <w:r>
                    <w:rPr>
                      <w:kern w:val="0"/>
                      <w:szCs w:val="21"/>
                    </w:rPr>
                    <w:t>委托市政环卫部门对生活垃圾收运及处理</w:t>
                  </w:r>
                </w:p>
              </w:tc>
              <w:tc>
                <w:tcPr>
                  <w:tcW w:w="764" w:type="pct"/>
                  <w:noWrap w:val="0"/>
                  <w:vAlign w:val="center"/>
                </w:tcPr>
                <w:p w14:paraId="2FC76BAB">
                  <w:pPr>
                    <w:widowControl/>
                    <w:spacing w:line="240" w:lineRule="auto"/>
                    <w:jc w:val="center"/>
                    <w:rPr>
                      <w:kern w:val="0"/>
                      <w:szCs w:val="21"/>
                    </w:rPr>
                  </w:pPr>
                  <w:r>
                    <w:rPr>
                      <w:kern w:val="0"/>
                      <w:szCs w:val="21"/>
                    </w:rPr>
                    <w:t>0.1</w:t>
                  </w:r>
                </w:p>
              </w:tc>
              <w:tc>
                <w:tcPr>
                  <w:tcW w:w="641" w:type="pct"/>
                  <w:noWrap w:val="0"/>
                  <w:vAlign w:val="center"/>
                </w:tcPr>
                <w:p w14:paraId="35A50F23">
                  <w:pPr>
                    <w:widowControl/>
                    <w:spacing w:line="240" w:lineRule="auto"/>
                    <w:jc w:val="center"/>
                    <w:rPr>
                      <w:rFonts w:hint="eastAsia" w:eastAsia="宋体"/>
                      <w:kern w:val="0"/>
                      <w:szCs w:val="21"/>
                      <w:lang w:val="en-US" w:eastAsia="zh-CN"/>
                    </w:rPr>
                  </w:pPr>
                  <w:r>
                    <w:rPr>
                      <w:rFonts w:hint="eastAsia"/>
                      <w:kern w:val="0"/>
                      <w:szCs w:val="21"/>
                      <w:lang w:val="en-US" w:eastAsia="zh-CN"/>
                    </w:rPr>
                    <w:t>/</w:t>
                  </w:r>
                </w:p>
              </w:tc>
            </w:tr>
            <w:tr w14:paraId="7DF8E2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3" w:hRule="atLeast"/>
                <w:jc w:val="center"/>
              </w:trPr>
              <w:tc>
                <w:tcPr>
                  <w:tcW w:w="331" w:type="pct"/>
                  <w:vMerge w:val="restart"/>
                  <w:noWrap w:val="0"/>
                  <w:vAlign w:val="center"/>
                </w:tcPr>
                <w:p w14:paraId="57659329">
                  <w:pPr>
                    <w:widowControl/>
                    <w:spacing w:line="240" w:lineRule="auto"/>
                    <w:jc w:val="center"/>
                    <w:rPr>
                      <w:kern w:val="0"/>
                      <w:szCs w:val="21"/>
                    </w:rPr>
                  </w:pPr>
                  <w:r>
                    <w:rPr>
                      <w:spacing w:val="-1"/>
                      <w:kern w:val="0"/>
                      <w:szCs w:val="21"/>
                    </w:rPr>
                    <w:t>大气污染防治措施</w:t>
                  </w:r>
                </w:p>
              </w:tc>
              <w:tc>
                <w:tcPr>
                  <w:tcW w:w="469" w:type="pct"/>
                  <w:noWrap w:val="0"/>
                  <w:vAlign w:val="center"/>
                </w:tcPr>
                <w:p w14:paraId="6C95D673">
                  <w:pPr>
                    <w:adjustRightInd w:val="0"/>
                    <w:snapToGrid w:val="0"/>
                    <w:spacing w:line="240" w:lineRule="auto"/>
                    <w:jc w:val="center"/>
                    <w:rPr>
                      <w:szCs w:val="21"/>
                    </w:rPr>
                  </w:pPr>
                  <w:r>
                    <w:rPr>
                      <w:szCs w:val="21"/>
                    </w:rPr>
                    <w:t>施工期</w:t>
                  </w:r>
                </w:p>
              </w:tc>
              <w:tc>
                <w:tcPr>
                  <w:tcW w:w="2793" w:type="pct"/>
                  <w:noWrap w:val="0"/>
                  <w:vAlign w:val="center"/>
                </w:tcPr>
                <w:p w14:paraId="7511D6C3">
                  <w:pPr>
                    <w:widowControl/>
                    <w:spacing w:line="240" w:lineRule="auto"/>
                    <w:ind w:firstLine="210" w:firstLineChars="100"/>
                    <w:jc w:val="left"/>
                    <w:rPr>
                      <w:rFonts w:hint="default" w:eastAsia="宋体"/>
                      <w:kern w:val="0"/>
                      <w:szCs w:val="21"/>
                      <w:lang w:val="en-US" w:eastAsia="zh-CN"/>
                    </w:rPr>
                  </w:pPr>
                  <w:r>
                    <w:rPr>
                      <w:rFonts w:hint="eastAsia"/>
                      <w:kern w:val="0"/>
                      <w:szCs w:val="21"/>
                      <w:lang w:val="en-US" w:eastAsia="zh-CN"/>
                    </w:rPr>
                    <w:t>加强厂区内保洁，避免运输扬尘。</w:t>
                  </w:r>
                </w:p>
              </w:tc>
              <w:tc>
                <w:tcPr>
                  <w:tcW w:w="764" w:type="pct"/>
                  <w:noWrap w:val="0"/>
                  <w:vAlign w:val="center"/>
                </w:tcPr>
                <w:p w14:paraId="7F92BEBD">
                  <w:pPr>
                    <w:widowControl/>
                    <w:spacing w:line="240" w:lineRule="auto"/>
                    <w:jc w:val="center"/>
                    <w:rPr>
                      <w:rFonts w:hint="eastAsia" w:eastAsia="宋体"/>
                      <w:kern w:val="0"/>
                      <w:szCs w:val="21"/>
                      <w:lang w:eastAsia="zh-CN"/>
                    </w:rPr>
                  </w:pPr>
                  <w:r>
                    <w:rPr>
                      <w:rFonts w:hint="eastAsia"/>
                      <w:kern w:val="0"/>
                      <w:szCs w:val="21"/>
                      <w:lang w:val="en-US" w:eastAsia="zh-CN"/>
                    </w:rPr>
                    <w:t>/</w:t>
                  </w:r>
                </w:p>
              </w:tc>
              <w:tc>
                <w:tcPr>
                  <w:tcW w:w="641" w:type="pct"/>
                  <w:noWrap w:val="0"/>
                  <w:vAlign w:val="center"/>
                </w:tcPr>
                <w:p w14:paraId="4D1E0B88">
                  <w:pPr>
                    <w:widowControl/>
                    <w:spacing w:line="240" w:lineRule="auto"/>
                    <w:jc w:val="center"/>
                    <w:rPr>
                      <w:rFonts w:hint="eastAsia" w:eastAsia="宋体"/>
                      <w:kern w:val="0"/>
                      <w:szCs w:val="21"/>
                      <w:lang w:val="en-US" w:eastAsia="zh-CN"/>
                    </w:rPr>
                  </w:pPr>
                  <w:r>
                    <w:rPr>
                      <w:rFonts w:hint="eastAsia"/>
                      <w:kern w:val="0"/>
                      <w:szCs w:val="21"/>
                      <w:lang w:val="en-US" w:eastAsia="zh-CN"/>
                    </w:rPr>
                    <w:t>/</w:t>
                  </w:r>
                </w:p>
              </w:tc>
            </w:tr>
            <w:tr w14:paraId="402819B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4" w:hRule="atLeast"/>
                <w:jc w:val="center"/>
              </w:trPr>
              <w:tc>
                <w:tcPr>
                  <w:tcW w:w="331" w:type="pct"/>
                  <w:vMerge w:val="continue"/>
                  <w:noWrap w:val="0"/>
                  <w:vAlign w:val="center"/>
                </w:tcPr>
                <w:p w14:paraId="7AAEEF79">
                  <w:pPr>
                    <w:widowControl/>
                    <w:spacing w:line="240" w:lineRule="auto"/>
                    <w:jc w:val="center"/>
                    <w:rPr>
                      <w:kern w:val="0"/>
                      <w:szCs w:val="21"/>
                    </w:rPr>
                  </w:pPr>
                </w:p>
              </w:tc>
              <w:tc>
                <w:tcPr>
                  <w:tcW w:w="469" w:type="pct"/>
                  <w:noWrap w:val="0"/>
                  <w:vAlign w:val="center"/>
                </w:tcPr>
                <w:p w14:paraId="253F67CD">
                  <w:pPr>
                    <w:widowControl/>
                    <w:spacing w:line="240" w:lineRule="auto"/>
                    <w:jc w:val="center"/>
                    <w:rPr>
                      <w:spacing w:val="-1"/>
                      <w:kern w:val="0"/>
                      <w:szCs w:val="21"/>
                    </w:rPr>
                  </w:pPr>
                  <w:r>
                    <w:rPr>
                      <w:spacing w:val="-1"/>
                      <w:kern w:val="0"/>
                      <w:szCs w:val="21"/>
                    </w:rPr>
                    <w:t>运营期</w:t>
                  </w:r>
                </w:p>
              </w:tc>
              <w:tc>
                <w:tcPr>
                  <w:tcW w:w="2793" w:type="pct"/>
                  <w:noWrap w:val="0"/>
                  <w:vAlign w:val="center"/>
                </w:tcPr>
                <w:p w14:paraId="023981CB">
                  <w:pPr>
                    <w:widowControl/>
                    <w:spacing w:line="240" w:lineRule="auto"/>
                    <w:ind w:firstLine="210" w:firstLineChars="10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w:t>
                  </w:r>
                  <w:r>
                    <w:rPr>
                      <w:rFonts w:hint="eastAsia"/>
                      <w:color w:val="000000" w:themeColor="text1"/>
                      <w:sz w:val="21"/>
                      <w:szCs w:val="21"/>
                      <w:lang w:val="en-US" w:eastAsia="zh-CN"/>
                      <w14:textFill>
                        <w14:solidFill>
                          <w14:schemeClr w14:val="tx1"/>
                        </w14:solidFill>
                      </w14:textFill>
                    </w:rPr>
                    <w:t>设置布袋除尘器一套，对破碎过程中产生的粉尘收集处理后排气筒（DA001）排放</w:t>
                  </w:r>
                  <w:r>
                    <w:rPr>
                      <w:color w:val="000000" w:themeColor="text1"/>
                      <w:sz w:val="21"/>
                      <w:szCs w:val="21"/>
                      <w14:textFill>
                        <w14:solidFill>
                          <w14:schemeClr w14:val="tx1"/>
                        </w14:solidFill>
                      </w14:textFill>
                    </w:rPr>
                    <w:t>。</w:t>
                  </w:r>
                </w:p>
                <w:p w14:paraId="1B358020">
                  <w:pPr>
                    <w:widowControl/>
                    <w:spacing w:line="240" w:lineRule="auto"/>
                    <w:ind w:firstLine="210" w:firstLineChars="10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②设置</w:t>
                  </w:r>
                  <w:r>
                    <w:rPr>
                      <w:rFonts w:hint="eastAsia"/>
                      <w:color w:val="000000" w:themeColor="text1"/>
                      <w:sz w:val="21"/>
                      <w:szCs w:val="21"/>
                      <w:lang w:val="en-US" w:eastAsia="zh-CN"/>
                      <w14:textFill>
                        <w14:solidFill>
                          <w14:schemeClr w14:val="tx1"/>
                        </w14:solidFill>
                      </w14:textFill>
                    </w:rPr>
                    <w:t>二级活性炭吸附系统1</w:t>
                  </w:r>
                  <w:r>
                    <w:rPr>
                      <w:rFonts w:hint="eastAsia"/>
                      <w:color w:val="000000" w:themeColor="text1"/>
                      <w:sz w:val="21"/>
                      <w:szCs w:val="21"/>
                      <w14:textFill>
                        <w14:solidFill>
                          <w14:schemeClr w14:val="tx1"/>
                        </w14:solidFill>
                      </w14:textFill>
                    </w:rPr>
                    <w:t>套，对</w:t>
                  </w:r>
                  <w:r>
                    <w:rPr>
                      <w:rFonts w:hint="eastAsia"/>
                      <w:color w:val="000000" w:themeColor="text1"/>
                      <w:sz w:val="21"/>
                      <w:szCs w:val="21"/>
                      <w:lang w:val="en-US" w:eastAsia="zh-CN"/>
                      <w14:textFill>
                        <w14:solidFill>
                          <w14:schemeClr w14:val="tx1"/>
                        </w14:solidFill>
                      </w14:textFill>
                    </w:rPr>
                    <w:t>注塑过程中产生的有机废气</w:t>
                  </w:r>
                  <w:r>
                    <w:rPr>
                      <w:rFonts w:hint="eastAsia"/>
                      <w:color w:val="000000" w:themeColor="text1"/>
                      <w:sz w:val="21"/>
                      <w:szCs w:val="21"/>
                      <w14:textFill>
                        <w14:solidFill>
                          <w14:schemeClr w14:val="tx1"/>
                        </w14:solidFill>
                      </w14:textFill>
                    </w:rPr>
                    <w:t>收集处理后</w:t>
                  </w:r>
                  <w:r>
                    <w:rPr>
                      <w:color w:val="000000" w:themeColor="text1"/>
                      <w:sz w:val="21"/>
                      <w:szCs w:val="21"/>
                      <w14:textFill>
                        <w14:solidFill>
                          <w14:schemeClr w14:val="tx1"/>
                        </w14:solidFill>
                      </w14:textFill>
                    </w:rPr>
                    <w:t>离地15m</w:t>
                  </w:r>
                  <w:r>
                    <w:rPr>
                      <w:rFonts w:hint="eastAsia"/>
                      <w:color w:val="000000" w:themeColor="text1"/>
                      <w:sz w:val="21"/>
                      <w:szCs w:val="21"/>
                      <w:lang w:val="en-US" w:eastAsia="zh-CN"/>
                      <w14:textFill>
                        <w14:solidFill>
                          <w14:schemeClr w14:val="tx1"/>
                        </w14:solidFill>
                      </w14:textFill>
                    </w:rPr>
                    <w:t>高的排气筒（DA001）排放</w:t>
                  </w:r>
                  <w:r>
                    <w:rPr>
                      <w:color w:val="000000" w:themeColor="text1"/>
                      <w:sz w:val="21"/>
                      <w:szCs w:val="21"/>
                      <w14:textFill>
                        <w14:solidFill>
                          <w14:schemeClr w14:val="tx1"/>
                        </w14:solidFill>
                      </w14:textFill>
                    </w:rPr>
                    <w:t>。</w:t>
                  </w:r>
                </w:p>
                <w:p w14:paraId="0872E9E2">
                  <w:pPr>
                    <w:widowControl/>
                    <w:spacing w:line="240" w:lineRule="auto"/>
                    <w:ind w:firstLine="210" w:firstLineChars="100"/>
                    <w:jc w:val="both"/>
                    <w:rPr>
                      <w:rFonts w:hint="eastAsia" w:eastAsia="宋体"/>
                      <w:kern w:val="0"/>
                      <w:szCs w:val="21"/>
                      <w:lang w:eastAsia="zh-CN"/>
                    </w:rPr>
                  </w:pPr>
                  <w:r>
                    <w:rPr>
                      <w:rFonts w:hint="eastAsia"/>
                      <w:color w:val="000000" w:themeColor="text1"/>
                      <w:sz w:val="21"/>
                      <w:szCs w:val="21"/>
                      <w:lang w:val="en-US" w:eastAsia="zh-CN"/>
                      <w14:textFill>
                        <w14:solidFill>
                          <w14:schemeClr w14:val="tx1"/>
                        </w14:solidFill>
                      </w14:textFill>
                    </w:rPr>
                    <w:t>③</w:t>
                  </w:r>
                  <w:r>
                    <w:rPr>
                      <w:rFonts w:hint="eastAsia" w:ascii="Times New Roman" w:hAnsi="Times New Roman" w:cs="Times New Roman"/>
                      <w:color w:val="000000" w:themeColor="text1"/>
                      <w:spacing w:val="1"/>
                      <w:sz w:val="21"/>
                      <w:szCs w:val="21"/>
                      <w:highlight w:val="none"/>
                      <w:lang w:val="en-US" w:eastAsia="zh-CN"/>
                      <w14:textFill>
                        <w14:solidFill>
                          <w14:schemeClr w14:val="tx1"/>
                        </w14:solidFill>
                      </w14:textFill>
                    </w:rPr>
                    <w:t>喷漆房封闭设置、负压抽风，在喷漆处设置水帘水洗柜除漆雾装置+过滤棉，漆雾收集效率95%，水帘漆雾净化装置漆雾</w:t>
                  </w:r>
                  <w:r>
                    <w:rPr>
                      <w:rFonts w:hint="eastAsia" w:cs="Times New Roman"/>
                      <w:color w:val="000000" w:themeColor="text1"/>
                      <w:spacing w:val="1"/>
                      <w:sz w:val="21"/>
                      <w:szCs w:val="21"/>
                      <w:highlight w:val="none"/>
                      <w:lang w:val="en-US" w:eastAsia="zh-CN"/>
                      <w14:textFill>
                        <w14:solidFill>
                          <w14:schemeClr w14:val="tx1"/>
                        </w14:solidFill>
                      </w14:textFill>
                    </w:rPr>
                    <w:t>处理</w:t>
                  </w:r>
                  <w:r>
                    <w:rPr>
                      <w:rFonts w:hint="eastAsia" w:ascii="Times New Roman" w:hAnsi="Times New Roman" w:cs="Times New Roman"/>
                      <w:color w:val="000000" w:themeColor="text1"/>
                      <w:spacing w:val="1"/>
                      <w:sz w:val="21"/>
                      <w:szCs w:val="21"/>
                      <w:highlight w:val="none"/>
                      <w:lang w:val="en-US" w:eastAsia="zh-CN"/>
                      <w14:textFill>
                        <w14:solidFill>
                          <w14:schemeClr w14:val="tx1"/>
                        </w14:solidFill>
                      </w14:textFill>
                    </w:rPr>
                    <w:t>率9</w:t>
                  </w:r>
                  <w:r>
                    <w:rPr>
                      <w:rFonts w:hint="eastAsia" w:cs="Times New Roman"/>
                      <w:color w:val="000000" w:themeColor="text1"/>
                      <w:spacing w:val="1"/>
                      <w:sz w:val="21"/>
                      <w:szCs w:val="21"/>
                      <w:highlight w:val="none"/>
                      <w:lang w:val="en-US" w:eastAsia="zh-CN"/>
                      <w14:textFill>
                        <w14:solidFill>
                          <w14:schemeClr w14:val="tx1"/>
                        </w14:solidFill>
                      </w14:textFill>
                    </w:rPr>
                    <w:t>0</w:t>
                  </w:r>
                  <w:r>
                    <w:rPr>
                      <w:rFonts w:hint="eastAsia" w:ascii="Times New Roman" w:hAnsi="Times New Roman" w:cs="Times New Roman"/>
                      <w:color w:val="000000" w:themeColor="text1"/>
                      <w:spacing w:val="1"/>
                      <w:sz w:val="21"/>
                      <w:szCs w:val="21"/>
                      <w:highlight w:val="none"/>
                      <w:lang w:val="en-US" w:eastAsia="zh-CN"/>
                      <w14:textFill>
                        <w14:solidFill>
                          <w14:schemeClr w14:val="tx1"/>
                        </w14:solidFill>
                      </w14:textFill>
                    </w:rPr>
                    <w:t>%，</w:t>
                  </w:r>
                  <w:r>
                    <w:rPr>
                      <w:rFonts w:hint="eastAsia" w:cs="Times New Roman"/>
                      <w:color w:val="000000" w:themeColor="text1"/>
                      <w:spacing w:val="1"/>
                      <w:sz w:val="21"/>
                      <w:szCs w:val="21"/>
                      <w:highlight w:val="none"/>
                      <w:lang w:val="en-US" w:eastAsia="zh-CN"/>
                      <w14:textFill>
                        <w14:solidFill>
                          <w14:schemeClr w14:val="tx1"/>
                        </w14:solidFill>
                      </w14:textFill>
                    </w:rPr>
                    <w:t>有机</w:t>
                  </w:r>
                  <w:r>
                    <w:rPr>
                      <w:rFonts w:hint="eastAsia" w:ascii="Times New Roman" w:hAnsi="Times New Roman" w:cs="Times New Roman"/>
                      <w:color w:val="000000" w:themeColor="text1"/>
                      <w:spacing w:val="1"/>
                      <w:sz w:val="21"/>
                      <w:szCs w:val="21"/>
                      <w:highlight w:val="none"/>
                      <w:lang w:val="en-US" w:eastAsia="zh-CN"/>
                      <w14:textFill>
                        <w14:solidFill>
                          <w14:schemeClr w14:val="tx1"/>
                        </w14:solidFill>
                      </w14:textFill>
                    </w:rPr>
                    <w:t>废气经二级活性炭装置处理后经15m高排气筒</w:t>
                  </w:r>
                  <w:r>
                    <w:rPr>
                      <w:rFonts w:hint="eastAsia"/>
                      <w:color w:val="000000" w:themeColor="text1"/>
                      <w:sz w:val="21"/>
                      <w:szCs w:val="21"/>
                      <w:lang w:val="en-US" w:eastAsia="zh-CN"/>
                      <w14:textFill>
                        <w14:solidFill>
                          <w14:schemeClr w14:val="tx1"/>
                        </w14:solidFill>
                      </w14:textFill>
                    </w:rPr>
                    <w:t>（DA002~DA007）</w:t>
                  </w:r>
                  <w:r>
                    <w:rPr>
                      <w:rFonts w:hint="eastAsia" w:ascii="Times New Roman" w:hAnsi="Times New Roman" w:cs="Times New Roman"/>
                      <w:color w:val="000000" w:themeColor="text1"/>
                      <w:spacing w:val="1"/>
                      <w:sz w:val="21"/>
                      <w:szCs w:val="21"/>
                      <w:highlight w:val="none"/>
                      <w:lang w:val="en-US" w:eastAsia="zh-CN"/>
                      <w14:textFill>
                        <w14:solidFill>
                          <w14:schemeClr w14:val="tx1"/>
                        </w14:solidFill>
                      </w14:textFill>
                    </w:rPr>
                    <w:t>排放</w:t>
                  </w:r>
                </w:p>
              </w:tc>
              <w:tc>
                <w:tcPr>
                  <w:tcW w:w="764" w:type="pct"/>
                  <w:noWrap w:val="0"/>
                  <w:vAlign w:val="center"/>
                </w:tcPr>
                <w:p w14:paraId="574D5356">
                  <w:pPr>
                    <w:widowControl/>
                    <w:spacing w:line="240" w:lineRule="auto"/>
                    <w:jc w:val="center"/>
                    <w:rPr>
                      <w:rFonts w:hint="default" w:eastAsia="宋体"/>
                      <w:szCs w:val="21"/>
                      <w:lang w:val="en-US" w:eastAsia="zh-CN"/>
                    </w:rPr>
                  </w:pPr>
                  <w:r>
                    <w:rPr>
                      <w:rFonts w:hint="eastAsia"/>
                      <w:kern w:val="0"/>
                      <w:szCs w:val="21"/>
                      <w:lang w:val="en-US" w:eastAsia="zh-CN"/>
                    </w:rPr>
                    <w:t>30</w:t>
                  </w:r>
                </w:p>
              </w:tc>
              <w:tc>
                <w:tcPr>
                  <w:tcW w:w="641" w:type="pct"/>
                  <w:noWrap w:val="0"/>
                  <w:vAlign w:val="center"/>
                </w:tcPr>
                <w:p w14:paraId="1464094D">
                  <w:pPr>
                    <w:widowControl/>
                    <w:spacing w:line="240" w:lineRule="auto"/>
                    <w:jc w:val="center"/>
                    <w:rPr>
                      <w:rFonts w:hint="eastAsia" w:eastAsia="宋体"/>
                      <w:kern w:val="0"/>
                      <w:szCs w:val="21"/>
                      <w:lang w:val="en-US" w:eastAsia="zh-CN"/>
                    </w:rPr>
                  </w:pPr>
                  <w:r>
                    <w:rPr>
                      <w:rFonts w:hint="eastAsia"/>
                      <w:kern w:val="0"/>
                      <w:szCs w:val="21"/>
                      <w:lang w:val="en-US" w:eastAsia="zh-CN"/>
                    </w:rPr>
                    <w:t>/</w:t>
                  </w:r>
                </w:p>
              </w:tc>
            </w:tr>
            <w:tr w14:paraId="668D024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23" w:hRule="atLeast"/>
                <w:jc w:val="center"/>
              </w:trPr>
              <w:tc>
                <w:tcPr>
                  <w:tcW w:w="800" w:type="pct"/>
                  <w:gridSpan w:val="2"/>
                  <w:noWrap w:val="0"/>
                  <w:vAlign w:val="center"/>
                </w:tcPr>
                <w:p w14:paraId="6E60D97A">
                  <w:pPr>
                    <w:widowControl/>
                    <w:spacing w:line="240" w:lineRule="auto"/>
                    <w:jc w:val="center"/>
                    <w:rPr>
                      <w:spacing w:val="-1"/>
                      <w:kern w:val="0"/>
                      <w:szCs w:val="21"/>
                    </w:rPr>
                  </w:pPr>
                  <w:r>
                    <w:rPr>
                      <w:spacing w:val="-1"/>
                      <w:kern w:val="0"/>
                      <w:szCs w:val="21"/>
                    </w:rPr>
                    <w:t>环境风险</w:t>
                  </w:r>
                </w:p>
              </w:tc>
              <w:tc>
                <w:tcPr>
                  <w:tcW w:w="2793" w:type="pct"/>
                  <w:noWrap w:val="0"/>
                  <w:vAlign w:val="center"/>
                </w:tcPr>
                <w:p w14:paraId="4DDD79CE">
                  <w:pPr>
                    <w:widowControl/>
                    <w:spacing w:line="240" w:lineRule="auto"/>
                    <w:jc w:val="left"/>
                    <w:rPr>
                      <w:color w:val="000000"/>
                      <w:kern w:val="0"/>
                      <w:szCs w:val="21"/>
                    </w:rPr>
                  </w:pPr>
                  <w:r>
                    <w:rPr>
                      <w:color w:val="000000"/>
                      <w:kern w:val="0"/>
                      <w:szCs w:val="21"/>
                    </w:rPr>
                    <w:t>按照重点防渗要求，规范建设危险废物暂存设施一处，做好“三防”措施，防止危废泄漏或火灾引发次生环境风险。车间内分散设置符合消防规范的灭火设施</w:t>
                  </w:r>
                  <w:r>
                    <w:rPr>
                      <w:rFonts w:hint="eastAsia"/>
                      <w:color w:val="000000"/>
                      <w:kern w:val="0"/>
                      <w:szCs w:val="21"/>
                      <w:lang w:eastAsia="zh-CN"/>
                    </w:rPr>
                    <w:t>，</w:t>
                  </w:r>
                  <w:r>
                    <w:rPr>
                      <w:rFonts w:hint="eastAsia"/>
                      <w:color w:val="000000"/>
                      <w:kern w:val="0"/>
                      <w:szCs w:val="21"/>
                      <w:lang w:val="en-US" w:eastAsia="zh-CN"/>
                    </w:rPr>
                    <w:t>制定有效的突发环境事件应急预案</w:t>
                  </w:r>
                  <w:r>
                    <w:rPr>
                      <w:color w:val="000000"/>
                      <w:kern w:val="0"/>
                      <w:szCs w:val="21"/>
                    </w:rPr>
                    <w:t>。</w:t>
                  </w:r>
                </w:p>
              </w:tc>
              <w:tc>
                <w:tcPr>
                  <w:tcW w:w="764" w:type="pct"/>
                  <w:noWrap w:val="0"/>
                  <w:vAlign w:val="center"/>
                </w:tcPr>
                <w:p w14:paraId="6DB140E2">
                  <w:pPr>
                    <w:widowControl/>
                    <w:spacing w:line="240" w:lineRule="auto"/>
                    <w:jc w:val="center"/>
                    <w:rPr>
                      <w:rFonts w:hint="default" w:eastAsia="宋体"/>
                      <w:kern w:val="0"/>
                      <w:szCs w:val="21"/>
                      <w:lang w:val="en-US" w:eastAsia="zh-CN"/>
                    </w:rPr>
                  </w:pPr>
                  <w:r>
                    <w:rPr>
                      <w:rFonts w:hint="eastAsia"/>
                      <w:kern w:val="0"/>
                      <w:szCs w:val="21"/>
                      <w:lang w:val="en-US" w:eastAsia="zh-CN"/>
                    </w:rPr>
                    <w:t>1.0</w:t>
                  </w:r>
                </w:p>
              </w:tc>
              <w:tc>
                <w:tcPr>
                  <w:tcW w:w="641" w:type="pct"/>
                  <w:noWrap w:val="0"/>
                  <w:vAlign w:val="center"/>
                </w:tcPr>
                <w:p w14:paraId="00375931">
                  <w:pPr>
                    <w:widowControl/>
                    <w:spacing w:line="240" w:lineRule="auto"/>
                    <w:jc w:val="center"/>
                    <w:rPr>
                      <w:rFonts w:hint="eastAsia" w:eastAsia="宋体"/>
                      <w:kern w:val="0"/>
                      <w:szCs w:val="21"/>
                      <w:lang w:val="en-US" w:eastAsia="zh-CN"/>
                    </w:rPr>
                  </w:pPr>
                  <w:r>
                    <w:rPr>
                      <w:rFonts w:hint="eastAsia"/>
                      <w:kern w:val="0"/>
                      <w:szCs w:val="21"/>
                      <w:lang w:val="en-US" w:eastAsia="zh-CN"/>
                    </w:rPr>
                    <w:t>/</w:t>
                  </w:r>
                </w:p>
              </w:tc>
            </w:tr>
            <w:tr w14:paraId="4FFA74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77" w:hRule="atLeast"/>
                <w:jc w:val="center"/>
              </w:trPr>
              <w:tc>
                <w:tcPr>
                  <w:tcW w:w="800" w:type="pct"/>
                  <w:gridSpan w:val="2"/>
                  <w:noWrap w:val="0"/>
                  <w:vAlign w:val="center"/>
                </w:tcPr>
                <w:p w14:paraId="2B574D75">
                  <w:pPr>
                    <w:widowControl/>
                    <w:spacing w:line="240" w:lineRule="auto"/>
                    <w:jc w:val="center"/>
                    <w:rPr>
                      <w:spacing w:val="-1"/>
                      <w:kern w:val="0"/>
                      <w:szCs w:val="21"/>
                    </w:rPr>
                  </w:pPr>
                  <w:r>
                    <w:rPr>
                      <w:spacing w:val="-1"/>
                      <w:kern w:val="0"/>
                      <w:szCs w:val="21"/>
                    </w:rPr>
                    <w:t>地下水土壤</w:t>
                  </w:r>
                  <w:r>
                    <w:rPr>
                      <w:rFonts w:hint="eastAsia"/>
                      <w:spacing w:val="-1"/>
                      <w:kern w:val="0"/>
                      <w:szCs w:val="21"/>
                    </w:rPr>
                    <w:t>防</w:t>
                  </w:r>
                  <w:r>
                    <w:rPr>
                      <w:spacing w:val="-1"/>
                      <w:kern w:val="0"/>
                      <w:szCs w:val="21"/>
                    </w:rPr>
                    <w:t>治措施</w:t>
                  </w:r>
                </w:p>
              </w:tc>
              <w:tc>
                <w:tcPr>
                  <w:tcW w:w="2793" w:type="pct"/>
                  <w:noWrap w:val="0"/>
                  <w:vAlign w:val="center"/>
                </w:tcPr>
                <w:p w14:paraId="04AE836D">
                  <w:pPr>
                    <w:widowControl/>
                    <w:spacing w:line="240" w:lineRule="auto"/>
                    <w:jc w:val="both"/>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Cs w:val="21"/>
                      <w:lang w:eastAsia="zh-CN"/>
                    </w:rPr>
                    <w:t>危废暂存间划分为重点防渗区，防渗要求：采用2 毫米以上的高密度聚乙烯或其他人工防渗材料组成，渗透系数应小于1.0×10</w:t>
                  </w:r>
                  <w:r>
                    <w:rPr>
                      <w:rFonts w:hint="default" w:ascii="Times New Roman" w:hAnsi="Times New Roman" w:eastAsia="宋体" w:cs="Times New Roman"/>
                      <w:color w:val="000000"/>
                      <w:kern w:val="0"/>
                      <w:szCs w:val="21"/>
                      <w:vertAlign w:val="superscript"/>
                      <w:lang w:eastAsia="zh-CN"/>
                    </w:rPr>
                    <w:t>-10</w:t>
                  </w:r>
                  <w:r>
                    <w:rPr>
                      <w:rFonts w:hint="default" w:ascii="Times New Roman" w:hAnsi="Times New Roman" w:eastAsia="宋体" w:cs="Times New Roman"/>
                      <w:color w:val="000000"/>
                      <w:kern w:val="0"/>
                      <w:szCs w:val="21"/>
                      <w:lang w:eastAsia="zh-CN"/>
                    </w:rPr>
                    <w:t>cm/s，或参照GB18598执行。</w:t>
                  </w:r>
                </w:p>
                <w:p w14:paraId="7F9D06A4">
                  <w:pPr>
                    <w:widowControl/>
                    <w:spacing w:line="240" w:lineRule="auto"/>
                    <w:ind w:firstLine="210" w:firstLineChars="100"/>
                    <w:jc w:val="left"/>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Cs w:val="21"/>
                      <w:lang w:eastAsia="zh-CN"/>
                    </w:rPr>
                    <w:t>②除重点防渗区域以外的生产区域划分为一般防渗区，一般防渗区采用等效黏土防渗层Mb≥1.5m，K≤1×10</w:t>
                  </w:r>
                  <w:r>
                    <w:rPr>
                      <w:rFonts w:hint="default" w:ascii="Times New Roman" w:hAnsi="Times New Roman" w:eastAsia="宋体" w:cs="Times New Roman"/>
                      <w:color w:val="000000"/>
                      <w:kern w:val="0"/>
                      <w:szCs w:val="21"/>
                      <w:vertAlign w:val="superscript"/>
                      <w:lang w:eastAsia="zh-CN"/>
                    </w:rPr>
                    <w:t>-7</w:t>
                  </w:r>
                  <w:r>
                    <w:rPr>
                      <w:rFonts w:hint="default" w:ascii="Times New Roman" w:hAnsi="Times New Roman" w:eastAsia="宋体" w:cs="Times New Roman"/>
                      <w:color w:val="000000"/>
                      <w:kern w:val="0"/>
                      <w:szCs w:val="21"/>
                      <w:lang w:eastAsia="zh-CN"/>
                    </w:rPr>
                    <w:t>cm/s；或参照GB16889执行</w:t>
                  </w:r>
                </w:p>
                <w:p w14:paraId="034B38F3">
                  <w:pPr>
                    <w:widowControl/>
                    <w:spacing w:line="240" w:lineRule="auto"/>
                    <w:ind w:firstLine="210" w:firstLineChars="100"/>
                    <w:jc w:val="left"/>
                    <w:rPr>
                      <w:rFonts w:hint="eastAsia" w:eastAsia="宋体"/>
                      <w:color w:val="000000"/>
                      <w:kern w:val="0"/>
                      <w:szCs w:val="21"/>
                      <w:lang w:eastAsia="zh-CN"/>
                    </w:rPr>
                  </w:pPr>
                  <w:r>
                    <w:rPr>
                      <w:rFonts w:hint="default" w:ascii="Times New Roman" w:hAnsi="Times New Roman" w:eastAsia="宋体" w:cs="Times New Roman"/>
                      <w:color w:val="000000"/>
                      <w:kern w:val="0"/>
                      <w:szCs w:val="21"/>
                      <w:lang w:eastAsia="zh-CN"/>
                    </w:rPr>
                    <w:t>③除重点防渗、一般防渗以外的区域为简单防渗，简单防渗区采取一般地面硬化即可。</w:t>
                  </w:r>
                </w:p>
              </w:tc>
              <w:tc>
                <w:tcPr>
                  <w:tcW w:w="764" w:type="pct"/>
                  <w:noWrap w:val="0"/>
                  <w:vAlign w:val="center"/>
                </w:tcPr>
                <w:p w14:paraId="2E8B3878">
                  <w:pPr>
                    <w:widowControl/>
                    <w:spacing w:line="240" w:lineRule="auto"/>
                    <w:jc w:val="center"/>
                    <w:rPr>
                      <w:rFonts w:hint="eastAsia" w:eastAsia="宋体"/>
                      <w:kern w:val="0"/>
                      <w:szCs w:val="21"/>
                      <w:lang w:val="en-US" w:eastAsia="zh-CN"/>
                    </w:rPr>
                  </w:pPr>
                  <w:r>
                    <w:rPr>
                      <w:rFonts w:hint="eastAsia"/>
                      <w:kern w:val="0"/>
                      <w:szCs w:val="21"/>
                      <w:lang w:val="en-US" w:eastAsia="zh-CN"/>
                    </w:rPr>
                    <w:t>/</w:t>
                  </w:r>
                </w:p>
              </w:tc>
              <w:tc>
                <w:tcPr>
                  <w:tcW w:w="641" w:type="pct"/>
                  <w:noWrap w:val="0"/>
                  <w:vAlign w:val="center"/>
                </w:tcPr>
                <w:p w14:paraId="4EBC1AE9">
                  <w:pPr>
                    <w:widowControl/>
                    <w:spacing w:line="240" w:lineRule="auto"/>
                    <w:jc w:val="center"/>
                    <w:rPr>
                      <w:kern w:val="0"/>
                      <w:szCs w:val="21"/>
                    </w:rPr>
                  </w:pPr>
                  <w:r>
                    <w:rPr>
                      <w:rStyle w:val="32"/>
                      <w:szCs w:val="21"/>
                    </w:rPr>
                    <w:t>生产区域防渗纳入主体投资</w:t>
                  </w:r>
                </w:p>
              </w:tc>
            </w:tr>
            <w:tr w14:paraId="196ECE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3593" w:type="pct"/>
                  <w:gridSpan w:val="3"/>
                  <w:noWrap w:val="0"/>
                  <w:vAlign w:val="center"/>
                </w:tcPr>
                <w:p w14:paraId="4EB2E278">
                  <w:pPr>
                    <w:adjustRightInd w:val="0"/>
                    <w:snapToGrid w:val="0"/>
                    <w:spacing w:line="240" w:lineRule="auto"/>
                    <w:jc w:val="center"/>
                    <w:rPr>
                      <w:szCs w:val="21"/>
                    </w:rPr>
                  </w:pPr>
                  <w:r>
                    <w:rPr>
                      <w:spacing w:val="-1"/>
                      <w:szCs w:val="21"/>
                    </w:rPr>
                    <w:t>合计</w:t>
                  </w:r>
                </w:p>
              </w:tc>
              <w:tc>
                <w:tcPr>
                  <w:tcW w:w="764" w:type="pct"/>
                  <w:noWrap w:val="0"/>
                  <w:vAlign w:val="center"/>
                </w:tcPr>
                <w:p w14:paraId="5A6E5F71">
                  <w:pPr>
                    <w:widowControl/>
                    <w:spacing w:line="240" w:lineRule="auto"/>
                    <w:jc w:val="center"/>
                    <w:rPr>
                      <w:rFonts w:hint="default" w:eastAsia="宋体"/>
                      <w:kern w:val="0"/>
                      <w:szCs w:val="21"/>
                      <w:lang w:val="en-US" w:eastAsia="zh-CN"/>
                    </w:rPr>
                  </w:pPr>
                  <w:r>
                    <w:rPr>
                      <w:rFonts w:hint="eastAsia"/>
                      <w:kern w:val="0"/>
                      <w:szCs w:val="21"/>
                      <w:lang w:val="en-US" w:eastAsia="zh-CN"/>
                    </w:rPr>
                    <w:t>37.3</w:t>
                  </w:r>
                </w:p>
              </w:tc>
              <w:tc>
                <w:tcPr>
                  <w:tcW w:w="641" w:type="pct"/>
                  <w:noWrap w:val="0"/>
                  <w:vAlign w:val="center"/>
                </w:tcPr>
                <w:p w14:paraId="42231E20">
                  <w:pPr>
                    <w:adjustRightInd w:val="0"/>
                    <w:snapToGrid w:val="0"/>
                    <w:spacing w:line="240" w:lineRule="auto"/>
                    <w:jc w:val="center"/>
                    <w:rPr>
                      <w:szCs w:val="21"/>
                    </w:rPr>
                  </w:pPr>
                </w:p>
              </w:tc>
            </w:tr>
          </w:tbl>
          <w:p w14:paraId="37FD2B08">
            <w:pPr>
              <w:pStyle w:val="2"/>
              <w:rPr>
                <w:color w:val="auto"/>
                <w:highlight w:val="none"/>
              </w:rPr>
            </w:pPr>
          </w:p>
          <w:p w14:paraId="3EE4C512">
            <w:pPr>
              <w:pStyle w:val="2"/>
            </w:pPr>
          </w:p>
          <w:p w14:paraId="4A7B2533">
            <w:pPr>
              <w:adjustRightInd w:val="0"/>
              <w:snapToGrid w:val="0"/>
              <w:spacing w:line="360" w:lineRule="auto"/>
              <w:rPr>
                <w:b/>
                <w:kern w:val="0"/>
                <w:sz w:val="28"/>
                <w:szCs w:val="28"/>
                <w:vertAlign w:val="baseline"/>
              </w:rPr>
            </w:pPr>
          </w:p>
        </w:tc>
      </w:tr>
    </w:tbl>
    <w:p w14:paraId="6C500BDB">
      <w:pPr>
        <w:adjustRightInd w:val="0"/>
        <w:snapToGrid w:val="0"/>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45A0034">
      <w:pPr>
        <w:pStyle w:val="9"/>
        <w:spacing w:before="0" w:beforeAutospacing="0" w:after="0" w:afterAutospacing="0"/>
        <w:outlineLvl w:val="0"/>
        <w:rPr>
          <w:rFonts w:ascii="Times New Roman" w:hAnsi="Times New Roman" w:eastAsia="黑体"/>
          <w:snapToGrid w:val="0"/>
          <w:sz w:val="30"/>
          <w:szCs w:val="30"/>
        </w:rPr>
      </w:pPr>
      <w:bookmarkStart w:id="12" w:name="_Toc1966"/>
      <w:r>
        <w:rPr>
          <w:rFonts w:ascii="Times New Roman" w:hAnsi="Times New Roman" w:eastAsia="黑体"/>
          <w:snapToGrid w:val="0"/>
          <w:sz w:val="30"/>
          <w:szCs w:val="30"/>
        </w:rPr>
        <w:t>五、</w:t>
      </w:r>
      <w:bookmarkStart w:id="13" w:name="_Hlk54167917"/>
      <w:r>
        <w:rPr>
          <w:rFonts w:ascii="Times New Roman" w:hAnsi="Times New Roman" w:eastAsia="黑体"/>
          <w:snapToGrid w:val="0"/>
          <w:sz w:val="30"/>
          <w:szCs w:val="30"/>
        </w:rPr>
        <w:t>环境保护措施监督检查清单</w:t>
      </w:r>
      <w:bookmarkEnd w:id="12"/>
      <w:bookmarkEnd w:id="13"/>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707"/>
        <w:gridCol w:w="1584"/>
        <w:gridCol w:w="2232"/>
        <w:gridCol w:w="1862"/>
      </w:tblGrid>
      <w:tr w14:paraId="18D36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tcBorders>
              <w:tl2br w:val="single" w:color="auto" w:sz="4" w:space="0"/>
            </w:tcBorders>
            <w:noWrap w:val="0"/>
            <w:vAlign w:val="top"/>
          </w:tcPr>
          <w:p w14:paraId="2A65876D">
            <w:pPr>
              <w:adjustRightInd w:val="0"/>
              <w:snapToGrid w:val="0"/>
              <w:ind w:firstLine="630" w:firstLineChars="300"/>
              <w:rPr>
                <w:sz w:val="21"/>
                <w:szCs w:val="21"/>
              </w:rPr>
            </w:pPr>
            <w:r>
              <w:rPr>
                <w:sz w:val="21"/>
                <w:szCs w:val="21"/>
              </w:rPr>
              <w:t>内容</w:t>
            </w:r>
          </w:p>
          <w:p w14:paraId="51CD2037">
            <w:pPr>
              <w:adjustRightInd w:val="0"/>
              <w:snapToGrid w:val="0"/>
              <w:rPr>
                <w:sz w:val="21"/>
                <w:szCs w:val="21"/>
              </w:rPr>
            </w:pPr>
            <w:r>
              <w:rPr>
                <w:sz w:val="21"/>
                <w:szCs w:val="21"/>
              </w:rPr>
              <w:t>要素</w:t>
            </w:r>
          </w:p>
        </w:tc>
        <w:tc>
          <w:tcPr>
            <w:tcW w:w="1707" w:type="dxa"/>
            <w:noWrap w:val="0"/>
            <w:vAlign w:val="center"/>
          </w:tcPr>
          <w:p w14:paraId="2EF64F33">
            <w:pPr>
              <w:adjustRightInd w:val="0"/>
              <w:snapToGrid w:val="0"/>
              <w:jc w:val="center"/>
              <w:rPr>
                <w:sz w:val="21"/>
                <w:szCs w:val="21"/>
              </w:rPr>
            </w:pPr>
            <w:r>
              <w:rPr>
                <w:sz w:val="21"/>
                <w:szCs w:val="21"/>
              </w:rPr>
              <w:t>排放口</w:t>
            </w:r>
            <w:r>
              <w:rPr>
                <w:rFonts w:hint="eastAsia"/>
                <w:sz w:val="21"/>
                <w:szCs w:val="21"/>
              </w:rPr>
              <w:t>（</w:t>
            </w:r>
            <w:r>
              <w:rPr>
                <w:sz w:val="21"/>
                <w:szCs w:val="21"/>
              </w:rPr>
              <w:t>编号、名称</w:t>
            </w:r>
            <w:r>
              <w:rPr>
                <w:rFonts w:hint="eastAsia"/>
                <w:sz w:val="21"/>
                <w:szCs w:val="21"/>
              </w:rPr>
              <w:t>）</w:t>
            </w:r>
            <w:r>
              <w:rPr>
                <w:sz w:val="21"/>
                <w:szCs w:val="21"/>
              </w:rPr>
              <w:t>/污染源</w:t>
            </w:r>
          </w:p>
        </w:tc>
        <w:tc>
          <w:tcPr>
            <w:tcW w:w="1584" w:type="dxa"/>
            <w:noWrap w:val="0"/>
            <w:vAlign w:val="center"/>
          </w:tcPr>
          <w:p w14:paraId="667824E6">
            <w:pPr>
              <w:adjustRightInd w:val="0"/>
              <w:snapToGrid w:val="0"/>
              <w:jc w:val="center"/>
              <w:rPr>
                <w:sz w:val="21"/>
                <w:szCs w:val="21"/>
              </w:rPr>
            </w:pPr>
            <w:r>
              <w:rPr>
                <w:sz w:val="21"/>
                <w:szCs w:val="21"/>
              </w:rPr>
              <w:t>污染物项目</w:t>
            </w:r>
          </w:p>
        </w:tc>
        <w:tc>
          <w:tcPr>
            <w:tcW w:w="2232" w:type="dxa"/>
            <w:noWrap w:val="0"/>
            <w:vAlign w:val="center"/>
          </w:tcPr>
          <w:p w14:paraId="3A3218D1">
            <w:pPr>
              <w:adjustRightInd w:val="0"/>
              <w:snapToGrid w:val="0"/>
              <w:jc w:val="center"/>
              <w:rPr>
                <w:sz w:val="21"/>
                <w:szCs w:val="21"/>
              </w:rPr>
            </w:pPr>
            <w:r>
              <w:rPr>
                <w:sz w:val="21"/>
                <w:szCs w:val="21"/>
              </w:rPr>
              <w:t>环境保护措施</w:t>
            </w:r>
          </w:p>
        </w:tc>
        <w:tc>
          <w:tcPr>
            <w:tcW w:w="1862" w:type="dxa"/>
            <w:noWrap w:val="0"/>
            <w:vAlign w:val="center"/>
          </w:tcPr>
          <w:p w14:paraId="2DE3DD07">
            <w:pPr>
              <w:adjustRightInd w:val="0"/>
              <w:snapToGrid w:val="0"/>
              <w:jc w:val="center"/>
              <w:rPr>
                <w:sz w:val="21"/>
                <w:szCs w:val="21"/>
              </w:rPr>
            </w:pPr>
            <w:r>
              <w:rPr>
                <w:sz w:val="21"/>
                <w:szCs w:val="21"/>
              </w:rPr>
              <w:t>执行标准</w:t>
            </w:r>
          </w:p>
        </w:tc>
      </w:tr>
      <w:tr w14:paraId="3BF9B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415" w:type="dxa"/>
            <w:vMerge w:val="restart"/>
            <w:noWrap w:val="0"/>
            <w:vAlign w:val="center"/>
          </w:tcPr>
          <w:p w14:paraId="5974A4E7">
            <w:pPr>
              <w:adjustRightInd w:val="0"/>
              <w:snapToGrid w:val="0"/>
              <w:jc w:val="center"/>
              <w:rPr>
                <w:sz w:val="21"/>
                <w:szCs w:val="21"/>
              </w:rPr>
            </w:pPr>
            <w:r>
              <w:rPr>
                <w:sz w:val="21"/>
                <w:szCs w:val="21"/>
              </w:rPr>
              <w:t>大气环境</w:t>
            </w:r>
          </w:p>
        </w:tc>
        <w:tc>
          <w:tcPr>
            <w:tcW w:w="1707" w:type="dxa"/>
            <w:vMerge w:val="restart"/>
            <w:noWrap w:val="0"/>
            <w:vAlign w:val="center"/>
          </w:tcPr>
          <w:p w14:paraId="7CF9ED1F">
            <w:pPr>
              <w:adjustRightInd w:val="0"/>
              <w:snapToGrid w:val="0"/>
              <w:jc w:val="center"/>
              <w:rPr>
                <w:rFonts w:hint="eastAsia"/>
                <w:sz w:val="21"/>
                <w:szCs w:val="21"/>
              </w:rPr>
            </w:pPr>
            <w:r>
              <w:rPr>
                <w:rFonts w:hint="eastAsia"/>
                <w:sz w:val="21"/>
                <w:szCs w:val="21"/>
                <w:lang w:val="en-US" w:eastAsia="zh-CN"/>
              </w:rPr>
              <w:t>注塑车间</w:t>
            </w:r>
            <w:r>
              <w:rPr>
                <w:rFonts w:hint="eastAsia"/>
                <w:sz w:val="21"/>
                <w:szCs w:val="21"/>
              </w:rPr>
              <w:t>排气口</w:t>
            </w:r>
          </w:p>
          <w:p w14:paraId="7EB6A510">
            <w:pPr>
              <w:adjustRightInd w:val="0"/>
              <w:snapToGrid w:val="0"/>
              <w:jc w:val="center"/>
              <w:rPr>
                <w:rFonts w:hint="eastAsia"/>
                <w:sz w:val="21"/>
                <w:szCs w:val="21"/>
              </w:rPr>
            </w:pPr>
            <w:r>
              <w:rPr>
                <w:rFonts w:hint="eastAsia"/>
                <w:sz w:val="21"/>
                <w:szCs w:val="21"/>
              </w:rPr>
              <w:t>（DA001）</w:t>
            </w:r>
          </w:p>
        </w:tc>
        <w:tc>
          <w:tcPr>
            <w:tcW w:w="1584" w:type="dxa"/>
            <w:noWrap w:val="0"/>
            <w:vAlign w:val="center"/>
          </w:tcPr>
          <w:p w14:paraId="7619EC7C">
            <w:pPr>
              <w:adjustRightInd w:val="0"/>
              <w:snapToGrid w:val="0"/>
              <w:jc w:val="center"/>
              <w:rPr>
                <w:rFonts w:hint="default"/>
                <w:sz w:val="21"/>
                <w:szCs w:val="21"/>
                <w:lang w:val="en-US"/>
              </w:rPr>
            </w:pPr>
            <w:r>
              <w:rPr>
                <w:rFonts w:hint="eastAsia" w:ascii="Times New Roman" w:hAnsi="Times New Roman" w:eastAsia="宋体" w:cs="Times New Roman"/>
                <w:sz w:val="21"/>
                <w:szCs w:val="21"/>
                <w:lang w:eastAsia="zh-CN"/>
              </w:rPr>
              <w:t>颗粒物</w:t>
            </w:r>
          </w:p>
        </w:tc>
        <w:tc>
          <w:tcPr>
            <w:tcW w:w="2232" w:type="dxa"/>
            <w:noWrap w:val="0"/>
            <w:vAlign w:val="center"/>
          </w:tcPr>
          <w:p w14:paraId="1934402B">
            <w:pPr>
              <w:adjustRightInd w:val="0"/>
              <w:snapToGrid w:val="0"/>
              <w:jc w:val="center"/>
              <w:rPr>
                <w:rFonts w:hint="default"/>
                <w:sz w:val="21"/>
                <w:szCs w:val="21"/>
                <w:lang w:val="en-US"/>
              </w:rPr>
            </w:pPr>
            <w:r>
              <w:rPr>
                <w:rFonts w:hint="eastAsia"/>
                <w:sz w:val="21"/>
                <w:szCs w:val="21"/>
                <w:lang w:val="en-US" w:eastAsia="zh-CN"/>
              </w:rPr>
              <w:t>集气罩收集+布袋除尘器+</w:t>
            </w:r>
            <w:r>
              <w:rPr>
                <w:sz w:val="21"/>
                <w:szCs w:val="21"/>
              </w:rPr>
              <w:t>15m排气筒</w:t>
            </w:r>
          </w:p>
        </w:tc>
        <w:tc>
          <w:tcPr>
            <w:tcW w:w="1862" w:type="dxa"/>
            <w:vMerge w:val="restart"/>
            <w:noWrap w:val="0"/>
            <w:vAlign w:val="center"/>
          </w:tcPr>
          <w:p w14:paraId="4F704C67">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颗粒物执行</w:t>
            </w:r>
            <w:r>
              <w:rPr>
                <w:color w:val="auto"/>
                <w:sz w:val="21"/>
                <w:szCs w:val="21"/>
                <w:highlight w:val="none"/>
              </w:rPr>
              <w:t>《大气污染物综合排放标准》（GB16297-1996）</w:t>
            </w:r>
            <w:r>
              <w:rPr>
                <w:rFonts w:hint="eastAsia"/>
                <w:color w:val="auto"/>
                <w:sz w:val="21"/>
                <w:szCs w:val="21"/>
                <w:highlight w:val="none"/>
                <w:lang w:eastAsia="zh-CN"/>
              </w:rPr>
              <w:t>；</w:t>
            </w:r>
          </w:p>
          <w:p w14:paraId="7AEA6260">
            <w:pPr>
              <w:keepNext w:val="0"/>
              <w:keepLines w:val="0"/>
              <w:pageBreakBefore w:val="0"/>
              <w:widowControl w:val="0"/>
              <w:kinsoku/>
              <w:wordWrap w:val="0"/>
              <w:overflowPunct/>
              <w:topLinePunct w:val="0"/>
              <w:autoSpaceDE/>
              <w:autoSpaceDN/>
              <w:bidi w:val="0"/>
              <w:adjustRightInd w:val="0"/>
              <w:snapToGrid w:val="0"/>
              <w:jc w:val="center"/>
              <w:textAlignment w:val="auto"/>
              <w:rPr>
                <w:sz w:val="21"/>
                <w:szCs w:val="21"/>
              </w:rPr>
            </w:pPr>
            <w:r>
              <w:rPr>
                <w:rFonts w:hint="eastAsia"/>
                <w:bCs/>
                <w:szCs w:val="21"/>
                <w:lang w:val="en-US" w:eastAsia="zh-CN"/>
              </w:rPr>
              <w:t>其他执行</w:t>
            </w:r>
            <w:r>
              <w:rPr>
                <w:bCs/>
                <w:szCs w:val="21"/>
              </w:rPr>
              <w:t>《四川省固定污染源大气挥发性有机物排放标准》</w:t>
            </w:r>
            <w:r>
              <w:t>DB51/2377-2017</w:t>
            </w:r>
          </w:p>
        </w:tc>
      </w:tr>
      <w:tr w14:paraId="21EBE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15" w:type="dxa"/>
            <w:vMerge w:val="continue"/>
            <w:noWrap w:val="0"/>
            <w:vAlign w:val="center"/>
          </w:tcPr>
          <w:p w14:paraId="21C69EEC">
            <w:pPr>
              <w:adjustRightInd w:val="0"/>
              <w:snapToGrid w:val="0"/>
              <w:jc w:val="center"/>
              <w:rPr>
                <w:sz w:val="21"/>
                <w:szCs w:val="21"/>
              </w:rPr>
            </w:pPr>
          </w:p>
        </w:tc>
        <w:tc>
          <w:tcPr>
            <w:tcW w:w="1707" w:type="dxa"/>
            <w:vMerge w:val="continue"/>
            <w:noWrap w:val="0"/>
            <w:vAlign w:val="center"/>
          </w:tcPr>
          <w:p w14:paraId="34A7ED84">
            <w:pPr>
              <w:adjustRightInd w:val="0"/>
              <w:snapToGrid w:val="0"/>
              <w:jc w:val="center"/>
              <w:rPr>
                <w:rFonts w:hint="eastAsia"/>
                <w:sz w:val="21"/>
                <w:szCs w:val="21"/>
              </w:rPr>
            </w:pPr>
          </w:p>
        </w:tc>
        <w:tc>
          <w:tcPr>
            <w:tcW w:w="1584" w:type="dxa"/>
            <w:noWrap w:val="0"/>
            <w:vAlign w:val="center"/>
          </w:tcPr>
          <w:p w14:paraId="00548260">
            <w:pPr>
              <w:adjustRightInd w:val="0"/>
              <w:snapToGrid w:val="0"/>
              <w:jc w:val="center"/>
              <w:rPr>
                <w:rFonts w:hint="eastAsia" w:ascii="Times New Roman" w:hAnsi="Times New Roman" w:eastAsia="宋体" w:cs="Times New Roman"/>
                <w:sz w:val="21"/>
                <w:szCs w:val="21"/>
                <w:lang w:eastAsia="zh-CN"/>
              </w:rPr>
            </w:pPr>
            <w:r>
              <w:rPr>
                <w:rFonts w:hint="eastAsia"/>
                <w:sz w:val="21"/>
                <w:szCs w:val="21"/>
                <w:lang w:val="en-US" w:eastAsia="zh-CN"/>
              </w:rPr>
              <w:t>VOCs（以非甲烷总烃计）、苯乙烯</w:t>
            </w:r>
          </w:p>
        </w:tc>
        <w:tc>
          <w:tcPr>
            <w:tcW w:w="2232" w:type="dxa"/>
            <w:noWrap w:val="0"/>
            <w:vAlign w:val="center"/>
          </w:tcPr>
          <w:p w14:paraId="5F359E2D">
            <w:pPr>
              <w:adjustRightInd w:val="0"/>
              <w:snapToGrid w:val="0"/>
              <w:jc w:val="center"/>
              <w:rPr>
                <w:rFonts w:hint="default"/>
                <w:sz w:val="21"/>
                <w:szCs w:val="21"/>
                <w:lang w:val="en-US" w:eastAsia="zh-CN"/>
              </w:rPr>
            </w:pPr>
            <w:r>
              <w:rPr>
                <w:rFonts w:hint="eastAsia"/>
                <w:sz w:val="21"/>
                <w:szCs w:val="21"/>
                <w:lang w:val="en-US" w:eastAsia="zh-CN"/>
              </w:rPr>
              <w:t>二级活性炭吸附装置+</w:t>
            </w:r>
            <w:r>
              <w:rPr>
                <w:sz w:val="21"/>
                <w:szCs w:val="21"/>
              </w:rPr>
              <w:t>15m排气筒</w:t>
            </w:r>
          </w:p>
        </w:tc>
        <w:tc>
          <w:tcPr>
            <w:tcW w:w="1862" w:type="dxa"/>
            <w:vMerge w:val="continue"/>
            <w:noWrap w:val="0"/>
            <w:vAlign w:val="center"/>
          </w:tcPr>
          <w:p w14:paraId="1246200A">
            <w:pPr>
              <w:adjustRightInd w:val="0"/>
              <w:snapToGrid w:val="0"/>
              <w:jc w:val="center"/>
              <w:rPr>
                <w:color w:val="auto"/>
                <w:sz w:val="21"/>
                <w:szCs w:val="21"/>
                <w:highlight w:val="none"/>
              </w:rPr>
            </w:pPr>
          </w:p>
        </w:tc>
      </w:tr>
      <w:tr w14:paraId="3F402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continue"/>
            <w:noWrap w:val="0"/>
            <w:vAlign w:val="center"/>
          </w:tcPr>
          <w:p w14:paraId="3D1A7257">
            <w:pPr>
              <w:adjustRightInd w:val="0"/>
              <w:snapToGrid w:val="0"/>
              <w:jc w:val="center"/>
              <w:rPr>
                <w:sz w:val="21"/>
                <w:szCs w:val="21"/>
              </w:rPr>
            </w:pPr>
          </w:p>
        </w:tc>
        <w:tc>
          <w:tcPr>
            <w:tcW w:w="1707" w:type="dxa"/>
            <w:noWrap w:val="0"/>
            <w:vAlign w:val="center"/>
          </w:tcPr>
          <w:p w14:paraId="5C41AE10">
            <w:pPr>
              <w:adjustRightInd w:val="0"/>
              <w:snapToGrid w:val="0"/>
              <w:jc w:val="center"/>
              <w:rPr>
                <w:rFonts w:hint="default" w:eastAsia="宋体"/>
                <w:sz w:val="21"/>
                <w:szCs w:val="21"/>
                <w:lang w:val="en-US" w:eastAsia="zh-CN"/>
              </w:rPr>
            </w:pPr>
            <w:r>
              <w:rPr>
                <w:rFonts w:hint="eastAsia"/>
                <w:sz w:val="21"/>
                <w:szCs w:val="21"/>
                <w:lang w:val="en-US" w:eastAsia="zh-CN"/>
              </w:rPr>
              <w:t>喷涂车间排放口（DA002~DA007）</w:t>
            </w:r>
          </w:p>
        </w:tc>
        <w:tc>
          <w:tcPr>
            <w:tcW w:w="1584" w:type="dxa"/>
            <w:noWrap w:val="0"/>
            <w:vAlign w:val="center"/>
          </w:tcPr>
          <w:p w14:paraId="3A1E3ECA">
            <w:pPr>
              <w:adjustRightInd w:val="0"/>
              <w:snapToGrid w:val="0"/>
              <w:jc w:val="center"/>
              <w:rPr>
                <w:rFonts w:hint="default" w:eastAsia="宋体"/>
                <w:sz w:val="21"/>
                <w:szCs w:val="21"/>
                <w:lang w:val="en-US" w:eastAsia="zh-CN"/>
              </w:rPr>
            </w:pPr>
            <w:r>
              <w:rPr>
                <w:rFonts w:hint="eastAsia"/>
                <w:sz w:val="21"/>
                <w:szCs w:val="21"/>
              </w:rPr>
              <w:t>颗粒物</w:t>
            </w:r>
            <w:r>
              <w:rPr>
                <w:rFonts w:hint="eastAsia"/>
                <w:sz w:val="21"/>
                <w:szCs w:val="21"/>
                <w:lang w:eastAsia="zh-CN"/>
              </w:rPr>
              <w:t>、</w:t>
            </w:r>
            <w:r>
              <w:rPr>
                <w:rFonts w:hint="eastAsia"/>
                <w:sz w:val="21"/>
                <w:szCs w:val="21"/>
                <w:lang w:val="en-US" w:eastAsia="zh-CN"/>
              </w:rPr>
              <w:t>VOCs（以非甲烷总烃计）</w:t>
            </w:r>
          </w:p>
        </w:tc>
        <w:tc>
          <w:tcPr>
            <w:tcW w:w="2232" w:type="dxa"/>
            <w:noWrap w:val="0"/>
            <w:vAlign w:val="center"/>
          </w:tcPr>
          <w:p w14:paraId="03BAEE7B">
            <w:pPr>
              <w:adjustRightInd w:val="0"/>
              <w:snapToGrid w:val="0"/>
              <w:jc w:val="center"/>
              <w:rPr>
                <w:rFonts w:hint="default" w:eastAsia="宋体"/>
                <w:sz w:val="21"/>
                <w:szCs w:val="21"/>
                <w:lang w:val="en-US" w:eastAsia="zh-CN"/>
              </w:rPr>
            </w:pPr>
            <w:r>
              <w:rPr>
                <w:rFonts w:hint="eastAsia" w:ascii="Times New Roman" w:hAnsi="Times New Roman" w:cs="Times New Roman"/>
                <w:color w:val="000000" w:themeColor="text1"/>
                <w:spacing w:val="1"/>
                <w:sz w:val="21"/>
                <w:szCs w:val="21"/>
                <w:highlight w:val="none"/>
                <w:lang w:val="en-US" w:eastAsia="zh-CN"/>
                <w14:textFill>
                  <w14:solidFill>
                    <w14:schemeClr w14:val="tx1"/>
                  </w14:solidFill>
                </w14:textFill>
              </w:rPr>
              <w:t>水帘水洗柜除漆雾装置+过滤棉</w:t>
            </w:r>
            <w:r>
              <w:rPr>
                <w:rFonts w:hint="eastAsia" w:cs="Times New Roman"/>
                <w:color w:val="000000" w:themeColor="text1"/>
                <w:spacing w:val="1"/>
                <w:sz w:val="21"/>
                <w:szCs w:val="21"/>
                <w:highlight w:val="none"/>
                <w:lang w:val="en-US" w:eastAsia="zh-CN"/>
                <w14:textFill>
                  <w14:solidFill>
                    <w14:schemeClr w14:val="tx1"/>
                  </w14:solidFill>
                </w14:textFill>
              </w:rPr>
              <w:t>+二级活性炭吸附装置</w:t>
            </w:r>
            <w:r>
              <w:rPr>
                <w:rFonts w:hint="eastAsia"/>
                <w:sz w:val="21"/>
                <w:szCs w:val="21"/>
                <w:lang w:val="en-US" w:eastAsia="zh-CN"/>
              </w:rPr>
              <w:t>+</w:t>
            </w:r>
            <w:r>
              <w:rPr>
                <w:sz w:val="21"/>
                <w:szCs w:val="21"/>
              </w:rPr>
              <w:t>15m排气筒</w:t>
            </w:r>
          </w:p>
        </w:tc>
        <w:tc>
          <w:tcPr>
            <w:tcW w:w="1862" w:type="dxa"/>
            <w:vMerge w:val="continue"/>
            <w:noWrap w:val="0"/>
            <w:vAlign w:val="center"/>
          </w:tcPr>
          <w:p w14:paraId="4AA4FEA6">
            <w:pPr>
              <w:adjustRightInd w:val="0"/>
              <w:snapToGrid w:val="0"/>
              <w:jc w:val="center"/>
              <w:rPr>
                <w:sz w:val="21"/>
                <w:szCs w:val="21"/>
              </w:rPr>
            </w:pPr>
          </w:p>
        </w:tc>
      </w:tr>
      <w:tr w14:paraId="264DBC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14:paraId="503A9FCC">
            <w:pPr>
              <w:adjustRightInd w:val="0"/>
              <w:snapToGrid w:val="0"/>
              <w:jc w:val="center"/>
              <w:rPr>
                <w:sz w:val="21"/>
                <w:szCs w:val="21"/>
              </w:rPr>
            </w:pPr>
            <w:r>
              <w:rPr>
                <w:sz w:val="21"/>
                <w:szCs w:val="21"/>
              </w:rPr>
              <w:t>地表水环境</w:t>
            </w:r>
          </w:p>
        </w:tc>
        <w:tc>
          <w:tcPr>
            <w:tcW w:w="1707" w:type="dxa"/>
            <w:noWrap w:val="0"/>
            <w:vAlign w:val="center"/>
          </w:tcPr>
          <w:p w14:paraId="5F7A4F7E">
            <w:pPr>
              <w:adjustRightInd w:val="0"/>
              <w:snapToGrid w:val="0"/>
              <w:jc w:val="center"/>
              <w:rPr>
                <w:sz w:val="21"/>
                <w:szCs w:val="21"/>
              </w:rPr>
            </w:pPr>
            <w:r>
              <w:rPr>
                <w:rFonts w:hint="eastAsia"/>
                <w:sz w:val="21"/>
                <w:szCs w:val="21"/>
                <w:lang w:val="en-US" w:eastAsia="zh-CN"/>
              </w:rPr>
              <w:t>废水排放口</w:t>
            </w:r>
            <w:r>
              <w:rPr>
                <w:sz w:val="21"/>
                <w:szCs w:val="21"/>
              </w:rPr>
              <w:t>（DW001）</w:t>
            </w:r>
          </w:p>
        </w:tc>
        <w:tc>
          <w:tcPr>
            <w:tcW w:w="1584" w:type="dxa"/>
            <w:noWrap w:val="0"/>
            <w:vAlign w:val="center"/>
          </w:tcPr>
          <w:p w14:paraId="3AC582E6">
            <w:pPr>
              <w:adjustRightInd w:val="0"/>
              <w:snapToGrid w:val="0"/>
              <w:jc w:val="center"/>
              <w:rPr>
                <w:sz w:val="21"/>
                <w:szCs w:val="21"/>
              </w:rPr>
            </w:pPr>
            <w:r>
              <w:rPr>
                <w:sz w:val="21"/>
                <w:szCs w:val="21"/>
              </w:rPr>
              <w:t>COD、BOD</w:t>
            </w:r>
            <w:r>
              <w:rPr>
                <w:sz w:val="21"/>
                <w:szCs w:val="21"/>
                <w:vertAlign w:val="subscript"/>
              </w:rPr>
              <w:t>5</w:t>
            </w:r>
            <w:r>
              <w:rPr>
                <w:sz w:val="21"/>
                <w:szCs w:val="21"/>
              </w:rPr>
              <w:t>、NH</w:t>
            </w:r>
            <w:r>
              <w:rPr>
                <w:sz w:val="21"/>
                <w:szCs w:val="21"/>
                <w:vertAlign w:val="subscript"/>
              </w:rPr>
              <w:t>3</w:t>
            </w:r>
            <w:r>
              <w:rPr>
                <w:sz w:val="21"/>
                <w:szCs w:val="21"/>
              </w:rPr>
              <w:t>-N、TP、TN等</w:t>
            </w:r>
          </w:p>
        </w:tc>
        <w:tc>
          <w:tcPr>
            <w:tcW w:w="2232" w:type="dxa"/>
            <w:noWrap w:val="0"/>
            <w:vAlign w:val="center"/>
          </w:tcPr>
          <w:p w14:paraId="6EA75E31">
            <w:pPr>
              <w:adjustRightInd w:val="0"/>
              <w:snapToGrid w:val="0"/>
              <w:jc w:val="both"/>
              <w:rPr>
                <w:sz w:val="21"/>
                <w:szCs w:val="21"/>
              </w:rPr>
            </w:pPr>
            <w:r>
              <w:rPr>
                <w:rFonts w:hint="eastAsia"/>
                <w:sz w:val="21"/>
                <w:szCs w:val="21"/>
                <w:lang w:val="en-US" w:eastAsia="zh-CN"/>
              </w:rPr>
              <w:t>注塑循环冷却水更新废水、地面清洗废水排入生活污水预处理池与</w:t>
            </w:r>
            <w:r>
              <w:rPr>
                <w:sz w:val="21"/>
                <w:szCs w:val="21"/>
              </w:rPr>
              <w:t>生活废水</w:t>
            </w:r>
            <w:r>
              <w:rPr>
                <w:rFonts w:hint="eastAsia"/>
                <w:sz w:val="21"/>
                <w:szCs w:val="21"/>
                <w:lang w:val="en-US" w:eastAsia="zh-CN"/>
              </w:rPr>
              <w:t>一起预处理</w:t>
            </w:r>
            <w:r>
              <w:rPr>
                <w:sz w:val="21"/>
                <w:szCs w:val="21"/>
              </w:rPr>
              <w:t>后排入市政污水管网送蓬溪县经开区污水处理厂处理</w:t>
            </w:r>
          </w:p>
        </w:tc>
        <w:tc>
          <w:tcPr>
            <w:tcW w:w="1862" w:type="dxa"/>
            <w:noWrap w:val="0"/>
            <w:vAlign w:val="center"/>
          </w:tcPr>
          <w:p w14:paraId="55F30F43">
            <w:pPr>
              <w:keepNext w:val="0"/>
              <w:keepLines w:val="0"/>
              <w:pageBreakBefore w:val="0"/>
              <w:widowControl w:val="0"/>
              <w:kinsoku/>
              <w:wordWrap w:val="0"/>
              <w:overflowPunct/>
              <w:topLinePunct w:val="0"/>
              <w:autoSpaceDE/>
              <w:autoSpaceDN/>
              <w:bidi w:val="0"/>
              <w:adjustRightInd w:val="0"/>
              <w:snapToGrid w:val="0"/>
              <w:jc w:val="center"/>
              <w:textAlignment w:val="auto"/>
              <w:rPr>
                <w:sz w:val="21"/>
                <w:szCs w:val="21"/>
              </w:rPr>
            </w:pPr>
            <w:r>
              <w:rPr>
                <w:sz w:val="21"/>
                <w:szCs w:val="21"/>
              </w:rPr>
              <w:t>《污水综合排放标准》（GB8978-1996）三级</w:t>
            </w:r>
          </w:p>
        </w:tc>
      </w:tr>
      <w:tr w14:paraId="7A379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14:paraId="104E6863">
            <w:pPr>
              <w:adjustRightInd w:val="0"/>
              <w:snapToGrid w:val="0"/>
              <w:jc w:val="center"/>
              <w:rPr>
                <w:sz w:val="21"/>
                <w:szCs w:val="21"/>
              </w:rPr>
            </w:pPr>
            <w:r>
              <w:rPr>
                <w:sz w:val="21"/>
                <w:szCs w:val="21"/>
              </w:rPr>
              <w:t>声环境</w:t>
            </w:r>
          </w:p>
        </w:tc>
        <w:tc>
          <w:tcPr>
            <w:tcW w:w="1707" w:type="dxa"/>
            <w:noWrap w:val="0"/>
            <w:vAlign w:val="center"/>
          </w:tcPr>
          <w:p w14:paraId="0419ECCD">
            <w:pPr>
              <w:adjustRightInd w:val="0"/>
              <w:snapToGrid w:val="0"/>
              <w:jc w:val="center"/>
              <w:rPr>
                <w:sz w:val="21"/>
                <w:szCs w:val="21"/>
              </w:rPr>
            </w:pPr>
            <w:r>
              <w:rPr>
                <w:sz w:val="21"/>
                <w:szCs w:val="21"/>
              </w:rPr>
              <w:t>生产线设备</w:t>
            </w:r>
          </w:p>
        </w:tc>
        <w:tc>
          <w:tcPr>
            <w:tcW w:w="1584" w:type="dxa"/>
            <w:noWrap w:val="0"/>
            <w:vAlign w:val="center"/>
          </w:tcPr>
          <w:p w14:paraId="73A26448">
            <w:pPr>
              <w:adjustRightInd w:val="0"/>
              <w:snapToGrid w:val="0"/>
              <w:jc w:val="center"/>
              <w:rPr>
                <w:sz w:val="21"/>
                <w:szCs w:val="21"/>
              </w:rPr>
            </w:pPr>
            <w:r>
              <w:rPr>
                <w:sz w:val="21"/>
                <w:szCs w:val="21"/>
              </w:rPr>
              <w:t>设备噪声</w:t>
            </w:r>
          </w:p>
        </w:tc>
        <w:tc>
          <w:tcPr>
            <w:tcW w:w="2232" w:type="dxa"/>
            <w:noWrap w:val="0"/>
            <w:vAlign w:val="center"/>
          </w:tcPr>
          <w:p w14:paraId="7DCD64E9">
            <w:pPr>
              <w:adjustRightInd w:val="0"/>
              <w:snapToGrid w:val="0"/>
              <w:jc w:val="center"/>
              <w:rPr>
                <w:sz w:val="21"/>
                <w:szCs w:val="21"/>
              </w:rPr>
            </w:pPr>
            <w:r>
              <w:rPr>
                <w:sz w:val="21"/>
                <w:szCs w:val="21"/>
              </w:rPr>
              <w:t>建筑结构屏蔽、设置减震设施、距离衰减</w:t>
            </w:r>
          </w:p>
        </w:tc>
        <w:tc>
          <w:tcPr>
            <w:tcW w:w="1862" w:type="dxa"/>
            <w:noWrap w:val="0"/>
            <w:vAlign w:val="center"/>
          </w:tcPr>
          <w:p w14:paraId="6C809CF5">
            <w:pPr>
              <w:keepNext w:val="0"/>
              <w:keepLines w:val="0"/>
              <w:pageBreakBefore w:val="0"/>
              <w:widowControl w:val="0"/>
              <w:kinsoku/>
              <w:wordWrap w:val="0"/>
              <w:overflowPunct/>
              <w:topLinePunct w:val="0"/>
              <w:autoSpaceDE/>
              <w:autoSpaceDN/>
              <w:bidi w:val="0"/>
              <w:adjustRightInd w:val="0"/>
              <w:snapToGrid w:val="0"/>
              <w:jc w:val="center"/>
              <w:textAlignment w:val="auto"/>
              <w:rPr>
                <w:sz w:val="21"/>
                <w:szCs w:val="21"/>
              </w:rPr>
            </w:pPr>
            <w:r>
              <w:rPr>
                <w:sz w:val="21"/>
                <w:szCs w:val="21"/>
              </w:rPr>
              <w:t>《工业企业厂界环境噪声排放标准》（GB12348-2008）3类标准</w:t>
            </w:r>
          </w:p>
        </w:tc>
      </w:tr>
      <w:tr w14:paraId="0C049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15" w:type="dxa"/>
            <w:noWrap w:val="0"/>
            <w:vAlign w:val="center"/>
          </w:tcPr>
          <w:p w14:paraId="1FD49F16">
            <w:pPr>
              <w:adjustRightInd w:val="0"/>
              <w:snapToGrid w:val="0"/>
              <w:jc w:val="center"/>
              <w:rPr>
                <w:sz w:val="21"/>
                <w:szCs w:val="21"/>
              </w:rPr>
            </w:pPr>
            <w:r>
              <w:rPr>
                <w:sz w:val="21"/>
                <w:szCs w:val="21"/>
              </w:rPr>
              <w:t>电磁辐射</w:t>
            </w:r>
          </w:p>
        </w:tc>
        <w:tc>
          <w:tcPr>
            <w:tcW w:w="7385" w:type="dxa"/>
            <w:gridSpan w:val="4"/>
            <w:noWrap w:val="0"/>
            <w:vAlign w:val="center"/>
          </w:tcPr>
          <w:p w14:paraId="027126E4">
            <w:pPr>
              <w:adjustRightInd w:val="0"/>
              <w:snapToGrid w:val="0"/>
              <w:jc w:val="center"/>
              <w:rPr>
                <w:sz w:val="21"/>
                <w:szCs w:val="21"/>
              </w:rPr>
            </w:pPr>
            <w:r>
              <w:rPr>
                <w:sz w:val="21"/>
                <w:szCs w:val="21"/>
              </w:rPr>
              <w:t>不涉及</w:t>
            </w:r>
          </w:p>
        </w:tc>
      </w:tr>
      <w:tr w14:paraId="02087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14:paraId="42A2EFE2">
            <w:pPr>
              <w:adjustRightInd w:val="0"/>
              <w:snapToGrid w:val="0"/>
              <w:jc w:val="center"/>
              <w:rPr>
                <w:sz w:val="21"/>
                <w:szCs w:val="21"/>
              </w:rPr>
            </w:pPr>
            <w:r>
              <w:rPr>
                <w:sz w:val="21"/>
                <w:szCs w:val="21"/>
              </w:rPr>
              <w:t>固体废物</w:t>
            </w:r>
          </w:p>
        </w:tc>
        <w:tc>
          <w:tcPr>
            <w:tcW w:w="7385" w:type="dxa"/>
            <w:gridSpan w:val="4"/>
            <w:noWrap w:val="0"/>
            <w:vAlign w:val="center"/>
          </w:tcPr>
          <w:p w14:paraId="059819F6">
            <w:pPr>
              <w:spacing w:line="360" w:lineRule="auto"/>
              <w:ind w:firstLine="420" w:firstLineChars="200"/>
              <w:rPr>
                <w:sz w:val="21"/>
                <w:szCs w:val="21"/>
              </w:rPr>
            </w:pPr>
            <w:r>
              <w:rPr>
                <w:sz w:val="21"/>
                <w:szCs w:val="21"/>
              </w:rPr>
              <w:t>运营期间本项目产生的固废主要为：生活垃圾</w:t>
            </w:r>
            <w:r>
              <w:rPr>
                <w:rFonts w:hint="eastAsia"/>
                <w:sz w:val="21"/>
                <w:szCs w:val="21"/>
              </w:rPr>
              <w:t>、</w:t>
            </w:r>
            <w:r>
              <w:rPr>
                <w:rFonts w:hint="eastAsia"/>
                <w:sz w:val="21"/>
                <w:szCs w:val="21"/>
                <w:lang w:val="en-US" w:eastAsia="zh-CN"/>
              </w:rPr>
              <w:t>除尘器粉尘、边角料及不良品、</w:t>
            </w:r>
            <w:r>
              <w:rPr>
                <w:sz w:val="21"/>
                <w:szCs w:val="21"/>
              </w:rPr>
              <w:t>废包装材料，废</w:t>
            </w:r>
            <w:r>
              <w:rPr>
                <w:rFonts w:hint="eastAsia"/>
                <w:sz w:val="21"/>
                <w:szCs w:val="21"/>
                <w:lang w:val="en-US" w:eastAsia="zh-CN"/>
              </w:rPr>
              <w:t>机</w:t>
            </w:r>
            <w:r>
              <w:rPr>
                <w:sz w:val="21"/>
                <w:szCs w:val="21"/>
              </w:rPr>
              <w:t>油及废</w:t>
            </w:r>
            <w:r>
              <w:rPr>
                <w:rFonts w:hint="eastAsia"/>
                <w:sz w:val="21"/>
                <w:szCs w:val="21"/>
                <w:lang w:val="en-US" w:eastAsia="zh-CN"/>
              </w:rPr>
              <w:t>机</w:t>
            </w:r>
            <w:r>
              <w:rPr>
                <w:sz w:val="21"/>
                <w:szCs w:val="21"/>
              </w:rPr>
              <w:t>油桶、废含</w:t>
            </w:r>
            <w:r>
              <w:rPr>
                <w:rFonts w:hint="eastAsia"/>
                <w:sz w:val="21"/>
                <w:szCs w:val="21"/>
                <w:lang w:val="en-US" w:eastAsia="zh-CN"/>
              </w:rPr>
              <w:t>油</w:t>
            </w:r>
            <w:r>
              <w:rPr>
                <w:sz w:val="21"/>
                <w:szCs w:val="21"/>
              </w:rPr>
              <w:t>手套及抹布、</w:t>
            </w:r>
            <w:r>
              <w:rPr>
                <w:rFonts w:hint="eastAsia"/>
                <w:sz w:val="21"/>
                <w:szCs w:val="21"/>
                <w:lang w:eastAsia="zh-CN"/>
              </w:rPr>
              <w:t>废过滤棉、</w:t>
            </w:r>
            <w:r>
              <w:rPr>
                <w:sz w:val="21"/>
                <w:szCs w:val="21"/>
              </w:rPr>
              <w:t>废活性炭</w:t>
            </w:r>
            <w:r>
              <w:rPr>
                <w:rFonts w:hint="eastAsia"/>
                <w:sz w:val="21"/>
                <w:szCs w:val="21"/>
                <w:lang w:eastAsia="zh-CN"/>
              </w:rPr>
              <w:t>、</w:t>
            </w:r>
            <w:r>
              <w:rPr>
                <w:rFonts w:hint="eastAsia"/>
                <w:sz w:val="21"/>
                <w:szCs w:val="21"/>
                <w:lang w:val="en-US" w:eastAsia="zh-CN"/>
              </w:rPr>
              <w:t>废漆渣、喷漆废水</w:t>
            </w:r>
            <w:r>
              <w:rPr>
                <w:sz w:val="21"/>
                <w:szCs w:val="21"/>
              </w:rPr>
              <w:t>。</w:t>
            </w:r>
          </w:p>
          <w:p w14:paraId="5B5FE92C">
            <w:pPr>
              <w:pStyle w:val="16"/>
              <w:spacing w:line="360" w:lineRule="auto"/>
              <w:ind w:firstLine="420" w:firstLineChars="200"/>
              <w:rPr>
                <w:sz w:val="21"/>
                <w:szCs w:val="21"/>
              </w:rPr>
            </w:pPr>
            <w:r>
              <w:rPr>
                <w:sz w:val="21"/>
                <w:szCs w:val="21"/>
              </w:rPr>
              <w:t>其中生活垃圾统一收集后交由蓬溪县市政环卫部门处置</w:t>
            </w:r>
            <w:r>
              <w:rPr>
                <w:rFonts w:hint="eastAsia"/>
                <w:sz w:val="21"/>
                <w:szCs w:val="21"/>
              </w:rPr>
              <w:t>；</w:t>
            </w:r>
            <w:r>
              <w:rPr>
                <w:rFonts w:hint="eastAsia"/>
                <w:sz w:val="21"/>
                <w:szCs w:val="21"/>
                <w:lang w:val="en-US" w:eastAsia="zh-CN"/>
              </w:rPr>
              <w:t>除尘器粉尘与破碎后的边角料及不良品作为原料回用于生产；</w:t>
            </w:r>
            <w:r>
              <w:rPr>
                <w:rFonts w:hint="eastAsia"/>
                <w:sz w:val="21"/>
                <w:szCs w:val="21"/>
              </w:rPr>
              <w:t>废包装材料</w:t>
            </w:r>
            <w:r>
              <w:rPr>
                <w:sz w:val="21"/>
                <w:szCs w:val="21"/>
              </w:rPr>
              <w:t>统一收集后出售给资源回收部门</w:t>
            </w:r>
            <w:r>
              <w:rPr>
                <w:rFonts w:hint="eastAsia"/>
                <w:sz w:val="21"/>
                <w:szCs w:val="21"/>
              </w:rPr>
              <w:t>；</w:t>
            </w:r>
            <w:r>
              <w:rPr>
                <w:sz w:val="21"/>
                <w:szCs w:val="21"/>
              </w:rPr>
              <w:t>废</w:t>
            </w:r>
            <w:r>
              <w:rPr>
                <w:rFonts w:hint="eastAsia"/>
                <w:sz w:val="21"/>
                <w:szCs w:val="21"/>
                <w:lang w:val="en-US" w:eastAsia="zh-CN"/>
              </w:rPr>
              <w:t>机</w:t>
            </w:r>
            <w:r>
              <w:rPr>
                <w:sz w:val="21"/>
                <w:szCs w:val="21"/>
              </w:rPr>
              <w:t>油及废</w:t>
            </w:r>
            <w:r>
              <w:rPr>
                <w:rFonts w:hint="eastAsia"/>
                <w:sz w:val="21"/>
                <w:szCs w:val="21"/>
                <w:lang w:val="en-US" w:eastAsia="zh-CN"/>
              </w:rPr>
              <w:t>机</w:t>
            </w:r>
            <w:r>
              <w:rPr>
                <w:sz w:val="21"/>
                <w:szCs w:val="21"/>
              </w:rPr>
              <w:t>油桶、废含</w:t>
            </w:r>
            <w:r>
              <w:rPr>
                <w:rFonts w:hint="eastAsia"/>
                <w:sz w:val="21"/>
                <w:szCs w:val="21"/>
                <w:lang w:val="en-US" w:eastAsia="zh-CN"/>
              </w:rPr>
              <w:t>油</w:t>
            </w:r>
            <w:r>
              <w:rPr>
                <w:sz w:val="21"/>
                <w:szCs w:val="21"/>
              </w:rPr>
              <w:t>手套及抹布、</w:t>
            </w:r>
            <w:r>
              <w:rPr>
                <w:rFonts w:hint="eastAsia"/>
                <w:sz w:val="21"/>
                <w:szCs w:val="21"/>
                <w:lang w:eastAsia="zh-CN"/>
              </w:rPr>
              <w:t>废过滤棉、</w:t>
            </w:r>
            <w:r>
              <w:rPr>
                <w:sz w:val="21"/>
                <w:szCs w:val="21"/>
              </w:rPr>
              <w:t>废活性炭收集后暂存于危废间内，定期委托资质单位处置。</w:t>
            </w:r>
          </w:p>
        </w:tc>
      </w:tr>
      <w:tr w14:paraId="2E9D4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14:paraId="185DE7B8">
            <w:pPr>
              <w:adjustRightInd w:val="0"/>
              <w:snapToGrid w:val="0"/>
              <w:jc w:val="center"/>
              <w:rPr>
                <w:sz w:val="21"/>
                <w:szCs w:val="21"/>
              </w:rPr>
            </w:pPr>
            <w:r>
              <w:rPr>
                <w:sz w:val="21"/>
                <w:szCs w:val="21"/>
              </w:rPr>
              <w:t>土壤及地下水</w:t>
            </w:r>
          </w:p>
          <w:p w14:paraId="34296F56">
            <w:pPr>
              <w:adjustRightInd w:val="0"/>
              <w:snapToGrid w:val="0"/>
              <w:jc w:val="center"/>
              <w:rPr>
                <w:sz w:val="21"/>
                <w:szCs w:val="21"/>
              </w:rPr>
            </w:pPr>
            <w:r>
              <w:rPr>
                <w:sz w:val="21"/>
                <w:szCs w:val="21"/>
              </w:rPr>
              <w:t>污染防治措施</w:t>
            </w:r>
          </w:p>
        </w:tc>
        <w:tc>
          <w:tcPr>
            <w:tcW w:w="7385" w:type="dxa"/>
            <w:gridSpan w:val="4"/>
            <w:noWrap w:val="0"/>
            <w:vAlign w:val="center"/>
          </w:tcPr>
          <w:p w14:paraId="15008ED3">
            <w:pPr>
              <w:pStyle w:val="16"/>
              <w:spacing w:line="360" w:lineRule="auto"/>
              <w:rPr>
                <w:rFonts w:hint="eastAsia" w:eastAsia="宋体"/>
                <w:sz w:val="21"/>
                <w:szCs w:val="21"/>
                <w:lang w:eastAsia="zh-CN"/>
              </w:rPr>
            </w:pPr>
            <w:r>
              <w:rPr>
                <w:sz w:val="21"/>
                <w:szCs w:val="21"/>
              </w:rPr>
              <w:t>①危废暂存间</w:t>
            </w:r>
            <w:r>
              <w:rPr>
                <w:rFonts w:hint="eastAsia"/>
                <w:sz w:val="21"/>
                <w:szCs w:val="21"/>
                <w:lang w:eastAsia="zh-CN"/>
              </w:rPr>
              <w:t>、</w:t>
            </w:r>
            <w:r>
              <w:rPr>
                <w:rFonts w:hint="eastAsia"/>
                <w:sz w:val="21"/>
                <w:szCs w:val="21"/>
              </w:rPr>
              <w:t>喷漆</w:t>
            </w:r>
            <w:r>
              <w:rPr>
                <w:rFonts w:hint="eastAsia"/>
                <w:sz w:val="21"/>
                <w:szCs w:val="21"/>
                <w:lang w:val="en-US" w:eastAsia="zh-CN"/>
              </w:rPr>
              <w:t>室</w:t>
            </w:r>
            <w:r>
              <w:rPr>
                <w:rFonts w:hint="eastAsia"/>
                <w:sz w:val="21"/>
                <w:szCs w:val="21"/>
              </w:rPr>
              <w:t>，调漆间、</w:t>
            </w:r>
            <w:r>
              <w:rPr>
                <w:rFonts w:hint="eastAsia"/>
                <w:sz w:val="21"/>
                <w:szCs w:val="21"/>
                <w:lang w:val="en-US" w:eastAsia="zh-CN"/>
              </w:rPr>
              <w:t>供</w:t>
            </w:r>
            <w:r>
              <w:rPr>
                <w:rFonts w:hint="eastAsia"/>
                <w:sz w:val="21"/>
                <w:szCs w:val="21"/>
              </w:rPr>
              <w:t>漆间</w:t>
            </w:r>
            <w:r>
              <w:rPr>
                <w:rFonts w:hint="eastAsia"/>
                <w:sz w:val="21"/>
                <w:szCs w:val="21"/>
                <w:lang w:eastAsia="zh-CN"/>
              </w:rPr>
              <w:t>、</w:t>
            </w:r>
            <w:r>
              <w:rPr>
                <w:rFonts w:hint="eastAsia"/>
                <w:sz w:val="21"/>
                <w:szCs w:val="21"/>
                <w:lang w:val="en-US" w:eastAsia="zh-CN"/>
              </w:rPr>
              <w:t>水帘柜沉淀池</w:t>
            </w:r>
            <w:r>
              <w:rPr>
                <w:sz w:val="21"/>
                <w:szCs w:val="21"/>
              </w:rPr>
              <w:t>划分为重点防渗区，</w:t>
            </w:r>
            <w:r>
              <w:rPr>
                <w:rFonts w:hint="eastAsia"/>
                <w:sz w:val="21"/>
                <w:szCs w:val="21"/>
                <w:lang w:val="en-US" w:eastAsia="zh-CN"/>
              </w:rPr>
              <w:t>危废暂存间</w:t>
            </w:r>
            <w:r>
              <w:rPr>
                <w:sz w:val="21"/>
                <w:szCs w:val="21"/>
              </w:rPr>
              <w:t>防渗要求：</w:t>
            </w:r>
            <w:r>
              <w:rPr>
                <w:rFonts w:hint="eastAsia" w:ascii="Times New Roman" w:hAnsi="Times New Roman" w:eastAsia="宋体" w:cs="Times New Roman"/>
                <w:b w:val="0"/>
                <w:bCs/>
                <w:kern w:val="2"/>
                <w:sz w:val="21"/>
                <w:szCs w:val="21"/>
                <w:lang w:val="en-US" w:eastAsia="zh-CN" w:bidi="ar-SA"/>
              </w:rPr>
              <w:t>地面采取在防渗混凝土硬化基础上，设置2mm厚HDPE防渗，满足渗透系数K≤1×10</w:t>
            </w:r>
            <w:r>
              <w:rPr>
                <w:rFonts w:hint="eastAsia" w:ascii="Times New Roman" w:hAnsi="Times New Roman" w:eastAsia="宋体" w:cs="Times New Roman"/>
                <w:b w:val="0"/>
                <w:bCs/>
                <w:kern w:val="2"/>
                <w:sz w:val="21"/>
                <w:szCs w:val="21"/>
                <w:vertAlign w:val="superscript"/>
                <w:lang w:val="en-US" w:eastAsia="zh-CN" w:bidi="ar-SA"/>
              </w:rPr>
              <w:t>-10</w:t>
            </w:r>
            <w:r>
              <w:rPr>
                <w:rFonts w:hint="eastAsia" w:ascii="Times New Roman" w:hAnsi="Times New Roman" w:eastAsia="宋体" w:cs="Times New Roman"/>
                <w:b w:val="0"/>
                <w:bCs/>
                <w:kern w:val="2"/>
                <w:sz w:val="21"/>
                <w:szCs w:val="21"/>
                <w:lang w:val="en-US" w:eastAsia="zh-CN" w:bidi="ar-SA"/>
              </w:rPr>
              <w:t>cm/s</w:t>
            </w:r>
            <w:r>
              <w:rPr>
                <w:sz w:val="21"/>
                <w:szCs w:val="21"/>
              </w:rPr>
              <w:t>，或参照GB18598执行</w:t>
            </w:r>
            <w:r>
              <w:rPr>
                <w:rFonts w:hint="eastAsia"/>
                <w:sz w:val="21"/>
                <w:szCs w:val="21"/>
              </w:rPr>
              <w:t>，或按本环评推荐方式建设</w:t>
            </w:r>
            <w:r>
              <w:rPr>
                <w:rFonts w:hint="eastAsia"/>
                <w:sz w:val="21"/>
                <w:szCs w:val="21"/>
                <w:lang w:eastAsia="zh-CN"/>
              </w:rPr>
              <w:t>；</w:t>
            </w:r>
            <w:r>
              <w:rPr>
                <w:rFonts w:hint="eastAsia"/>
                <w:sz w:val="21"/>
                <w:szCs w:val="21"/>
              </w:rPr>
              <w:t>喷漆</w:t>
            </w:r>
            <w:r>
              <w:rPr>
                <w:rFonts w:hint="eastAsia"/>
                <w:sz w:val="21"/>
                <w:szCs w:val="21"/>
                <w:lang w:val="en-US" w:eastAsia="zh-CN"/>
              </w:rPr>
              <w:t>室</w:t>
            </w:r>
            <w:r>
              <w:rPr>
                <w:rFonts w:hint="eastAsia"/>
                <w:sz w:val="21"/>
                <w:szCs w:val="21"/>
              </w:rPr>
              <w:t>，调漆间、</w:t>
            </w:r>
            <w:r>
              <w:rPr>
                <w:rFonts w:hint="eastAsia"/>
                <w:sz w:val="21"/>
                <w:szCs w:val="21"/>
                <w:lang w:val="en-US" w:eastAsia="zh-CN"/>
              </w:rPr>
              <w:t>供</w:t>
            </w:r>
            <w:r>
              <w:rPr>
                <w:rFonts w:hint="eastAsia"/>
                <w:sz w:val="21"/>
                <w:szCs w:val="21"/>
              </w:rPr>
              <w:t>漆间</w:t>
            </w:r>
            <w:r>
              <w:rPr>
                <w:rFonts w:hint="eastAsia"/>
                <w:sz w:val="21"/>
                <w:szCs w:val="21"/>
                <w:lang w:eastAsia="zh-CN"/>
              </w:rPr>
              <w:t>、</w:t>
            </w:r>
            <w:r>
              <w:rPr>
                <w:rFonts w:hint="eastAsia"/>
                <w:sz w:val="21"/>
                <w:szCs w:val="21"/>
                <w:lang w:val="en-US" w:eastAsia="zh-CN"/>
              </w:rPr>
              <w:t>水帘柜沉淀池</w:t>
            </w:r>
            <w:r>
              <w:rPr>
                <w:sz w:val="21"/>
                <w:szCs w:val="21"/>
              </w:rPr>
              <w:t>防渗要求</w:t>
            </w:r>
            <w:r>
              <w:rPr>
                <w:rFonts w:hint="eastAsia"/>
                <w:sz w:val="21"/>
                <w:szCs w:val="21"/>
                <w:lang w:eastAsia="zh-CN"/>
              </w:rPr>
              <w:t>：</w:t>
            </w:r>
            <w:r>
              <w:rPr>
                <w:rFonts w:hint="eastAsia" w:ascii="Times New Roman" w:hAnsi="Times New Roman" w:eastAsia="宋体" w:cs="Times New Roman"/>
                <w:b w:val="0"/>
                <w:bCs/>
                <w:kern w:val="2"/>
                <w:sz w:val="21"/>
                <w:szCs w:val="21"/>
                <w:lang w:val="en-US" w:eastAsia="zh-CN" w:bidi="ar-SA"/>
              </w:rPr>
              <w:t>地面采取在防渗混凝土硬化基础上，设置2mm厚HDPE防渗，满足</w:t>
            </w:r>
            <w:r>
              <w:rPr>
                <w:rFonts w:hint="eastAsia" w:cs="Times New Roman"/>
                <w:b w:val="0"/>
                <w:bCs/>
                <w:kern w:val="2"/>
                <w:sz w:val="21"/>
                <w:szCs w:val="21"/>
                <w:lang w:val="en-US" w:eastAsia="zh-CN" w:bidi="ar-SA"/>
              </w:rPr>
              <w:t>等效黏土防渗层</w:t>
            </w:r>
            <w:r>
              <w:rPr>
                <w:rFonts w:hint="eastAsia"/>
                <w:szCs w:val="21"/>
              </w:rPr>
              <w:t>Mb≥6.0m、渗透系数度数为≤10</w:t>
            </w:r>
            <w:r>
              <w:rPr>
                <w:rFonts w:hint="eastAsia"/>
                <w:szCs w:val="21"/>
                <w:vertAlign w:val="superscript"/>
              </w:rPr>
              <w:t>-7</w:t>
            </w:r>
            <w:r>
              <w:rPr>
                <w:rFonts w:hint="eastAsia"/>
                <w:szCs w:val="21"/>
              </w:rPr>
              <w:t>cm/s</w:t>
            </w:r>
            <w:r>
              <w:rPr>
                <w:rFonts w:hint="eastAsia"/>
                <w:szCs w:val="21"/>
                <w:lang w:eastAsia="zh-CN"/>
              </w:rPr>
              <w:t>，</w:t>
            </w:r>
            <w:r>
              <w:rPr>
                <w:sz w:val="21"/>
                <w:szCs w:val="21"/>
              </w:rPr>
              <w:t>或参照GB18598执行</w:t>
            </w:r>
            <w:r>
              <w:rPr>
                <w:rFonts w:hint="eastAsia"/>
                <w:sz w:val="21"/>
                <w:szCs w:val="21"/>
              </w:rPr>
              <w:t>，或按本环评推荐方式建设</w:t>
            </w:r>
            <w:r>
              <w:rPr>
                <w:rFonts w:hint="eastAsia"/>
                <w:sz w:val="21"/>
                <w:szCs w:val="21"/>
                <w:lang w:eastAsia="zh-CN"/>
              </w:rPr>
              <w:t>。</w:t>
            </w:r>
          </w:p>
          <w:p w14:paraId="4C1028C9">
            <w:pPr>
              <w:pStyle w:val="16"/>
              <w:spacing w:line="360" w:lineRule="auto"/>
              <w:rPr>
                <w:sz w:val="21"/>
                <w:szCs w:val="21"/>
              </w:rPr>
            </w:pPr>
            <w:r>
              <w:rPr>
                <w:sz w:val="21"/>
                <w:szCs w:val="21"/>
              </w:rPr>
              <w:t>②</w:t>
            </w:r>
            <w:r>
              <w:rPr>
                <w:rFonts w:hint="eastAsia"/>
                <w:szCs w:val="21"/>
              </w:rPr>
              <w:t>一般固废堆放区</w:t>
            </w:r>
            <w:r>
              <w:rPr>
                <w:rFonts w:hint="eastAsia"/>
                <w:szCs w:val="21"/>
                <w:lang w:eastAsia="zh-CN"/>
              </w:rPr>
              <w:t>、</w:t>
            </w:r>
            <w:r>
              <w:rPr>
                <w:rFonts w:hint="eastAsia"/>
                <w:szCs w:val="21"/>
                <w:lang w:val="en-US" w:eastAsia="zh-CN"/>
              </w:rPr>
              <w:t>生产车间其他区域</w:t>
            </w:r>
            <w:r>
              <w:rPr>
                <w:rFonts w:hint="eastAsia"/>
                <w:sz w:val="21"/>
                <w:szCs w:val="21"/>
              </w:rPr>
              <w:t>划分为一般防渗区，一般防渗区采用等效黏土防渗层Mb≥1.5m，K≤1×10</w:t>
            </w:r>
            <w:r>
              <w:rPr>
                <w:rFonts w:hint="eastAsia"/>
                <w:sz w:val="21"/>
                <w:szCs w:val="21"/>
                <w:vertAlign w:val="superscript"/>
              </w:rPr>
              <w:t>-7</w:t>
            </w:r>
            <w:r>
              <w:rPr>
                <w:rFonts w:hint="eastAsia"/>
                <w:sz w:val="21"/>
                <w:szCs w:val="21"/>
              </w:rPr>
              <w:t>cm/s；或参照GB16889执行</w:t>
            </w:r>
          </w:p>
          <w:p w14:paraId="23C48B18">
            <w:pPr>
              <w:pStyle w:val="16"/>
              <w:spacing w:line="360" w:lineRule="auto"/>
              <w:rPr>
                <w:sz w:val="21"/>
                <w:szCs w:val="21"/>
              </w:rPr>
            </w:pPr>
            <w:r>
              <w:rPr>
                <w:rFonts w:hint="eastAsia"/>
                <w:sz w:val="21"/>
                <w:szCs w:val="21"/>
              </w:rPr>
              <w:t>③</w:t>
            </w:r>
            <w:r>
              <w:rPr>
                <w:sz w:val="21"/>
                <w:szCs w:val="21"/>
              </w:rPr>
              <w:t>除</w:t>
            </w:r>
            <w:r>
              <w:rPr>
                <w:rFonts w:hint="eastAsia"/>
                <w:sz w:val="21"/>
                <w:szCs w:val="21"/>
              </w:rPr>
              <w:t>重点防渗、一般防渗以外的区域为简单防渗</w:t>
            </w:r>
            <w:r>
              <w:rPr>
                <w:sz w:val="21"/>
                <w:szCs w:val="21"/>
              </w:rPr>
              <w:t>，简单防渗区采取一般地面硬化即可。</w:t>
            </w:r>
          </w:p>
        </w:tc>
      </w:tr>
      <w:tr w14:paraId="55148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415" w:type="dxa"/>
            <w:noWrap w:val="0"/>
            <w:vAlign w:val="center"/>
          </w:tcPr>
          <w:p w14:paraId="28F6380C">
            <w:pPr>
              <w:adjustRightInd w:val="0"/>
              <w:snapToGrid w:val="0"/>
              <w:jc w:val="center"/>
              <w:rPr>
                <w:sz w:val="21"/>
                <w:szCs w:val="21"/>
              </w:rPr>
            </w:pPr>
            <w:r>
              <w:rPr>
                <w:sz w:val="21"/>
                <w:szCs w:val="21"/>
              </w:rPr>
              <w:t>生态保护措施</w:t>
            </w:r>
          </w:p>
        </w:tc>
        <w:tc>
          <w:tcPr>
            <w:tcW w:w="7385" w:type="dxa"/>
            <w:gridSpan w:val="4"/>
            <w:noWrap w:val="0"/>
            <w:vAlign w:val="center"/>
          </w:tcPr>
          <w:p w14:paraId="233D8CA2">
            <w:pPr>
              <w:pStyle w:val="16"/>
              <w:spacing w:line="360" w:lineRule="auto"/>
              <w:rPr>
                <w:sz w:val="21"/>
                <w:szCs w:val="21"/>
              </w:rPr>
            </w:pPr>
            <w:r>
              <w:rPr>
                <w:sz w:val="21"/>
                <w:szCs w:val="21"/>
              </w:rPr>
              <w:t>不涉及</w:t>
            </w:r>
          </w:p>
        </w:tc>
      </w:tr>
      <w:tr w14:paraId="0E145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14:paraId="3FF259C1">
            <w:pPr>
              <w:adjustRightInd w:val="0"/>
              <w:snapToGrid w:val="0"/>
              <w:jc w:val="center"/>
              <w:rPr>
                <w:spacing w:val="-8"/>
                <w:sz w:val="21"/>
                <w:szCs w:val="21"/>
              </w:rPr>
            </w:pPr>
            <w:r>
              <w:rPr>
                <w:spacing w:val="-8"/>
                <w:sz w:val="21"/>
                <w:szCs w:val="21"/>
              </w:rPr>
              <w:t>环境风险</w:t>
            </w:r>
          </w:p>
          <w:p w14:paraId="3CA43CE4">
            <w:pPr>
              <w:adjustRightInd w:val="0"/>
              <w:snapToGrid w:val="0"/>
              <w:jc w:val="center"/>
              <w:rPr>
                <w:spacing w:val="-8"/>
                <w:sz w:val="21"/>
                <w:szCs w:val="21"/>
              </w:rPr>
            </w:pPr>
            <w:r>
              <w:rPr>
                <w:spacing w:val="-8"/>
                <w:sz w:val="21"/>
                <w:szCs w:val="21"/>
              </w:rPr>
              <w:t>防范措施</w:t>
            </w:r>
          </w:p>
        </w:tc>
        <w:tc>
          <w:tcPr>
            <w:tcW w:w="7385" w:type="dxa"/>
            <w:gridSpan w:val="4"/>
            <w:noWrap w:val="0"/>
            <w:vAlign w:val="center"/>
          </w:tcPr>
          <w:p w14:paraId="5F3637D2">
            <w:pPr>
              <w:pStyle w:val="69"/>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①加强管理，严格控制</w:t>
            </w:r>
            <w:r>
              <w:rPr>
                <w:rFonts w:hint="eastAsia" w:ascii="Times New Roman" w:hAnsi="Times New Roman" w:cs="Times New Roman"/>
                <w:color w:val="auto"/>
                <w:sz w:val="21"/>
                <w:szCs w:val="21"/>
                <w:highlight w:val="none"/>
                <w:lang w:val="en-US" w:eastAsia="zh-CN"/>
              </w:rPr>
              <w:t>机</w:t>
            </w:r>
            <w:r>
              <w:rPr>
                <w:rFonts w:hint="default" w:ascii="Times New Roman" w:hAnsi="Times New Roman" w:cs="Times New Roman"/>
                <w:color w:val="auto"/>
                <w:sz w:val="21"/>
                <w:szCs w:val="21"/>
                <w:highlight w:val="none"/>
              </w:rPr>
              <w:t>油</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油漆、稀释剂、固化剂</w:t>
            </w:r>
            <w:r>
              <w:rPr>
                <w:rFonts w:hint="default" w:ascii="Times New Roman" w:hAnsi="Times New Roman" w:cs="Times New Roman"/>
                <w:color w:val="auto"/>
                <w:sz w:val="21"/>
                <w:szCs w:val="21"/>
                <w:highlight w:val="none"/>
              </w:rPr>
              <w:t>在厂区的储存量，降低风险物质整体存在量，以从源头上降低环境风险。</w:t>
            </w:r>
          </w:p>
          <w:p w14:paraId="185A8427">
            <w:pPr>
              <w:pStyle w:val="69"/>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②危废暂存间暂存的危废指派专人管理，并采取防盗、防渗、防泄漏、防流散等措施，暂存间内配置足够的灭火设施及应急吸附收纳等应急物资。</w:t>
            </w:r>
          </w:p>
          <w:p w14:paraId="77D8C65F">
            <w:pPr>
              <w:pStyle w:val="69"/>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③按照《危险废物贮存污染控制标准》GB18597－20</w:t>
            </w:r>
            <w:r>
              <w:rPr>
                <w:rFonts w:hint="eastAsia" w:ascii="Times New Roman" w:hAnsi="Times New Roman"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的规定管理危废暂存间，并做好防渗、防泄漏、防遗撒措施。危险废物定期交由</w:t>
            </w:r>
            <w:r>
              <w:rPr>
                <w:rFonts w:hint="eastAsia" w:ascii="Times New Roman" w:hAnsi="Times New Roman" w:cs="Times New Roman"/>
                <w:color w:val="auto"/>
                <w:sz w:val="21"/>
                <w:szCs w:val="21"/>
                <w:highlight w:val="none"/>
                <w:lang w:val="en-US" w:eastAsia="zh-CN"/>
              </w:rPr>
              <w:t>有</w:t>
            </w:r>
            <w:r>
              <w:rPr>
                <w:rFonts w:hint="default" w:ascii="Times New Roman" w:hAnsi="Times New Roman" w:cs="Times New Roman"/>
                <w:color w:val="auto"/>
                <w:sz w:val="21"/>
                <w:szCs w:val="21"/>
                <w:highlight w:val="none"/>
              </w:rPr>
              <w:t>资质</w:t>
            </w:r>
            <w:r>
              <w:rPr>
                <w:rFonts w:hint="eastAsia" w:ascii="Times New Roman" w:hAnsi="Times New Roman" w:cs="Times New Roman"/>
                <w:color w:val="auto"/>
                <w:sz w:val="21"/>
                <w:szCs w:val="21"/>
                <w:highlight w:val="none"/>
                <w:lang w:val="en-US" w:eastAsia="zh-CN"/>
              </w:rPr>
              <w:t>的</w:t>
            </w:r>
            <w:r>
              <w:rPr>
                <w:rFonts w:hint="default" w:ascii="Times New Roman" w:hAnsi="Times New Roman" w:cs="Times New Roman"/>
                <w:color w:val="auto"/>
                <w:sz w:val="21"/>
                <w:szCs w:val="21"/>
                <w:highlight w:val="none"/>
              </w:rPr>
              <w:t>单位处置。</w:t>
            </w:r>
          </w:p>
          <w:p w14:paraId="47FF4388">
            <w:pPr>
              <w:pStyle w:val="69"/>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④加强原料管理，严禁烟火，</w:t>
            </w:r>
            <w:r>
              <w:rPr>
                <w:rFonts w:hint="eastAsia" w:ascii="Times New Roman" w:hAnsi="Times New Roman" w:cs="Times New Roman"/>
                <w:color w:val="auto"/>
                <w:sz w:val="21"/>
                <w:szCs w:val="21"/>
                <w:highlight w:val="none"/>
                <w:lang w:val="en-US" w:eastAsia="zh-CN"/>
              </w:rPr>
              <w:t>车间内分散</w:t>
            </w:r>
            <w:r>
              <w:rPr>
                <w:rFonts w:hint="default" w:ascii="Times New Roman" w:hAnsi="Times New Roman" w:cs="Times New Roman"/>
                <w:color w:val="auto"/>
                <w:sz w:val="21"/>
                <w:szCs w:val="21"/>
                <w:highlight w:val="none"/>
              </w:rPr>
              <w:t>设置干粉灭火器，以备紧急状态下扑灭初期火灾。</w:t>
            </w:r>
          </w:p>
          <w:p w14:paraId="0A52DDF1">
            <w:pPr>
              <w:pStyle w:val="69"/>
              <w:spacing w:line="360" w:lineRule="auto"/>
              <w:ind w:firstLine="480"/>
              <w:rPr>
                <w:rFonts w:hint="default" w:ascii="Times New Roman" w:hAnsi="Times New Roman" w:cs="Times New Roman"/>
                <w:sz w:val="21"/>
                <w:szCs w:val="21"/>
              </w:rPr>
            </w:pPr>
            <w:r>
              <w:rPr>
                <w:rFonts w:hint="eastAsia" w:ascii="Times New Roman" w:hAnsi="Times New Roman" w:cs="Times New Roman"/>
                <w:color w:val="auto"/>
                <w:sz w:val="21"/>
                <w:szCs w:val="21"/>
                <w:highlight w:val="none"/>
                <w:lang w:val="en-US" w:eastAsia="zh-CN"/>
              </w:rPr>
              <w:t>⑤</w:t>
            </w:r>
            <w:r>
              <w:rPr>
                <w:rFonts w:hint="default" w:ascii="Times New Roman" w:hAnsi="Times New Roman" w:cs="Times New Roman"/>
                <w:color w:val="auto"/>
                <w:sz w:val="21"/>
                <w:szCs w:val="21"/>
                <w:highlight w:val="none"/>
              </w:rPr>
              <w:t>制定《突发环境事件应急预案》，成立突发环境事件应急处置领导小组和应急救援兼职队伍，平时做好救援队伍的组织、训练和演练，并对工人进行自救和互救知识的宣传教育。</w:t>
            </w:r>
          </w:p>
        </w:tc>
      </w:tr>
      <w:tr w14:paraId="4943A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15" w:type="dxa"/>
            <w:noWrap w:val="0"/>
            <w:vAlign w:val="center"/>
          </w:tcPr>
          <w:p w14:paraId="7EDB4941">
            <w:pPr>
              <w:adjustRightInd w:val="0"/>
              <w:snapToGrid w:val="0"/>
              <w:jc w:val="center"/>
              <w:rPr>
                <w:spacing w:val="-8"/>
                <w:sz w:val="21"/>
                <w:szCs w:val="21"/>
              </w:rPr>
            </w:pPr>
            <w:r>
              <w:rPr>
                <w:spacing w:val="-8"/>
                <w:sz w:val="21"/>
                <w:szCs w:val="21"/>
              </w:rPr>
              <w:t>其他环境</w:t>
            </w:r>
          </w:p>
          <w:p w14:paraId="5E7D9C34">
            <w:pPr>
              <w:adjustRightInd w:val="0"/>
              <w:snapToGrid w:val="0"/>
              <w:jc w:val="center"/>
              <w:rPr>
                <w:spacing w:val="-8"/>
                <w:sz w:val="21"/>
                <w:szCs w:val="21"/>
              </w:rPr>
            </w:pPr>
            <w:r>
              <w:rPr>
                <w:spacing w:val="-8"/>
                <w:sz w:val="21"/>
                <w:szCs w:val="21"/>
              </w:rPr>
              <w:t>管理要求</w:t>
            </w:r>
          </w:p>
        </w:tc>
        <w:tc>
          <w:tcPr>
            <w:tcW w:w="7385" w:type="dxa"/>
            <w:gridSpan w:val="4"/>
            <w:noWrap w:val="0"/>
            <w:vAlign w:val="center"/>
          </w:tcPr>
          <w:p w14:paraId="5D32C0DA">
            <w:pPr>
              <w:pStyle w:val="69"/>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①项目发生实际排污前，登录全国排污许可证管理信息平台及时</w:t>
            </w:r>
            <w:r>
              <w:rPr>
                <w:rFonts w:ascii="Times New Roman" w:hAnsi="Times New Roman" w:cs="Times New Roman"/>
                <w:sz w:val="21"/>
                <w:szCs w:val="21"/>
              </w:rPr>
              <w:t>办理</w:t>
            </w:r>
            <w:r>
              <w:rPr>
                <w:rFonts w:hint="default" w:ascii="Times New Roman" w:hAnsi="Times New Roman" w:cs="Times New Roman"/>
                <w:sz w:val="21"/>
                <w:szCs w:val="21"/>
              </w:rPr>
              <w:t>排污许可</w:t>
            </w:r>
            <w:r>
              <w:rPr>
                <w:rFonts w:ascii="Times New Roman" w:hAnsi="Times New Roman" w:cs="Times New Roman"/>
                <w:sz w:val="21"/>
                <w:szCs w:val="21"/>
              </w:rPr>
              <w:t>手续</w:t>
            </w:r>
            <w:r>
              <w:rPr>
                <w:rFonts w:hint="default" w:ascii="Times New Roman" w:hAnsi="Times New Roman" w:cs="Times New Roman"/>
                <w:sz w:val="21"/>
                <w:szCs w:val="21"/>
              </w:rPr>
              <w:t>。</w:t>
            </w:r>
          </w:p>
          <w:p w14:paraId="08F9FF30">
            <w:pPr>
              <w:pStyle w:val="69"/>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②严格落实本环评提出的各项环保措施，严格落实“三同时”制度。项目竣工后严格按照国家规定的程序和方式组织竣工验收。</w:t>
            </w:r>
          </w:p>
          <w:p w14:paraId="41301821">
            <w:pPr>
              <w:pStyle w:val="69"/>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③</w:t>
            </w:r>
            <w:r>
              <w:rPr>
                <w:rFonts w:hint="eastAsia" w:ascii="Times New Roman" w:hAnsi="Times New Roman" w:cs="Times New Roman"/>
                <w:sz w:val="21"/>
                <w:szCs w:val="21"/>
                <w:lang w:eastAsia="zh-CN"/>
              </w:rPr>
              <w:t>本次</w:t>
            </w:r>
            <w:r>
              <w:rPr>
                <w:rFonts w:hint="default" w:ascii="Times New Roman" w:hAnsi="Times New Roman" w:cs="Times New Roman"/>
                <w:sz w:val="21"/>
                <w:szCs w:val="21"/>
              </w:rPr>
              <w:t>环评获批后5年后动工建设的应重新报原审批部门审查，发生重大变化的应重新报批。</w:t>
            </w:r>
          </w:p>
          <w:p w14:paraId="1CDD1B5E">
            <w:pPr>
              <w:pStyle w:val="69"/>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④定期保养设备，</w:t>
            </w:r>
            <w:r>
              <w:rPr>
                <w:rFonts w:hint="eastAsia" w:ascii="Times New Roman" w:hAnsi="Times New Roman" w:cs="Times New Roman"/>
                <w:sz w:val="21"/>
                <w:szCs w:val="21"/>
                <w:lang w:eastAsia="zh-CN"/>
              </w:rPr>
              <w:t>防止</w:t>
            </w:r>
            <w:r>
              <w:rPr>
                <w:rFonts w:hint="default" w:ascii="Times New Roman" w:hAnsi="Times New Roman" w:cs="Times New Roman"/>
                <w:sz w:val="21"/>
                <w:szCs w:val="21"/>
              </w:rPr>
              <w:t>设备因保养不适当造成设备异常运行而增加噪声产生量；做好厂房隔声、设备减振，确保厂界噪声达标。</w:t>
            </w:r>
          </w:p>
          <w:p w14:paraId="1D5FB16E">
            <w:pPr>
              <w:pStyle w:val="69"/>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⑤生活垃圾等应每天及时清运，防止夏季恶臭气味的产生，清除蚊蝇和寄生虫卵产生场所。</w:t>
            </w:r>
          </w:p>
          <w:p w14:paraId="15A8FE86">
            <w:pPr>
              <w:pStyle w:val="69"/>
              <w:spacing w:line="360" w:lineRule="auto"/>
              <w:ind w:firstLine="480"/>
              <w:rPr>
                <w:sz w:val="21"/>
                <w:szCs w:val="21"/>
              </w:rPr>
            </w:pPr>
            <w:r>
              <w:rPr>
                <w:rFonts w:hint="default" w:ascii="Times New Roman" w:hAnsi="Times New Roman" w:cs="Times New Roman"/>
                <w:sz w:val="21"/>
                <w:szCs w:val="21"/>
              </w:rPr>
              <w:t>⑥切实加强各环保设施的日常维护管理，定期检查运行情况，确保处理效果，尽量</w:t>
            </w:r>
            <w:r>
              <w:rPr>
                <w:rFonts w:hint="eastAsia" w:ascii="Times New Roman" w:hAnsi="Times New Roman" w:cs="Times New Roman"/>
                <w:sz w:val="21"/>
                <w:szCs w:val="21"/>
                <w:lang w:eastAsia="zh-CN"/>
              </w:rPr>
              <w:t>避免</w:t>
            </w:r>
            <w:r>
              <w:rPr>
                <w:rFonts w:hint="default" w:ascii="Times New Roman" w:hAnsi="Times New Roman" w:cs="Times New Roman"/>
                <w:sz w:val="21"/>
                <w:szCs w:val="21"/>
              </w:rPr>
              <w:t>环保设施处于“非正常工况”，尽量减少各类污染物排放，以减轻对环境的影响。加强环境管理，</w:t>
            </w:r>
            <w:r>
              <w:rPr>
                <w:rFonts w:hint="eastAsia" w:ascii="Times New Roman" w:hAnsi="Times New Roman" w:cs="Times New Roman"/>
                <w:sz w:val="21"/>
                <w:szCs w:val="21"/>
                <w:lang w:eastAsia="zh-CN"/>
              </w:rPr>
              <w:t>增强</w:t>
            </w:r>
            <w:r>
              <w:rPr>
                <w:rFonts w:hint="default" w:ascii="Times New Roman" w:hAnsi="Times New Roman" w:cs="Times New Roman"/>
                <w:sz w:val="21"/>
                <w:szCs w:val="21"/>
              </w:rPr>
              <w:t>职工环保意识，设置专人负责环境管理，落实环境管理制度，确保各项治理设施正常稳定运行。</w:t>
            </w:r>
          </w:p>
        </w:tc>
      </w:tr>
    </w:tbl>
    <w:p w14:paraId="511A89DD">
      <w:pPr>
        <w:pStyle w:val="9"/>
        <w:spacing w:before="0" w:beforeAutospacing="0" w:after="0" w:afterAutospacing="0"/>
        <w:outlineLvl w:val="0"/>
        <w:rPr>
          <w:rFonts w:ascii="Times New Roman" w:hAnsi="Times New Roman" w:eastAsia="黑体"/>
          <w:snapToGrid w:val="0"/>
          <w:sz w:val="30"/>
          <w:szCs w:val="30"/>
        </w:rPr>
      </w:pPr>
      <w:r>
        <w:rPr>
          <w:rFonts w:ascii="Times New Roman" w:hAnsi="Times New Roman"/>
          <w:snapToGrid w:val="0"/>
        </w:rPr>
        <w:br w:type="page"/>
      </w:r>
      <w:bookmarkStart w:id="14" w:name="_Toc7605"/>
      <w:r>
        <w:rPr>
          <w:rFonts w:ascii="Times New Roman" w:hAnsi="Times New Roman" w:eastAsia="黑体"/>
          <w:snapToGrid w:val="0"/>
          <w:sz w:val="30"/>
          <w:szCs w:val="30"/>
        </w:rPr>
        <w:t>六、结论</w:t>
      </w:r>
      <w:bookmarkEnd w:id="14"/>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4084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59764E08">
            <w:pPr>
              <w:spacing w:before="240" w:beforeLines="100" w:line="360" w:lineRule="auto"/>
              <w:ind w:firstLine="420" w:firstLineChars="200"/>
              <w:rPr>
                <w:sz w:val="21"/>
                <w:szCs w:val="21"/>
              </w:rPr>
            </w:pPr>
            <w:bookmarkStart w:id="15" w:name="OLE_LINK18"/>
            <w:r>
              <w:rPr>
                <w:rFonts w:hint="eastAsia"/>
                <w:sz w:val="21"/>
                <w:szCs w:val="21"/>
                <w:lang w:val="en-US" w:eastAsia="zh-CN"/>
              </w:rPr>
              <w:t>本项目位于四川省遂宁市蓬溪县赤城镇上游工业园区拓展区11号F地块。</w:t>
            </w:r>
            <w:r>
              <w:rPr>
                <w:sz w:val="21"/>
                <w:szCs w:val="21"/>
              </w:rPr>
              <w:t>根据分析，本项目的建设符合国家产业政策，符合蓬溪县的相关规划。环保措施具有可行性，项目的建设和</w:t>
            </w:r>
            <w:r>
              <w:rPr>
                <w:rFonts w:hint="eastAsia"/>
                <w:sz w:val="21"/>
                <w:szCs w:val="21"/>
                <w:lang w:eastAsia="zh-CN"/>
              </w:rPr>
              <w:t>运营</w:t>
            </w:r>
            <w:r>
              <w:rPr>
                <w:sz w:val="21"/>
                <w:szCs w:val="21"/>
              </w:rPr>
              <w:t>不会对区域环境质量造成明显影响。因此本评价认为，项目在落实本环评提出的环保措施后，施工期和运营期产生的负面影响是可以得到有效控制的，并能为环境所接受。因此，从环境影响评价角度来说，本项目的建设是可行的。</w:t>
            </w:r>
            <w:bookmarkEnd w:id="15"/>
          </w:p>
          <w:p w14:paraId="620F7B2E">
            <w:pPr>
              <w:pStyle w:val="69"/>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本次评价结论是在建设单位提供的建设内容和规模的基础上得出的，若建设单位改变相关的建设内容和规模，建设单位应按照环保部门的有关要求另行申报。</w:t>
            </w:r>
          </w:p>
          <w:p w14:paraId="27C76FDE">
            <w:pPr>
              <w:spacing w:before="240" w:beforeLines="100" w:line="360" w:lineRule="auto"/>
              <w:ind w:firstLine="420" w:firstLineChars="200"/>
              <w:rPr>
                <w:sz w:val="21"/>
                <w:szCs w:val="21"/>
              </w:rPr>
            </w:pPr>
          </w:p>
          <w:p w14:paraId="0D5084B7">
            <w:pPr>
              <w:spacing w:line="360" w:lineRule="auto"/>
              <w:rPr>
                <w:sz w:val="24"/>
              </w:rPr>
            </w:pPr>
          </w:p>
        </w:tc>
      </w:tr>
    </w:tbl>
    <w:p w14:paraId="664C90A7">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5C55EBE">
      <w:pPr>
        <w:rPr>
          <w:rFonts w:ascii="宋体" w:hAnsi="宋体" w:eastAsia="黑体"/>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2000019F" w:csb1="4F010000"/>
  </w:font>
  <w:font w:name="SimSun-WinCharSetFFFF-H">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7D805">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61A6F">
    <w:pPr>
      <w:pStyle w:val="18"/>
      <w:framePr w:wrap="around" w:vAnchor="text" w:hAnchor="margin" w:xAlign="center" w:y="1"/>
      <w:rPr>
        <w:rStyle w:val="30"/>
      </w:rPr>
    </w:pPr>
    <w:r>
      <w:fldChar w:fldCharType="begin"/>
    </w:r>
    <w:r>
      <w:rPr>
        <w:rStyle w:val="30"/>
      </w:rPr>
      <w:instrText xml:space="preserve">PAGE  </w:instrText>
    </w:r>
    <w:r>
      <w:fldChar w:fldCharType="end"/>
    </w:r>
  </w:p>
  <w:p w14:paraId="5E52331C">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75DFB">
    <w:pPr>
      <w:pStyle w:val="18"/>
      <w:tabs>
        <w:tab w:val="center" w:pos="4422"/>
        <w:tab w:val="clear" w:pos="4153"/>
      </w:tabs>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447406">
                          <w:pPr>
                            <w:pStyle w:val="18"/>
                          </w:pPr>
                          <w:r>
                            <w:fldChar w:fldCharType="begin"/>
                          </w:r>
                          <w:r>
                            <w:instrText xml:space="preserve"> PAGE  \* MERGEFORMAT </w:instrText>
                          </w:r>
                          <w:r>
                            <w:fldChar w:fldCharType="separate"/>
                          </w:r>
                          <w:r>
                            <w:t>74</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KSO3YzAEAAJ0DAAAOAAAAAAAAAAEAIAAAAB4BAABkcnMvZTJv&#10;RG9jLnhtbFBLBQYAAAAABgAGAFkBAABcBQAAAAA=&#10;">
              <v:fill on="f" focussize="0,0"/>
              <v:stroke on="f"/>
              <v:imagedata o:title=""/>
              <o:lock v:ext="edit" aspectratio="f"/>
              <v:textbox inset="0mm,0mm,0mm,0mm" style="mso-fit-shape-to-text:t;">
                <w:txbxContent>
                  <w:p w14:paraId="27447406">
                    <w:pPr>
                      <w:pStyle w:val="18"/>
                    </w:pPr>
                    <w:r>
                      <w:fldChar w:fldCharType="begin"/>
                    </w:r>
                    <w:r>
                      <w:instrText xml:space="preserve"> PAGE  \* MERGEFORMAT </w:instrText>
                    </w:r>
                    <w:r>
                      <w:fldChar w:fldCharType="separate"/>
                    </w:r>
                    <w:r>
                      <w:t>74</w:t>
                    </w:r>
                    <w: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DB32E">
    <w:pPr>
      <w:pStyle w:val="18"/>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3C4F4B">
                          <w:pPr>
                            <w:pStyle w:val="18"/>
                          </w:pPr>
                          <w:r>
                            <w:fldChar w:fldCharType="begin"/>
                          </w:r>
                          <w:r>
                            <w:instrText xml:space="preserve"> PAGE  \* MERGEFORMAT </w:instrText>
                          </w:r>
                          <w:r>
                            <w:fldChar w:fldCharType="separate"/>
                          </w:r>
                          <w:r>
                            <w:t>77</w:t>
                          </w:r>
                          <w:r>
                            <w:fldChar w:fldCharType="end"/>
                          </w:r>
                        </w:p>
                      </w:txbxContent>
                    </wps:txbx>
                    <wps:bodyPr wrap="none" lIns="0" tIns="0" rIns="0" bIns="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m9OC/LAQAAnQMAAA4AAAAAAAAAAQAgAAAAHgEAAGRycy9lMm9E&#10;b2MueG1sUEsFBgAAAAAGAAYAWQEAAFsFAAAAAA==&#10;">
              <v:fill on="f" focussize="0,0"/>
              <v:stroke on="f"/>
              <v:imagedata o:title=""/>
              <o:lock v:ext="edit" aspectratio="f"/>
              <v:textbox inset="0mm,0mm,0mm,0mm" style="mso-fit-shape-to-text:t;">
                <w:txbxContent>
                  <w:p w14:paraId="363C4F4B">
                    <w:pPr>
                      <w:pStyle w:val="18"/>
                    </w:pPr>
                    <w:r>
                      <w:fldChar w:fldCharType="begin"/>
                    </w:r>
                    <w:r>
                      <w:instrText xml:space="preserve"> PAGE  \* MERGEFORMAT </w:instrText>
                    </w:r>
                    <w:r>
                      <w:fldChar w:fldCharType="separate"/>
                    </w:r>
                    <w:r>
                      <w:t>77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250457"/>
    <w:multiLevelType w:val="singleLevel"/>
    <w:tmpl w:val="AA250457"/>
    <w:lvl w:ilvl="0" w:tentative="0">
      <w:start w:val="1"/>
      <w:numFmt w:val="decimal"/>
      <w:suff w:val="nothing"/>
      <w:lvlText w:val="%1、"/>
      <w:lvlJc w:val="left"/>
    </w:lvl>
  </w:abstractNum>
  <w:abstractNum w:abstractNumId="1">
    <w:nsid w:val="AA6D9F06"/>
    <w:multiLevelType w:val="singleLevel"/>
    <w:tmpl w:val="AA6D9F06"/>
    <w:lvl w:ilvl="0" w:tentative="0">
      <w:start w:val="3"/>
      <w:numFmt w:val="decimal"/>
      <w:suff w:val="nothing"/>
      <w:lvlText w:val="（%1）"/>
      <w:lvlJc w:val="left"/>
    </w:lvl>
  </w:abstractNum>
  <w:abstractNum w:abstractNumId="2">
    <w:nsid w:val="B314653D"/>
    <w:multiLevelType w:val="singleLevel"/>
    <w:tmpl w:val="B314653D"/>
    <w:lvl w:ilvl="0" w:tentative="0">
      <w:start w:val="1"/>
      <w:numFmt w:val="decimal"/>
      <w:suff w:val="nothing"/>
      <w:lvlText w:val="%1、"/>
      <w:lvlJc w:val="left"/>
    </w:lvl>
  </w:abstractNum>
  <w:abstractNum w:abstractNumId="3">
    <w:nsid w:val="FB3A5B45"/>
    <w:multiLevelType w:val="singleLevel"/>
    <w:tmpl w:val="FB3A5B45"/>
    <w:lvl w:ilvl="0" w:tentative="0">
      <w:start w:val="2"/>
      <w:numFmt w:val="chineseCounting"/>
      <w:suff w:val="nothing"/>
      <w:lvlText w:val="%1、"/>
      <w:lvlJc w:val="left"/>
      <w:rPr>
        <w:rFonts w:hint="eastAsia"/>
      </w:rPr>
    </w:lvl>
  </w:abstractNum>
  <w:abstractNum w:abstractNumId="4">
    <w:nsid w:val="1A8670D2"/>
    <w:multiLevelType w:val="singleLevel"/>
    <w:tmpl w:val="1A8670D2"/>
    <w:lvl w:ilvl="0" w:tentative="0">
      <w:start w:val="6"/>
      <w:numFmt w:val="decimal"/>
      <w:suff w:val="nothing"/>
      <w:lvlText w:val="（%1）"/>
      <w:lvlJc w:val="left"/>
    </w:lvl>
  </w:abstractNum>
  <w:abstractNum w:abstractNumId="5">
    <w:nsid w:val="21F1F520"/>
    <w:multiLevelType w:val="singleLevel"/>
    <w:tmpl w:val="21F1F520"/>
    <w:lvl w:ilvl="0" w:tentative="0">
      <w:start w:val="1"/>
      <w:numFmt w:val="decimal"/>
      <w:suff w:val="nothing"/>
      <w:lvlText w:val="%1、"/>
      <w:lvlJc w:val="left"/>
    </w:lvl>
  </w:abstractNum>
  <w:abstractNum w:abstractNumId="6">
    <w:nsid w:val="22E94226"/>
    <w:multiLevelType w:val="singleLevel"/>
    <w:tmpl w:val="22E94226"/>
    <w:lvl w:ilvl="0" w:tentative="0">
      <w:start w:val="1"/>
      <w:numFmt w:val="chineseCounting"/>
      <w:suff w:val="nothing"/>
      <w:lvlText w:val="%1、"/>
      <w:lvlJc w:val="left"/>
      <w:rPr>
        <w:rFonts w:hint="eastAsia"/>
      </w:rPr>
    </w:lvl>
  </w:abstractNum>
  <w:abstractNum w:abstractNumId="7">
    <w:nsid w:val="36BA3510"/>
    <w:multiLevelType w:val="singleLevel"/>
    <w:tmpl w:val="36BA3510"/>
    <w:lvl w:ilvl="0" w:tentative="0">
      <w:start w:val="1"/>
      <w:numFmt w:val="decimal"/>
      <w:suff w:val="nothing"/>
      <w:lvlText w:val="%1、"/>
      <w:lvlJc w:val="left"/>
    </w:lvl>
  </w:abstractNum>
  <w:abstractNum w:abstractNumId="8">
    <w:nsid w:val="39650837"/>
    <w:multiLevelType w:val="singleLevel"/>
    <w:tmpl w:val="39650837"/>
    <w:lvl w:ilvl="0" w:tentative="0">
      <w:start w:val="1"/>
      <w:numFmt w:val="decimal"/>
      <w:suff w:val="nothing"/>
      <w:lvlText w:val="%1、"/>
      <w:lvlJc w:val="left"/>
    </w:lvl>
  </w:abstractNum>
  <w:abstractNum w:abstractNumId="9">
    <w:nsid w:val="3EE716BC"/>
    <w:multiLevelType w:val="singleLevel"/>
    <w:tmpl w:val="3EE716BC"/>
    <w:lvl w:ilvl="0" w:tentative="0">
      <w:start w:val="2"/>
      <w:numFmt w:val="decimal"/>
      <w:suff w:val="nothing"/>
      <w:lvlText w:val="（%1）"/>
      <w:lvlJc w:val="left"/>
    </w:lvl>
  </w:abstractNum>
  <w:abstractNum w:abstractNumId="10">
    <w:nsid w:val="40EA1401"/>
    <w:multiLevelType w:val="multilevel"/>
    <w:tmpl w:val="40EA1401"/>
    <w:lvl w:ilvl="0" w:tentative="0">
      <w:start w:val="1"/>
      <w:numFmt w:val="decimal"/>
      <w:pStyle w:val="87"/>
      <w:suff w:val="nothing"/>
      <w:lvlText w:val="（%1）"/>
      <w:lvlJc w:val="left"/>
      <w:pPr>
        <w:ind w:left="947" w:hanging="420"/>
      </w:pPr>
      <w:rPr>
        <w:rFonts w:ascii="Times New Roman" w:hAnsi="Times New Roman" w:cs="Times New Roman"/>
        <w:b/>
        <w:bCs/>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44C5F27F"/>
    <w:multiLevelType w:val="singleLevel"/>
    <w:tmpl w:val="44C5F27F"/>
    <w:lvl w:ilvl="0" w:tentative="0">
      <w:start w:val="1"/>
      <w:numFmt w:val="upperLetter"/>
      <w:suff w:val="nothing"/>
      <w:lvlText w:val="%1、"/>
      <w:lvlJc w:val="left"/>
    </w:lvl>
  </w:abstractNum>
  <w:num w:numId="1">
    <w:abstractNumId w:val="10"/>
  </w:num>
  <w:num w:numId="2">
    <w:abstractNumId w:val="9"/>
  </w:num>
  <w:num w:numId="3">
    <w:abstractNumId w:val="1"/>
  </w:num>
  <w:num w:numId="4">
    <w:abstractNumId w:val="8"/>
  </w:num>
  <w:num w:numId="5">
    <w:abstractNumId w:val="5"/>
  </w:num>
  <w:num w:numId="6">
    <w:abstractNumId w:val="7"/>
  </w:num>
  <w:num w:numId="7">
    <w:abstractNumId w:val="0"/>
  </w:num>
  <w:num w:numId="8">
    <w:abstractNumId w:val="2"/>
  </w:num>
  <w:num w:numId="9">
    <w:abstractNumId w:val="3"/>
  </w:num>
  <w:num w:numId="10">
    <w:abstractNumId w:val="6"/>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jNzRiNTc3MmI0MGJjMTdlNzZlMmViODJkMTBmZTc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1E0"/>
    <w:rsid w:val="00312296"/>
    <w:rsid w:val="00314F0E"/>
    <w:rsid w:val="00321D8E"/>
    <w:rsid w:val="00325928"/>
    <w:rsid w:val="00332863"/>
    <w:rsid w:val="0033684D"/>
    <w:rsid w:val="00337B42"/>
    <w:rsid w:val="00341B42"/>
    <w:rsid w:val="0034348F"/>
    <w:rsid w:val="003521D9"/>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1B5E"/>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61913"/>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11FC"/>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0C4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56984"/>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54"/>
    <w:rsid w:val="00FD54DB"/>
    <w:rsid w:val="00FD619F"/>
    <w:rsid w:val="010101AD"/>
    <w:rsid w:val="0104025E"/>
    <w:rsid w:val="01123EB7"/>
    <w:rsid w:val="01131FA8"/>
    <w:rsid w:val="01290F7E"/>
    <w:rsid w:val="015D1E09"/>
    <w:rsid w:val="016F283F"/>
    <w:rsid w:val="01762326"/>
    <w:rsid w:val="023218CA"/>
    <w:rsid w:val="02697903"/>
    <w:rsid w:val="02C07190"/>
    <w:rsid w:val="02F96569"/>
    <w:rsid w:val="034B0FFA"/>
    <w:rsid w:val="034D095E"/>
    <w:rsid w:val="03973085"/>
    <w:rsid w:val="03EA7B21"/>
    <w:rsid w:val="041047F1"/>
    <w:rsid w:val="04722D72"/>
    <w:rsid w:val="04913503"/>
    <w:rsid w:val="04A45128"/>
    <w:rsid w:val="05377B18"/>
    <w:rsid w:val="059B00A7"/>
    <w:rsid w:val="05F83EAE"/>
    <w:rsid w:val="05FC6D1C"/>
    <w:rsid w:val="060C7DF4"/>
    <w:rsid w:val="060E23AC"/>
    <w:rsid w:val="063E7D85"/>
    <w:rsid w:val="065169B7"/>
    <w:rsid w:val="07251FC3"/>
    <w:rsid w:val="07293586"/>
    <w:rsid w:val="07295285"/>
    <w:rsid w:val="07414BFD"/>
    <w:rsid w:val="07636392"/>
    <w:rsid w:val="07770C56"/>
    <w:rsid w:val="079B73F0"/>
    <w:rsid w:val="07E905F5"/>
    <w:rsid w:val="08067A8F"/>
    <w:rsid w:val="080A4AD9"/>
    <w:rsid w:val="080E6595"/>
    <w:rsid w:val="08286403"/>
    <w:rsid w:val="085C6D70"/>
    <w:rsid w:val="08D57408"/>
    <w:rsid w:val="08E05BFA"/>
    <w:rsid w:val="092217DD"/>
    <w:rsid w:val="093A7294"/>
    <w:rsid w:val="095C5155"/>
    <w:rsid w:val="09F977AC"/>
    <w:rsid w:val="09FC6AC8"/>
    <w:rsid w:val="0A125676"/>
    <w:rsid w:val="0A263993"/>
    <w:rsid w:val="0A26566B"/>
    <w:rsid w:val="0A2D3AC2"/>
    <w:rsid w:val="0A42201D"/>
    <w:rsid w:val="0A4D575D"/>
    <w:rsid w:val="0AA43DAB"/>
    <w:rsid w:val="0AA755DF"/>
    <w:rsid w:val="0B120D44"/>
    <w:rsid w:val="0B8654C7"/>
    <w:rsid w:val="0BD27BF6"/>
    <w:rsid w:val="0C3B3C7D"/>
    <w:rsid w:val="0C435B9B"/>
    <w:rsid w:val="0CAB2EAE"/>
    <w:rsid w:val="0CE148D2"/>
    <w:rsid w:val="0CF544CB"/>
    <w:rsid w:val="0CFE343C"/>
    <w:rsid w:val="0D0B6168"/>
    <w:rsid w:val="0D155331"/>
    <w:rsid w:val="0D40503E"/>
    <w:rsid w:val="0D4E664B"/>
    <w:rsid w:val="0D621C7D"/>
    <w:rsid w:val="0DA4496F"/>
    <w:rsid w:val="0DBF68FD"/>
    <w:rsid w:val="0DC947FE"/>
    <w:rsid w:val="0E0A7CF9"/>
    <w:rsid w:val="0E1529C0"/>
    <w:rsid w:val="0E73034D"/>
    <w:rsid w:val="0F13775A"/>
    <w:rsid w:val="0F1D0FF6"/>
    <w:rsid w:val="0F5F45FE"/>
    <w:rsid w:val="0F741F89"/>
    <w:rsid w:val="0F9A112B"/>
    <w:rsid w:val="0FAB0EE6"/>
    <w:rsid w:val="0FD143AE"/>
    <w:rsid w:val="100D1EE7"/>
    <w:rsid w:val="10501721"/>
    <w:rsid w:val="10552CBA"/>
    <w:rsid w:val="106D2F64"/>
    <w:rsid w:val="10B63710"/>
    <w:rsid w:val="10F10820"/>
    <w:rsid w:val="11035909"/>
    <w:rsid w:val="111C2F7A"/>
    <w:rsid w:val="11416687"/>
    <w:rsid w:val="11665CA1"/>
    <w:rsid w:val="11825F6A"/>
    <w:rsid w:val="120B7AD9"/>
    <w:rsid w:val="125E0D24"/>
    <w:rsid w:val="125E4238"/>
    <w:rsid w:val="126873BA"/>
    <w:rsid w:val="12AA378F"/>
    <w:rsid w:val="12AF3F44"/>
    <w:rsid w:val="12EA1F47"/>
    <w:rsid w:val="13086842"/>
    <w:rsid w:val="133E6515"/>
    <w:rsid w:val="13951726"/>
    <w:rsid w:val="13AC18FC"/>
    <w:rsid w:val="14396509"/>
    <w:rsid w:val="14DD2C3C"/>
    <w:rsid w:val="150E5397"/>
    <w:rsid w:val="151D1788"/>
    <w:rsid w:val="155618F4"/>
    <w:rsid w:val="15934FD9"/>
    <w:rsid w:val="159B19FD"/>
    <w:rsid w:val="15C41733"/>
    <w:rsid w:val="15FB249C"/>
    <w:rsid w:val="15FD1E71"/>
    <w:rsid w:val="16041BCA"/>
    <w:rsid w:val="16087E1D"/>
    <w:rsid w:val="16A027DF"/>
    <w:rsid w:val="16C471BC"/>
    <w:rsid w:val="17701D14"/>
    <w:rsid w:val="17735226"/>
    <w:rsid w:val="186B47E9"/>
    <w:rsid w:val="189F624C"/>
    <w:rsid w:val="196565AA"/>
    <w:rsid w:val="19DF4C6C"/>
    <w:rsid w:val="1A1C66C0"/>
    <w:rsid w:val="1A42393B"/>
    <w:rsid w:val="1A934D2E"/>
    <w:rsid w:val="1A9F4F41"/>
    <w:rsid w:val="1AAD45DE"/>
    <w:rsid w:val="1AB174E3"/>
    <w:rsid w:val="1AEB6F83"/>
    <w:rsid w:val="1B046F80"/>
    <w:rsid w:val="1B3267B5"/>
    <w:rsid w:val="1B40161D"/>
    <w:rsid w:val="1B441859"/>
    <w:rsid w:val="1B6606B1"/>
    <w:rsid w:val="1BF43BDF"/>
    <w:rsid w:val="1BF63327"/>
    <w:rsid w:val="1BF9063F"/>
    <w:rsid w:val="1C01469B"/>
    <w:rsid w:val="1C493F61"/>
    <w:rsid w:val="1C5E7925"/>
    <w:rsid w:val="1CD51C99"/>
    <w:rsid w:val="1CE67A02"/>
    <w:rsid w:val="1CF01C4F"/>
    <w:rsid w:val="1CF66443"/>
    <w:rsid w:val="1CFD070F"/>
    <w:rsid w:val="1D0B2A29"/>
    <w:rsid w:val="1D0F1285"/>
    <w:rsid w:val="1D165820"/>
    <w:rsid w:val="1D5F6196"/>
    <w:rsid w:val="1D6132A5"/>
    <w:rsid w:val="1D8E56D5"/>
    <w:rsid w:val="1DC774F2"/>
    <w:rsid w:val="1DEA1774"/>
    <w:rsid w:val="1E4515D6"/>
    <w:rsid w:val="1E5D0198"/>
    <w:rsid w:val="1E7A43DA"/>
    <w:rsid w:val="1E916852"/>
    <w:rsid w:val="1ED57D2E"/>
    <w:rsid w:val="1EDD4398"/>
    <w:rsid w:val="1F06438B"/>
    <w:rsid w:val="1F147B51"/>
    <w:rsid w:val="1F1B5E97"/>
    <w:rsid w:val="1FE7539E"/>
    <w:rsid w:val="20671BE0"/>
    <w:rsid w:val="20963CB8"/>
    <w:rsid w:val="20A664BA"/>
    <w:rsid w:val="20A81A1B"/>
    <w:rsid w:val="20B07FB6"/>
    <w:rsid w:val="20B646FB"/>
    <w:rsid w:val="20DE6C42"/>
    <w:rsid w:val="213B74B1"/>
    <w:rsid w:val="215A2310"/>
    <w:rsid w:val="21AF0D0A"/>
    <w:rsid w:val="21DD03F8"/>
    <w:rsid w:val="21DE318A"/>
    <w:rsid w:val="21EF5B80"/>
    <w:rsid w:val="21FB38B9"/>
    <w:rsid w:val="223B1325"/>
    <w:rsid w:val="22576990"/>
    <w:rsid w:val="22661328"/>
    <w:rsid w:val="22CC58EC"/>
    <w:rsid w:val="22F47480"/>
    <w:rsid w:val="2354663A"/>
    <w:rsid w:val="23572B2D"/>
    <w:rsid w:val="23575402"/>
    <w:rsid w:val="23610C80"/>
    <w:rsid w:val="23DA7B95"/>
    <w:rsid w:val="23DE1C48"/>
    <w:rsid w:val="240210CD"/>
    <w:rsid w:val="24AF7B71"/>
    <w:rsid w:val="24B450B1"/>
    <w:rsid w:val="24BF09F7"/>
    <w:rsid w:val="24DF3BFB"/>
    <w:rsid w:val="252D53FE"/>
    <w:rsid w:val="254C60A9"/>
    <w:rsid w:val="25653B47"/>
    <w:rsid w:val="25AC271E"/>
    <w:rsid w:val="25EC2D81"/>
    <w:rsid w:val="25ED2491"/>
    <w:rsid w:val="25F45EFD"/>
    <w:rsid w:val="25FC1D16"/>
    <w:rsid w:val="26363563"/>
    <w:rsid w:val="26440527"/>
    <w:rsid w:val="266B76F4"/>
    <w:rsid w:val="266E65C6"/>
    <w:rsid w:val="27020825"/>
    <w:rsid w:val="2727154B"/>
    <w:rsid w:val="2753728B"/>
    <w:rsid w:val="277057A2"/>
    <w:rsid w:val="278913FE"/>
    <w:rsid w:val="281E524F"/>
    <w:rsid w:val="28485A15"/>
    <w:rsid w:val="2865547B"/>
    <w:rsid w:val="290D27BA"/>
    <w:rsid w:val="29206EB8"/>
    <w:rsid w:val="29595666"/>
    <w:rsid w:val="296C014A"/>
    <w:rsid w:val="29874881"/>
    <w:rsid w:val="29BD217C"/>
    <w:rsid w:val="29E325E0"/>
    <w:rsid w:val="29E968C4"/>
    <w:rsid w:val="2A26205C"/>
    <w:rsid w:val="2A452503"/>
    <w:rsid w:val="2A5E32CD"/>
    <w:rsid w:val="2AA03DAD"/>
    <w:rsid w:val="2B3C7C6E"/>
    <w:rsid w:val="2B5A3A6C"/>
    <w:rsid w:val="2BA936A8"/>
    <w:rsid w:val="2C315A5A"/>
    <w:rsid w:val="2C4B1C25"/>
    <w:rsid w:val="2C5254EB"/>
    <w:rsid w:val="2C9A6880"/>
    <w:rsid w:val="2D8420EC"/>
    <w:rsid w:val="2D9E56F5"/>
    <w:rsid w:val="2DAA4A7C"/>
    <w:rsid w:val="2E20300F"/>
    <w:rsid w:val="2E667F96"/>
    <w:rsid w:val="2E8226AB"/>
    <w:rsid w:val="2EE02756"/>
    <w:rsid w:val="2F642CE6"/>
    <w:rsid w:val="2FB00E87"/>
    <w:rsid w:val="2FC11C09"/>
    <w:rsid w:val="2FD065E6"/>
    <w:rsid w:val="2FD96870"/>
    <w:rsid w:val="30462340"/>
    <w:rsid w:val="30580BC9"/>
    <w:rsid w:val="309E5743"/>
    <w:rsid w:val="30B347DA"/>
    <w:rsid w:val="30CB018E"/>
    <w:rsid w:val="311E2ED7"/>
    <w:rsid w:val="314243E0"/>
    <w:rsid w:val="315619EE"/>
    <w:rsid w:val="315C449C"/>
    <w:rsid w:val="316D31B2"/>
    <w:rsid w:val="317D4CC1"/>
    <w:rsid w:val="31B82709"/>
    <w:rsid w:val="31D05482"/>
    <w:rsid w:val="32295AB4"/>
    <w:rsid w:val="32400B34"/>
    <w:rsid w:val="326676A3"/>
    <w:rsid w:val="326C51CA"/>
    <w:rsid w:val="329E6876"/>
    <w:rsid w:val="32B8349D"/>
    <w:rsid w:val="332D7CE1"/>
    <w:rsid w:val="333015F2"/>
    <w:rsid w:val="334B6320"/>
    <w:rsid w:val="33D934D4"/>
    <w:rsid w:val="33FE0265"/>
    <w:rsid w:val="33FE1476"/>
    <w:rsid w:val="33FE2F6A"/>
    <w:rsid w:val="340067CD"/>
    <w:rsid w:val="340E07E5"/>
    <w:rsid w:val="341B1F88"/>
    <w:rsid w:val="34235BF7"/>
    <w:rsid w:val="34294249"/>
    <w:rsid w:val="343A1CD5"/>
    <w:rsid w:val="343B75F5"/>
    <w:rsid w:val="356F1FA8"/>
    <w:rsid w:val="358C5FA8"/>
    <w:rsid w:val="35C15DF1"/>
    <w:rsid w:val="35E0728C"/>
    <w:rsid w:val="36074A7F"/>
    <w:rsid w:val="360D7531"/>
    <w:rsid w:val="36583308"/>
    <w:rsid w:val="367FBC26"/>
    <w:rsid w:val="36923549"/>
    <w:rsid w:val="36A93B22"/>
    <w:rsid w:val="36B75FBF"/>
    <w:rsid w:val="36BD0C45"/>
    <w:rsid w:val="36C97E74"/>
    <w:rsid w:val="372A6593"/>
    <w:rsid w:val="377C2E03"/>
    <w:rsid w:val="37B54672"/>
    <w:rsid w:val="37E00298"/>
    <w:rsid w:val="3804639A"/>
    <w:rsid w:val="388760E5"/>
    <w:rsid w:val="38AC08C1"/>
    <w:rsid w:val="38B302F9"/>
    <w:rsid w:val="38DA238F"/>
    <w:rsid w:val="38F12CD3"/>
    <w:rsid w:val="38F94775"/>
    <w:rsid w:val="39275AE1"/>
    <w:rsid w:val="392971ED"/>
    <w:rsid w:val="392C25FB"/>
    <w:rsid w:val="39325651"/>
    <w:rsid w:val="39531754"/>
    <w:rsid w:val="398820E4"/>
    <w:rsid w:val="39B40870"/>
    <w:rsid w:val="39F84CBC"/>
    <w:rsid w:val="3A872856"/>
    <w:rsid w:val="3AA916B8"/>
    <w:rsid w:val="3ADE034F"/>
    <w:rsid w:val="3AE9785F"/>
    <w:rsid w:val="3AEC6AE6"/>
    <w:rsid w:val="3AF800AB"/>
    <w:rsid w:val="3B043145"/>
    <w:rsid w:val="3B0E78A2"/>
    <w:rsid w:val="3B3763D1"/>
    <w:rsid w:val="3B5D49FC"/>
    <w:rsid w:val="3B9755C1"/>
    <w:rsid w:val="3BD056AD"/>
    <w:rsid w:val="3C024D81"/>
    <w:rsid w:val="3C167A44"/>
    <w:rsid w:val="3C2F6E1E"/>
    <w:rsid w:val="3C4F64BA"/>
    <w:rsid w:val="3CA8353A"/>
    <w:rsid w:val="3CAB076D"/>
    <w:rsid w:val="3CDA245A"/>
    <w:rsid w:val="3CEB072C"/>
    <w:rsid w:val="3D075177"/>
    <w:rsid w:val="3D122928"/>
    <w:rsid w:val="3D1E06B7"/>
    <w:rsid w:val="3D2A703F"/>
    <w:rsid w:val="3D93058E"/>
    <w:rsid w:val="3DD65E81"/>
    <w:rsid w:val="3E4C73CE"/>
    <w:rsid w:val="3E7324C3"/>
    <w:rsid w:val="3ECB4852"/>
    <w:rsid w:val="3EDA0523"/>
    <w:rsid w:val="3F144331"/>
    <w:rsid w:val="3F5D194E"/>
    <w:rsid w:val="3FA4757D"/>
    <w:rsid w:val="3FC92B3F"/>
    <w:rsid w:val="3FCF12B8"/>
    <w:rsid w:val="3FF12080"/>
    <w:rsid w:val="3FFB388C"/>
    <w:rsid w:val="40351AFA"/>
    <w:rsid w:val="40444BCA"/>
    <w:rsid w:val="407A6407"/>
    <w:rsid w:val="40B06FB3"/>
    <w:rsid w:val="417B1711"/>
    <w:rsid w:val="41DD6176"/>
    <w:rsid w:val="4200449D"/>
    <w:rsid w:val="423A3BCC"/>
    <w:rsid w:val="424E57D2"/>
    <w:rsid w:val="428239DE"/>
    <w:rsid w:val="42B26C49"/>
    <w:rsid w:val="430F31E1"/>
    <w:rsid w:val="433A6FE6"/>
    <w:rsid w:val="43480868"/>
    <w:rsid w:val="4350713C"/>
    <w:rsid w:val="436653E0"/>
    <w:rsid w:val="43712958"/>
    <w:rsid w:val="439C3BCA"/>
    <w:rsid w:val="43C4431A"/>
    <w:rsid w:val="43E12355"/>
    <w:rsid w:val="441C23A5"/>
    <w:rsid w:val="445945C6"/>
    <w:rsid w:val="445F5DBB"/>
    <w:rsid w:val="449000D0"/>
    <w:rsid w:val="44B951CC"/>
    <w:rsid w:val="44BA53C1"/>
    <w:rsid w:val="44CD14E0"/>
    <w:rsid w:val="44EA24D3"/>
    <w:rsid w:val="44F20B0B"/>
    <w:rsid w:val="452E5F4C"/>
    <w:rsid w:val="454F2363"/>
    <w:rsid w:val="45612018"/>
    <w:rsid w:val="458946E9"/>
    <w:rsid w:val="45A47C0E"/>
    <w:rsid w:val="46174332"/>
    <w:rsid w:val="4657112E"/>
    <w:rsid w:val="46577FD6"/>
    <w:rsid w:val="46D955A7"/>
    <w:rsid w:val="46EA3DF3"/>
    <w:rsid w:val="47133957"/>
    <w:rsid w:val="474D22A8"/>
    <w:rsid w:val="47583F97"/>
    <w:rsid w:val="477420BF"/>
    <w:rsid w:val="479016A0"/>
    <w:rsid w:val="47A07E0C"/>
    <w:rsid w:val="47D2703E"/>
    <w:rsid w:val="48193B37"/>
    <w:rsid w:val="48313978"/>
    <w:rsid w:val="483F761D"/>
    <w:rsid w:val="4870272E"/>
    <w:rsid w:val="48810296"/>
    <w:rsid w:val="48961A2D"/>
    <w:rsid w:val="495319E4"/>
    <w:rsid w:val="495C1CCE"/>
    <w:rsid w:val="496E3EC0"/>
    <w:rsid w:val="49C232A1"/>
    <w:rsid w:val="49DC7715"/>
    <w:rsid w:val="4A023139"/>
    <w:rsid w:val="4A603CCB"/>
    <w:rsid w:val="4A6E0834"/>
    <w:rsid w:val="4A7B576F"/>
    <w:rsid w:val="4AD8457E"/>
    <w:rsid w:val="4AF561A9"/>
    <w:rsid w:val="4B210876"/>
    <w:rsid w:val="4B292FF2"/>
    <w:rsid w:val="4B7B54A0"/>
    <w:rsid w:val="4B806873"/>
    <w:rsid w:val="4B860A3F"/>
    <w:rsid w:val="4C0C409A"/>
    <w:rsid w:val="4C4A0649"/>
    <w:rsid w:val="4C7C6752"/>
    <w:rsid w:val="4C7E5ECA"/>
    <w:rsid w:val="4C876AA5"/>
    <w:rsid w:val="4C9C5B7D"/>
    <w:rsid w:val="4D057ED4"/>
    <w:rsid w:val="4D0E00FB"/>
    <w:rsid w:val="4D176606"/>
    <w:rsid w:val="4D1F04D9"/>
    <w:rsid w:val="4DEC4FB0"/>
    <w:rsid w:val="4DF75BD0"/>
    <w:rsid w:val="4E075D8A"/>
    <w:rsid w:val="4E95665D"/>
    <w:rsid w:val="4EC00FAD"/>
    <w:rsid w:val="4F1036FB"/>
    <w:rsid w:val="4F2303B5"/>
    <w:rsid w:val="4F471CD3"/>
    <w:rsid w:val="4F7800DE"/>
    <w:rsid w:val="4F9843DC"/>
    <w:rsid w:val="4FC62A8C"/>
    <w:rsid w:val="4FE20F0D"/>
    <w:rsid w:val="4FE51552"/>
    <w:rsid w:val="50504C4B"/>
    <w:rsid w:val="50734E96"/>
    <w:rsid w:val="50803122"/>
    <w:rsid w:val="509C6E7C"/>
    <w:rsid w:val="50BC31C8"/>
    <w:rsid w:val="5116195C"/>
    <w:rsid w:val="515F0681"/>
    <w:rsid w:val="5162104E"/>
    <w:rsid w:val="51A43CB5"/>
    <w:rsid w:val="51F57A55"/>
    <w:rsid w:val="523A78CD"/>
    <w:rsid w:val="527B3D3F"/>
    <w:rsid w:val="52C042D1"/>
    <w:rsid w:val="52C26D3D"/>
    <w:rsid w:val="52C97E97"/>
    <w:rsid w:val="52EA30A1"/>
    <w:rsid w:val="53485324"/>
    <w:rsid w:val="53670B3A"/>
    <w:rsid w:val="539C3AF4"/>
    <w:rsid w:val="53A039CC"/>
    <w:rsid w:val="53A1505A"/>
    <w:rsid w:val="53E55E8F"/>
    <w:rsid w:val="54031BCB"/>
    <w:rsid w:val="54063E08"/>
    <w:rsid w:val="543437E8"/>
    <w:rsid w:val="5486504B"/>
    <w:rsid w:val="54F73313"/>
    <w:rsid w:val="54F80955"/>
    <w:rsid w:val="555170A7"/>
    <w:rsid w:val="5587536D"/>
    <w:rsid w:val="559B174B"/>
    <w:rsid w:val="55CE0CF4"/>
    <w:rsid w:val="55CE77D4"/>
    <w:rsid w:val="564D4BF4"/>
    <w:rsid w:val="56AD3D42"/>
    <w:rsid w:val="56B22A9C"/>
    <w:rsid w:val="571E082E"/>
    <w:rsid w:val="57534858"/>
    <w:rsid w:val="57B72A76"/>
    <w:rsid w:val="57C3426C"/>
    <w:rsid w:val="57CE1F93"/>
    <w:rsid w:val="57D87658"/>
    <w:rsid w:val="57D91A30"/>
    <w:rsid w:val="585769FA"/>
    <w:rsid w:val="588743D1"/>
    <w:rsid w:val="5887701A"/>
    <w:rsid w:val="59C0439F"/>
    <w:rsid w:val="59D2488F"/>
    <w:rsid w:val="5A3A3927"/>
    <w:rsid w:val="5A7C2D67"/>
    <w:rsid w:val="5A7C72AA"/>
    <w:rsid w:val="5ABE2233"/>
    <w:rsid w:val="5ACB1A0A"/>
    <w:rsid w:val="5B0E39F5"/>
    <w:rsid w:val="5B830BBB"/>
    <w:rsid w:val="5B8F36CF"/>
    <w:rsid w:val="5BDF5D95"/>
    <w:rsid w:val="5BFE7528"/>
    <w:rsid w:val="5C0A47B4"/>
    <w:rsid w:val="5D4B6E32"/>
    <w:rsid w:val="5D5A0E23"/>
    <w:rsid w:val="5D63364C"/>
    <w:rsid w:val="5D7E6F9B"/>
    <w:rsid w:val="5DBE2EC4"/>
    <w:rsid w:val="5E2467F1"/>
    <w:rsid w:val="5E67352F"/>
    <w:rsid w:val="5E6E2DD8"/>
    <w:rsid w:val="5E863D82"/>
    <w:rsid w:val="5EA26C39"/>
    <w:rsid w:val="5EB05D8C"/>
    <w:rsid w:val="5F1A2B43"/>
    <w:rsid w:val="5F244EFA"/>
    <w:rsid w:val="5F3276A6"/>
    <w:rsid w:val="5F630463"/>
    <w:rsid w:val="5F7D6CF6"/>
    <w:rsid w:val="5FB837BB"/>
    <w:rsid w:val="5FE8630D"/>
    <w:rsid w:val="602E73A2"/>
    <w:rsid w:val="604F6C39"/>
    <w:rsid w:val="60CC405A"/>
    <w:rsid w:val="60F74CEB"/>
    <w:rsid w:val="61AE3FFC"/>
    <w:rsid w:val="61DD1805"/>
    <w:rsid w:val="61E215D8"/>
    <w:rsid w:val="621B3775"/>
    <w:rsid w:val="62364782"/>
    <w:rsid w:val="623C4497"/>
    <w:rsid w:val="623F2078"/>
    <w:rsid w:val="625247BE"/>
    <w:rsid w:val="62B577BF"/>
    <w:rsid w:val="62CB5A5E"/>
    <w:rsid w:val="62D7261F"/>
    <w:rsid w:val="62F86CEC"/>
    <w:rsid w:val="63894210"/>
    <w:rsid w:val="6394356A"/>
    <w:rsid w:val="63C61B2C"/>
    <w:rsid w:val="63D40BE9"/>
    <w:rsid w:val="640574C5"/>
    <w:rsid w:val="64102431"/>
    <w:rsid w:val="642923B1"/>
    <w:rsid w:val="64872C61"/>
    <w:rsid w:val="6499279D"/>
    <w:rsid w:val="64A5243A"/>
    <w:rsid w:val="64D16A19"/>
    <w:rsid w:val="64F531DE"/>
    <w:rsid w:val="65373578"/>
    <w:rsid w:val="65592910"/>
    <w:rsid w:val="65D86A53"/>
    <w:rsid w:val="65E0325F"/>
    <w:rsid w:val="66AA02D9"/>
    <w:rsid w:val="671F124A"/>
    <w:rsid w:val="677A33C6"/>
    <w:rsid w:val="67A133FC"/>
    <w:rsid w:val="67CE48E7"/>
    <w:rsid w:val="681F6961"/>
    <w:rsid w:val="68610A2F"/>
    <w:rsid w:val="68805514"/>
    <w:rsid w:val="68BD3102"/>
    <w:rsid w:val="69316E2F"/>
    <w:rsid w:val="694E2071"/>
    <w:rsid w:val="695515EC"/>
    <w:rsid w:val="696C07B6"/>
    <w:rsid w:val="69766163"/>
    <w:rsid w:val="697A3B33"/>
    <w:rsid w:val="697F233D"/>
    <w:rsid w:val="69D44760"/>
    <w:rsid w:val="69D95206"/>
    <w:rsid w:val="69E95EFF"/>
    <w:rsid w:val="6A520EC7"/>
    <w:rsid w:val="6A5561D8"/>
    <w:rsid w:val="6A7579B7"/>
    <w:rsid w:val="6ACD26FC"/>
    <w:rsid w:val="6AF87E20"/>
    <w:rsid w:val="6B322639"/>
    <w:rsid w:val="6B9B2520"/>
    <w:rsid w:val="6C636C38"/>
    <w:rsid w:val="6D7F7620"/>
    <w:rsid w:val="6DB34098"/>
    <w:rsid w:val="6DB545B6"/>
    <w:rsid w:val="6DBE6DD5"/>
    <w:rsid w:val="6DE02FB4"/>
    <w:rsid w:val="6E1D2A95"/>
    <w:rsid w:val="6E386F5E"/>
    <w:rsid w:val="6E4D58EE"/>
    <w:rsid w:val="6E514CED"/>
    <w:rsid w:val="6E7E078E"/>
    <w:rsid w:val="6EB563D5"/>
    <w:rsid w:val="6EB65402"/>
    <w:rsid w:val="6ED170D5"/>
    <w:rsid w:val="6ED76777"/>
    <w:rsid w:val="6ED92677"/>
    <w:rsid w:val="6F225983"/>
    <w:rsid w:val="6F677420"/>
    <w:rsid w:val="6FFC5590"/>
    <w:rsid w:val="700E49DC"/>
    <w:rsid w:val="706D1DD0"/>
    <w:rsid w:val="70711BDA"/>
    <w:rsid w:val="70777D48"/>
    <w:rsid w:val="70856B87"/>
    <w:rsid w:val="70996E6D"/>
    <w:rsid w:val="70D527EE"/>
    <w:rsid w:val="70E6039F"/>
    <w:rsid w:val="70EC2A0D"/>
    <w:rsid w:val="715B5300"/>
    <w:rsid w:val="7183488E"/>
    <w:rsid w:val="71995F66"/>
    <w:rsid w:val="719C0F72"/>
    <w:rsid w:val="71BC7EA6"/>
    <w:rsid w:val="71D27F8A"/>
    <w:rsid w:val="72120B31"/>
    <w:rsid w:val="72303267"/>
    <w:rsid w:val="72491695"/>
    <w:rsid w:val="724D475E"/>
    <w:rsid w:val="72553024"/>
    <w:rsid w:val="725D6C64"/>
    <w:rsid w:val="73122968"/>
    <w:rsid w:val="731F5D5E"/>
    <w:rsid w:val="738E4690"/>
    <w:rsid w:val="73C51AD5"/>
    <w:rsid w:val="73C61E8D"/>
    <w:rsid w:val="73F531FC"/>
    <w:rsid w:val="741E793C"/>
    <w:rsid w:val="742617BE"/>
    <w:rsid w:val="745E3944"/>
    <w:rsid w:val="753D775E"/>
    <w:rsid w:val="75444A6B"/>
    <w:rsid w:val="756B594D"/>
    <w:rsid w:val="75AF3E5C"/>
    <w:rsid w:val="75BD0A98"/>
    <w:rsid w:val="75CC1869"/>
    <w:rsid w:val="75D16B02"/>
    <w:rsid w:val="75D3015A"/>
    <w:rsid w:val="7635099D"/>
    <w:rsid w:val="76D003CE"/>
    <w:rsid w:val="76D0280E"/>
    <w:rsid w:val="77494234"/>
    <w:rsid w:val="77594E36"/>
    <w:rsid w:val="77754D7F"/>
    <w:rsid w:val="77762421"/>
    <w:rsid w:val="77B56B1F"/>
    <w:rsid w:val="78013D3F"/>
    <w:rsid w:val="780F09F4"/>
    <w:rsid w:val="78586E83"/>
    <w:rsid w:val="78730D99"/>
    <w:rsid w:val="78A90480"/>
    <w:rsid w:val="791463DE"/>
    <w:rsid w:val="791704B5"/>
    <w:rsid w:val="792C0F13"/>
    <w:rsid w:val="7931117A"/>
    <w:rsid w:val="79434F62"/>
    <w:rsid w:val="7A364017"/>
    <w:rsid w:val="7A6E0FD0"/>
    <w:rsid w:val="7A8265E1"/>
    <w:rsid w:val="7A900BF1"/>
    <w:rsid w:val="7B686D42"/>
    <w:rsid w:val="7B841746"/>
    <w:rsid w:val="7B8C08E9"/>
    <w:rsid w:val="7BF24BF0"/>
    <w:rsid w:val="7C217593"/>
    <w:rsid w:val="7C47666B"/>
    <w:rsid w:val="7C6C5AC7"/>
    <w:rsid w:val="7C8A26A2"/>
    <w:rsid w:val="7CC6544B"/>
    <w:rsid w:val="7CFC50FE"/>
    <w:rsid w:val="7D0239FF"/>
    <w:rsid w:val="7D1A60DC"/>
    <w:rsid w:val="7D5E40CD"/>
    <w:rsid w:val="7DB40C47"/>
    <w:rsid w:val="7DC61FE4"/>
    <w:rsid w:val="7DCD56F2"/>
    <w:rsid w:val="7E237C07"/>
    <w:rsid w:val="7EDF47DA"/>
    <w:rsid w:val="7F001CE7"/>
    <w:rsid w:val="7F4B2F3F"/>
    <w:rsid w:val="7F6000C3"/>
    <w:rsid w:val="7FCC7507"/>
    <w:rsid w:val="7FE47E50"/>
    <w:rsid w:val="F7D559A9"/>
    <w:rsid w:val="FFE0208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qFormat="1"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260" w:after="260" w:line="416" w:lineRule="auto"/>
      <w:outlineLvl w:val="1"/>
    </w:pPr>
    <w:rPr>
      <w:rFonts w:ascii="Cambria" w:hAnsi="Cambria"/>
      <w:b/>
      <w:bCs/>
      <w:sz w:val="32"/>
      <w:szCs w:val="32"/>
    </w:rPr>
  </w:style>
  <w:style w:type="paragraph" w:styleId="5">
    <w:name w:val="heading 4"/>
    <w:basedOn w:val="1"/>
    <w:next w:val="1"/>
    <w:qFormat/>
    <w:locked/>
    <w:uiPriority w:val="1"/>
    <w:pPr>
      <w:ind w:left="977"/>
      <w:outlineLvl w:val="3"/>
    </w:pPr>
    <w:rPr>
      <w:rFonts w:ascii="宋体" w:hAnsi="宋体" w:eastAsia="宋体" w:cs="宋体"/>
      <w:b/>
      <w:bCs/>
      <w:sz w:val="24"/>
      <w:szCs w:val="24"/>
      <w:lang w:val="zh-CN" w:eastAsia="zh-CN" w:bidi="zh-CN"/>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w:basedOn w:val="1"/>
    <w:link w:val="34"/>
    <w:qFormat/>
    <w:uiPriority w:val="0"/>
    <w:pPr>
      <w:widowControl/>
      <w:snapToGrid w:val="0"/>
      <w:spacing w:before="60" w:after="160" w:line="259" w:lineRule="auto"/>
      <w:ind w:right="113"/>
    </w:pPr>
    <w:rPr>
      <w:kern w:val="0"/>
      <w:sz w:val="18"/>
      <w:szCs w:val="20"/>
    </w:rPr>
  </w:style>
  <w:style w:type="paragraph" w:styleId="6">
    <w:name w:val="Normal Indent"/>
    <w:basedOn w:val="1"/>
    <w:qFormat/>
    <w:locked/>
    <w:uiPriority w:val="0"/>
    <w:rPr>
      <w:rFonts w:ascii="仿宋_GB2312" w:eastAsia="仿宋_GB2312"/>
      <w:snapToGrid w:val="0"/>
      <w:kern w:val="0"/>
      <w:sz w:val="28"/>
    </w:rPr>
  </w:style>
  <w:style w:type="paragraph" w:styleId="7">
    <w:name w:val="caption"/>
    <w:basedOn w:val="8"/>
    <w:next w:val="1"/>
    <w:qFormat/>
    <w:locked/>
    <w:uiPriority w:val="0"/>
    <w:rPr>
      <w:rFonts w:ascii="Arial" w:hAnsi="Arial" w:eastAsia="黑体"/>
      <w:sz w:val="20"/>
    </w:rPr>
  </w:style>
  <w:style w:type="paragraph" w:customStyle="1" w:styleId="8">
    <w:name w:val="文本2"/>
    <w:basedOn w:val="9"/>
    <w:qFormat/>
    <w:uiPriority w:val="0"/>
    <w:pPr>
      <w:spacing w:before="0" w:beforeAutospacing="0" w:after="0" w:afterAutospacing="0" w:line="360" w:lineRule="auto"/>
      <w:ind w:firstLine="200" w:firstLineChars="200"/>
      <w:jc w:val="both"/>
    </w:pPr>
  </w:style>
  <w:style w:type="paragraph" w:styleId="9">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10">
    <w:name w:val="toa heading"/>
    <w:basedOn w:val="1"/>
    <w:next w:val="1"/>
    <w:qFormat/>
    <w:locked/>
    <w:uiPriority w:val="0"/>
    <w:pPr>
      <w:spacing w:before="120"/>
    </w:pPr>
    <w:rPr>
      <w:rFonts w:ascii="Arial" w:hAnsi="Arial" w:cs="Arial"/>
      <w:szCs w:val="24"/>
    </w:rPr>
  </w:style>
  <w:style w:type="paragraph" w:styleId="11">
    <w:name w:val="annotation text"/>
    <w:basedOn w:val="1"/>
    <w:link w:val="33"/>
    <w:semiHidden/>
    <w:qFormat/>
    <w:uiPriority w:val="0"/>
    <w:pPr>
      <w:jc w:val="left"/>
    </w:pPr>
    <w:rPr>
      <w:kern w:val="0"/>
      <w:sz w:val="24"/>
      <w:szCs w:val="20"/>
    </w:rPr>
  </w:style>
  <w:style w:type="paragraph" w:styleId="12">
    <w:name w:val="index 6"/>
    <w:basedOn w:val="1"/>
    <w:next w:val="1"/>
    <w:qFormat/>
    <w:locked/>
    <w:uiPriority w:val="0"/>
    <w:pPr>
      <w:ind w:left="2100"/>
    </w:pPr>
    <w:rPr>
      <w:rFonts w:ascii="黑体" w:eastAsia="黑体"/>
      <w:szCs w:val="24"/>
    </w:rPr>
  </w:style>
  <w:style w:type="paragraph" w:styleId="13">
    <w:name w:val="Body Text Indent"/>
    <w:basedOn w:val="1"/>
    <w:link w:val="35"/>
    <w:qFormat/>
    <w:uiPriority w:val="0"/>
    <w:pPr>
      <w:spacing w:after="120"/>
      <w:ind w:left="420" w:leftChars="200"/>
    </w:pPr>
    <w:rPr>
      <w:kern w:val="0"/>
      <w:sz w:val="24"/>
      <w:szCs w:val="20"/>
    </w:rPr>
  </w:style>
  <w:style w:type="paragraph" w:styleId="14">
    <w:name w:val="Plain Text"/>
    <w:basedOn w:val="1"/>
    <w:qFormat/>
    <w:locked/>
    <w:uiPriority w:val="0"/>
    <w:rPr>
      <w:rFonts w:ascii="宋体" w:hAnsi="Courier New"/>
    </w:rPr>
  </w:style>
  <w:style w:type="paragraph" w:styleId="15">
    <w:name w:val="Date"/>
    <w:basedOn w:val="1"/>
    <w:next w:val="1"/>
    <w:link w:val="36"/>
    <w:qFormat/>
    <w:uiPriority w:val="0"/>
    <w:pPr>
      <w:ind w:left="100" w:leftChars="2500"/>
    </w:pPr>
    <w:rPr>
      <w:kern w:val="0"/>
      <w:sz w:val="24"/>
      <w:szCs w:val="20"/>
    </w:rPr>
  </w:style>
  <w:style w:type="paragraph" w:styleId="16">
    <w:name w:val="Body Text Indent 2"/>
    <w:basedOn w:val="1"/>
    <w:qFormat/>
    <w:locked/>
    <w:uiPriority w:val="0"/>
    <w:pPr>
      <w:spacing w:line="420" w:lineRule="auto"/>
    </w:pPr>
  </w:style>
  <w:style w:type="paragraph" w:styleId="17">
    <w:name w:val="Balloon Text"/>
    <w:basedOn w:val="1"/>
    <w:link w:val="37"/>
    <w:qFormat/>
    <w:uiPriority w:val="0"/>
    <w:rPr>
      <w:kern w:val="0"/>
      <w:sz w:val="18"/>
      <w:szCs w:val="20"/>
    </w:rPr>
  </w:style>
  <w:style w:type="paragraph" w:styleId="18">
    <w:name w:val="footer"/>
    <w:basedOn w:val="1"/>
    <w:link w:val="38"/>
    <w:qFormat/>
    <w:uiPriority w:val="99"/>
    <w:pPr>
      <w:tabs>
        <w:tab w:val="center" w:pos="4153"/>
        <w:tab w:val="right" w:pos="8306"/>
      </w:tabs>
      <w:snapToGrid w:val="0"/>
      <w:jc w:val="left"/>
    </w:pPr>
    <w:rPr>
      <w:kern w:val="0"/>
      <w:sz w:val="18"/>
      <w:szCs w:val="20"/>
    </w:rPr>
  </w:style>
  <w:style w:type="paragraph" w:styleId="19">
    <w:name w:val="header"/>
    <w:basedOn w:val="1"/>
    <w:next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index heading"/>
    <w:basedOn w:val="1"/>
    <w:next w:val="21"/>
    <w:semiHidden/>
    <w:qFormat/>
    <w:locked/>
    <w:uiPriority w:val="0"/>
    <w:rPr>
      <w:rFonts w:ascii="Arial" w:hAnsi="Arial" w:cs="Arial"/>
      <w:b/>
      <w:bCs/>
    </w:rPr>
  </w:style>
  <w:style w:type="paragraph" w:styleId="21">
    <w:name w:val="index 1"/>
    <w:basedOn w:val="1"/>
    <w:next w:val="1"/>
    <w:qFormat/>
    <w:locked/>
    <w:uiPriority w:val="0"/>
    <w:pPr>
      <w:tabs>
        <w:tab w:val="left" w:pos="5580"/>
      </w:tabs>
      <w:spacing w:line="280" w:lineRule="exact"/>
    </w:pPr>
    <w:rPr>
      <w:rFonts w:ascii="宋体" w:hAnsi="宋体"/>
      <w:spacing w:val="10"/>
    </w:rPr>
  </w:style>
  <w:style w:type="paragraph" w:styleId="22">
    <w:name w:val="List"/>
    <w:basedOn w:val="1"/>
    <w:qFormat/>
    <w:locked/>
    <w:uiPriority w:val="0"/>
    <w:pPr>
      <w:autoSpaceDE/>
      <w:autoSpaceDN/>
      <w:adjustRightInd/>
      <w:spacing w:line="300" w:lineRule="auto"/>
    </w:pPr>
    <w:rPr>
      <w:rFonts w:eastAsia="宋体"/>
      <w:kern w:val="2"/>
    </w:rPr>
  </w:style>
  <w:style w:type="paragraph" w:styleId="23">
    <w:name w:val="table of figures"/>
    <w:basedOn w:val="1"/>
    <w:next w:val="1"/>
    <w:semiHidden/>
    <w:qFormat/>
    <w:locked/>
    <w:uiPriority w:val="0"/>
    <w:pPr>
      <w:ind w:left="200" w:leftChars="200" w:hanging="200" w:hangingChars="200"/>
    </w:pPr>
    <w:rPr>
      <w:rFonts w:ascii="仿宋_GB2312" w:hAnsi="仿宋_GB2312" w:cs="仿宋_GB2312"/>
    </w:rPr>
  </w:style>
  <w:style w:type="paragraph" w:styleId="24">
    <w:name w:val="toc 2"/>
    <w:basedOn w:val="1"/>
    <w:next w:val="1"/>
    <w:unhideWhenUsed/>
    <w:qFormat/>
    <w:locked/>
    <w:uiPriority w:val="0"/>
    <w:pPr>
      <w:widowControl/>
      <w:autoSpaceDE/>
      <w:autoSpaceDN/>
      <w:snapToGrid w:val="0"/>
      <w:spacing w:after="200"/>
      <w:ind w:left="420" w:leftChars="200"/>
    </w:pPr>
    <w:rPr>
      <w:rFonts w:ascii="Tahoma" w:hAnsi="Tahoma" w:eastAsia="微软雅黑" w:cs="Times New Roman"/>
      <w:sz w:val="22"/>
      <w:szCs w:val="22"/>
    </w:rPr>
  </w:style>
  <w:style w:type="paragraph" w:styleId="25">
    <w:name w:val="annotation subject"/>
    <w:basedOn w:val="11"/>
    <w:next w:val="11"/>
    <w:link w:val="41"/>
    <w:semiHidden/>
    <w:qFormat/>
    <w:uiPriority w:val="0"/>
    <w:rPr>
      <w:b/>
      <w:sz w:val="24"/>
      <w:szCs w:val="20"/>
    </w:rPr>
  </w:style>
  <w:style w:type="paragraph" w:styleId="26">
    <w:name w:val="Body Text First Indent 2"/>
    <w:basedOn w:val="13"/>
    <w:qFormat/>
    <w:locked/>
    <w:uiPriority w:val="0"/>
    <w:pPr>
      <w:ind w:firstLine="420"/>
    </w:p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locked/>
    <w:uiPriority w:val="0"/>
  </w:style>
  <w:style w:type="character" w:styleId="31">
    <w:name w:val="Hyperlink"/>
    <w:qFormat/>
    <w:locked/>
    <w:uiPriority w:val="0"/>
    <w:rPr>
      <w:color w:val="0000FF"/>
      <w:u w:val="single"/>
    </w:rPr>
  </w:style>
  <w:style w:type="character" w:styleId="32">
    <w:name w:val="annotation reference"/>
    <w:semiHidden/>
    <w:qFormat/>
    <w:uiPriority w:val="0"/>
    <w:rPr>
      <w:sz w:val="21"/>
    </w:rPr>
  </w:style>
  <w:style w:type="character" w:customStyle="1" w:styleId="33">
    <w:name w:val="批注文字 Char"/>
    <w:link w:val="11"/>
    <w:qFormat/>
    <w:locked/>
    <w:uiPriority w:val="0"/>
    <w:rPr>
      <w:rFonts w:ascii="Times New Roman" w:hAnsi="Times New Roman" w:eastAsia="宋体"/>
      <w:sz w:val="24"/>
    </w:rPr>
  </w:style>
  <w:style w:type="character" w:customStyle="1" w:styleId="34">
    <w:name w:val="正文文本 Char"/>
    <w:link w:val="2"/>
    <w:qFormat/>
    <w:locked/>
    <w:uiPriority w:val="0"/>
    <w:rPr>
      <w:sz w:val="18"/>
    </w:rPr>
  </w:style>
  <w:style w:type="character" w:customStyle="1" w:styleId="35">
    <w:name w:val="正文文本缩进 Char"/>
    <w:link w:val="13"/>
    <w:semiHidden/>
    <w:qFormat/>
    <w:locked/>
    <w:uiPriority w:val="0"/>
    <w:rPr>
      <w:rFonts w:ascii="Times New Roman" w:hAnsi="Times New Roman" w:eastAsia="宋体"/>
      <w:sz w:val="24"/>
    </w:rPr>
  </w:style>
  <w:style w:type="character" w:customStyle="1" w:styleId="36">
    <w:name w:val="日期 Char"/>
    <w:link w:val="15"/>
    <w:qFormat/>
    <w:locked/>
    <w:uiPriority w:val="0"/>
    <w:rPr>
      <w:rFonts w:ascii="Times New Roman" w:hAnsi="Times New Roman" w:eastAsia="宋体"/>
      <w:sz w:val="24"/>
    </w:rPr>
  </w:style>
  <w:style w:type="character" w:customStyle="1" w:styleId="37">
    <w:name w:val="批注框文本 Char"/>
    <w:link w:val="17"/>
    <w:semiHidden/>
    <w:qFormat/>
    <w:locked/>
    <w:uiPriority w:val="0"/>
    <w:rPr>
      <w:rFonts w:ascii="Times New Roman" w:hAnsi="Times New Roman" w:eastAsia="宋体"/>
      <w:sz w:val="18"/>
    </w:rPr>
  </w:style>
  <w:style w:type="character" w:customStyle="1" w:styleId="38">
    <w:name w:val="页脚 Char"/>
    <w:link w:val="18"/>
    <w:qFormat/>
    <w:locked/>
    <w:uiPriority w:val="99"/>
    <w:rPr>
      <w:sz w:val="18"/>
    </w:rPr>
  </w:style>
  <w:style w:type="character" w:customStyle="1" w:styleId="39">
    <w:name w:val="页眉 Char"/>
    <w:link w:val="19"/>
    <w:qFormat/>
    <w:locked/>
    <w:uiPriority w:val="0"/>
    <w:rPr>
      <w:sz w:val="18"/>
    </w:rPr>
  </w:style>
  <w:style w:type="character" w:customStyle="1" w:styleId="40">
    <w:name w:val="普通(网站) Char"/>
    <w:link w:val="9"/>
    <w:qFormat/>
    <w:locked/>
    <w:uiPriority w:val="0"/>
    <w:rPr>
      <w:rFonts w:ascii="宋体" w:hAnsi="宋体" w:eastAsia="宋体"/>
      <w:sz w:val="24"/>
    </w:rPr>
  </w:style>
  <w:style w:type="character" w:customStyle="1" w:styleId="41">
    <w:name w:val="批注主题 Char"/>
    <w:link w:val="25"/>
    <w:semiHidden/>
    <w:qFormat/>
    <w:locked/>
    <w:uiPriority w:val="0"/>
    <w:rPr>
      <w:rFonts w:ascii="Times New Roman" w:hAnsi="Times New Roman" w:eastAsia="宋体"/>
      <w:b/>
      <w:kern w:val="2"/>
      <w:sz w:val="24"/>
    </w:rPr>
  </w:style>
  <w:style w:type="paragraph" w:customStyle="1" w:styleId="4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3">
    <w:name w:val="Default"/>
    <w:next w:val="44"/>
    <w:qFormat/>
    <w:uiPriority w:val="0"/>
    <w:pPr>
      <w:widowControl w:val="0"/>
      <w:autoSpaceDE w:val="0"/>
      <w:autoSpaceDN w:val="0"/>
      <w:adjustRightInd w:val="0"/>
      <w:spacing w:line="420" w:lineRule="auto"/>
      <w:ind w:firstLine="480" w:firstLineChars="200"/>
    </w:pPr>
    <w:rPr>
      <w:rFonts w:ascii="仿宋_GB2312" w:hAnsi="仿宋_GB2312" w:eastAsia="宋体" w:cs="仿宋_GB2312"/>
      <w:color w:val="000000"/>
      <w:sz w:val="24"/>
      <w:szCs w:val="24"/>
      <w:lang w:val="en-US" w:eastAsia="zh-CN" w:bidi="ar-SA"/>
    </w:rPr>
  </w:style>
  <w:style w:type="paragraph" w:customStyle="1" w:styleId="44">
    <w:name w:val="样式1"/>
    <w:basedOn w:val="20"/>
    <w:next w:val="1"/>
    <w:qFormat/>
    <w:uiPriority w:val="0"/>
    <w:pPr>
      <w:snapToGrid w:val="0"/>
      <w:jc w:val="center"/>
    </w:pPr>
    <w:rPr>
      <w:rFonts w:hint="eastAsia" w:ascii="宋体"/>
      <w:sz w:val="24"/>
    </w:rPr>
  </w:style>
  <w:style w:type="character" w:customStyle="1" w:styleId="45">
    <w:name w:val="bbbstyle"/>
    <w:qFormat/>
    <w:uiPriority w:val="0"/>
    <w:rPr>
      <w:rFonts w:eastAsia="宋体"/>
      <w:sz w:val="21"/>
    </w:rPr>
  </w:style>
  <w:style w:type="character" w:customStyle="1" w:styleId="46">
    <w:name w:val="font51"/>
    <w:qFormat/>
    <w:uiPriority w:val="0"/>
    <w:rPr>
      <w:rFonts w:hint="default" w:ascii="Times New Roman" w:hAnsi="Times New Roman" w:cs="Times New Roman"/>
      <w:color w:val="000000"/>
      <w:sz w:val="21"/>
      <w:szCs w:val="21"/>
      <w:u w:val="none"/>
    </w:rPr>
  </w:style>
  <w:style w:type="character" w:customStyle="1" w:styleId="47">
    <w:name w:val="表格 Char"/>
    <w:link w:val="48"/>
    <w:qFormat/>
    <w:locked/>
    <w:uiPriority w:val="0"/>
    <w:rPr>
      <w:rFonts w:ascii="宋体" w:hAnsi="宋体" w:eastAsia="宋体"/>
      <w:sz w:val="21"/>
    </w:rPr>
  </w:style>
  <w:style w:type="paragraph" w:customStyle="1" w:styleId="48">
    <w:name w:val="环评表格"/>
    <w:basedOn w:val="1"/>
    <w:next w:val="1"/>
    <w:link w:val="47"/>
    <w:qFormat/>
    <w:uiPriority w:val="0"/>
    <w:pPr>
      <w:adjustRightInd w:val="0"/>
      <w:snapToGrid w:val="0"/>
      <w:spacing w:line="360" w:lineRule="auto"/>
      <w:jc w:val="center"/>
    </w:pPr>
    <w:rPr>
      <w:rFonts w:ascii="宋体" w:hAnsi="宋体" w:eastAsia="宋体"/>
      <w:kern w:val="0"/>
      <w:szCs w:val="20"/>
    </w:rPr>
  </w:style>
  <w:style w:type="character" w:customStyle="1" w:styleId="49">
    <w:name w:val="font01"/>
    <w:qFormat/>
    <w:uiPriority w:val="0"/>
    <w:rPr>
      <w:rFonts w:hint="default" w:ascii="Times New Roman" w:hAnsi="Times New Roman" w:cs="Times New Roman"/>
      <w:color w:val="000000"/>
      <w:sz w:val="15"/>
      <w:szCs w:val="15"/>
      <w:u w:val="none"/>
    </w:rPr>
  </w:style>
  <w:style w:type="character" w:customStyle="1" w:styleId="50">
    <w:name w:val="font61"/>
    <w:qFormat/>
    <w:uiPriority w:val="0"/>
    <w:rPr>
      <w:rFonts w:hint="default" w:ascii="Times New Roman" w:hAnsi="Times New Roman" w:cs="Times New Roman"/>
      <w:color w:val="000000"/>
      <w:sz w:val="13"/>
      <w:szCs w:val="13"/>
      <w:u w:val="none"/>
    </w:rPr>
  </w:style>
  <w:style w:type="character" w:customStyle="1" w:styleId="51">
    <w:name w:val="font31"/>
    <w:qFormat/>
    <w:uiPriority w:val="0"/>
    <w:rPr>
      <w:rFonts w:hint="default" w:ascii="Times New Roman" w:hAnsi="Times New Roman" w:cs="Times New Roman"/>
      <w:b/>
      <w:bCs/>
      <w:color w:val="000000"/>
      <w:sz w:val="24"/>
      <w:szCs w:val="24"/>
      <w:u w:val="none"/>
    </w:rPr>
  </w:style>
  <w:style w:type="character" w:customStyle="1" w:styleId="52">
    <w:name w:val="font112"/>
    <w:qFormat/>
    <w:uiPriority w:val="0"/>
    <w:rPr>
      <w:rFonts w:hint="default" w:ascii="Times New Roman" w:hAnsi="Times New Roman" w:cs="Times New Roman"/>
      <w:b/>
      <w:bCs/>
      <w:color w:val="000000"/>
      <w:sz w:val="18"/>
      <w:szCs w:val="18"/>
      <w:u w:val="none"/>
      <w:vertAlign w:val="superscript"/>
    </w:rPr>
  </w:style>
  <w:style w:type="character" w:customStyle="1" w:styleId="53">
    <w:name w:val="font101"/>
    <w:qFormat/>
    <w:uiPriority w:val="0"/>
    <w:rPr>
      <w:rFonts w:hint="default" w:ascii="Times New Roman" w:hAnsi="Times New Roman" w:cs="Times New Roman"/>
      <w:b/>
      <w:bCs/>
      <w:color w:val="000000"/>
      <w:sz w:val="24"/>
      <w:szCs w:val="24"/>
      <w:u w:val="none"/>
      <w:vertAlign w:val="superscript"/>
    </w:rPr>
  </w:style>
  <w:style w:type="character" w:customStyle="1" w:styleId="54">
    <w:name w:val="font41"/>
    <w:qFormat/>
    <w:uiPriority w:val="0"/>
    <w:rPr>
      <w:rFonts w:hint="default" w:ascii="Times New Roman" w:hAnsi="Times New Roman" w:cs="Times New Roman"/>
      <w:color w:val="000000"/>
      <w:sz w:val="21"/>
      <w:szCs w:val="21"/>
      <w:u w:val="none"/>
    </w:rPr>
  </w:style>
  <w:style w:type="character" w:customStyle="1" w:styleId="55">
    <w:name w:val="页脚 字符"/>
    <w:qFormat/>
    <w:uiPriority w:val="99"/>
  </w:style>
  <w:style w:type="character" w:customStyle="1" w:styleId="56">
    <w:name w:val="fontstyle01"/>
    <w:qFormat/>
    <w:uiPriority w:val="0"/>
    <w:rPr>
      <w:rFonts w:ascii="宋体" w:hAnsi="宋体" w:eastAsia="宋体" w:cs="宋体"/>
      <w:color w:val="000000"/>
      <w:sz w:val="24"/>
      <w:szCs w:val="24"/>
    </w:rPr>
  </w:style>
  <w:style w:type="character" w:customStyle="1" w:styleId="57">
    <w:name w:val="font11"/>
    <w:qFormat/>
    <w:uiPriority w:val="0"/>
    <w:rPr>
      <w:rFonts w:hint="eastAsia" w:ascii="宋体" w:hAnsi="宋体" w:eastAsia="宋体" w:cs="宋体"/>
      <w:b/>
      <w:bCs/>
      <w:color w:val="000000"/>
      <w:sz w:val="24"/>
      <w:szCs w:val="24"/>
      <w:u w:val="none"/>
    </w:rPr>
  </w:style>
  <w:style w:type="character" w:customStyle="1" w:styleId="58">
    <w:name w:val="font21"/>
    <w:qFormat/>
    <w:uiPriority w:val="0"/>
    <w:rPr>
      <w:rFonts w:hint="eastAsia" w:ascii="宋体" w:hAnsi="宋体" w:eastAsia="宋体" w:cs="宋体"/>
      <w:b/>
      <w:bCs/>
      <w:color w:val="000000"/>
      <w:sz w:val="24"/>
      <w:szCs w:val="24"/>
      <w:u w:val="none"/>
    </w:rPr>
  </w:style>
  <w:style w:type="character" w:customStyle="1" w:styleId="59">
    <w:name w:val="NormalCharacter"/>
    <w:semiHidden/>
    <w:qFormat/>
    <w:uiPriority w:val="0"/>
    <w:rPr>
      <w:kern w:val="2"/>
      <w:sz w:val="21"/>
      <w:szCs w:val="24"/>
      <w:lang w:val="en-US" w:eastAsia="zh-CN" w:bidi="ar-SA"/>
    </w:rPr>
  </w:style>
  <w:style w:type="paragraph" w:customStyle="1" w:styleId="60">
    <w:name w:val="环评标题2"/>
    <w:basedOn w:val="4"/>
    <w:next w:val="1"/>
    <w:qFormat/>
    <w:uiPriority w:val="0"/>
    <w:pPr>
      <w:spacing w:beforeLines="50" w:after="0" w:line="500" w:lineRule="exact"/>
      <w:ind w:firstLine="0" w:firstLineChars="0"/>
    </w:pPr>
    <w:rPr>
      <w:rFonts w:ascii="Times New Roman" w:hAnsi="Times New Roman"/>
      <w:sz w:val="28"/>
    </w:rPr>
  </w:style>
  <w:style w:type="paragraph" w:customStyle="1" w:styleId="61">
    <w:name w:val="WPSOffice手动目录 2"/>
    <w:qFormat/>
    <w:uiPriority w:val="0"/>
    <w:pPr>
      <w:ind w:left="200" w:leftChars="200"/>
    </w:pPr>
    <w:rPr>
      <w:rFonts w:ascii="Calibri" w:hAnsi="Calibri" w:eastAsia="宋体" w:cs="Times New Roman"/>
      <w:lang w:val="en-US" w:eastAsia="zh-CN" w:bidi="ar-SA"/>
    </w:rPr>
  </w:style>
  <w:style w:type="paragraph" w:customStyle="1" w:styleId="62">
    <w:name w:val="标题4"/>
    <w:basedOn w:val="1"/>
    <w:qFormat/>
    <w:uiPriority w:val="0"/>
    <w:pPr>
      <w:ind w:firstLine="482"/>
    </w:pPr>
    <w:rPr>
      <w:b/>
      <w:bCs/>
      <w:szCs w:val="24"/>
    </w:rPr>
  </w:style>
  <w:style w:type="paragraph" w:customStyle="1" w:styleId="63">
    <w:name w:val="环评表头"/>
    <w:basedOn w:val="1"/>
    <w:qFormat/>
    <w:uiPriority w:val="0"/>
    <w:pPr>
      <w:spacing w:line="360" w:lineRule="auto"/>
      <w:ind w:firstLine="0"/>
      <w:jc w:val="center"/>
    </w:pPr>
    <w:rPr>
      <w:rFonts w:hint="eastAsia" w:ascii="宋体" w:hAnsi="宋体" w:eastAsia="宋体"/>
      <w:b/>
      <w:bCs/>
      <w:sz w:val="24"/>
    </w:rPr>
  </w:style>
  <w:style w:type="paragraph" w:customStyle="1" w:styleId="64">
    <w:name w:val="表格"/>
    <w:basedOn w:val="1"/>
    <w:qFormat/>
    <w:uiPriority w:val="0"/>
    <w:pPr>
      <w:jc w:val="center"/>
    </w:pPr>
    <w:rPr>
      <w:rFonts w:ascii="Times New Roman"/>
      <w:sz w:val="24"/>
      <w:szCs w:val="24"/>
    </w:rPr>
  </w:style>
  <w:style w:type="paragraph" w:customStyle="1" w:styleId="65">
    <w:name w:val="表格-内容"/>
    <w:basedOn w:val="1"/>
    <w:qFormat/>
    <w:uiPriority w:val="0"/>
    <w:pPr>
      <w:spacing w:line="300" w:lineRule="exact"/>
      <w:ind w:firstLine="0" w:firstLineChars="0"/>
      <w:jc w:val="center"/>
    </w:pPr>
    <w:rPr>
      <w:sz w:val="21"/>
      <w:szCs w:val="21"/>
    </w:rPr>
  </w:style>
  <w:style w:type="paragraph" w:customStyle="1" w:styleId="66">
    <w:name w:val="Heading1"/>
    <w:basedOn w:val="1"/>
    <w:next w:val="1"/>
    <w:qFormat/>
    <w:uiPriority w:val="0"/>
    <w:pPr>
      <w:keepNext/>
      <w:keepLines/>
      <w:spacing w:before="50" w:after="20" w:line="576" w:lineRule="auto"/>
      <w:ind w:firstLineChars="0"/>
      <w:jc w:val="center"/>
      <w:textAlignment w:val="baseline"/>
    </w:pPr>
    <w:rPr>
      <w:rFonts w:ascii="Calibri" w:hAnsi="Calibri" w:eastAsia="宋体"/>
      <w:b/>
      <w:kern w:val="44"/>
      <w:sz w:val="32"/>
      <w:szCs w:val="24"/>
      <w:lang w:val="en-US" w:eastAsia="zh-CN" w:bidi="ar-SA"/>
    </w:rPr>
  </w:style>
  <w:style w:type="paragraph" w:customStyle="1" w:styleId="67">
    <w:name w:val="样式 样式 四号 左侧:  1.53 厘米 + 首行缩进:  2 字符"/>
    <w:basedOn w:val="68"/>
    <w:qFormat/>
    <w:uiPriority w:val="0"/>
    <w:pPr>
      <w:ind w:left="200" w:leftChars="200"/>
    </w:pPr>
    <w:rPr>
      <w:szCs w:val="20"/>
    </w:rPr>
  </w:style>
  <w:style w:type="paragraph" w:customStyle="1" w:styleId="68">
    <w:name w:val="样式 四号 左侧:  1.53 厘米"/>
    <w:basedOn w:val="1"/>
    <w:qFormat/>
    <w:uiPriority w:val="0"/>
    <w:pPr>
      <w:adjustRightInd w:val="0"/>
    </w:pPr>
    <w:rPr>
      <w:w w:val="90"/>
      <w:sz w:val="28"/>
      <w:szCs w:val="28"/>
    </w:rPr>
  </w:style>
  <w:style w:type="paragraph" w:customStyle="1" w:styleId="69">
    <w:name w:val="环评正文"/>
    <w:basedOn w:val="1"/>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70">
    <w:name w:val="报告表正文"/>
    <w:basedOn w:val="1"/>
    <w:qFormat/>
    <w:uiPriority w:val="0"/>
    <w:pPr>
      <w:adjustRightInd w:val="0"/>
      <w:spacing w:line="420" w:lineRule="auto"/>
      <w:ind w:left="113" w:right="113" w:firstLine="482"/>
      <w:jc w:val="left"/>
      <w:textAlignment w:val="baseline"/>
    </w:pPr>
    <w:rPr>
      <w:rFonts w:ascii="Times New Roman" w:hAnsi="Times New Roman" w:eastAsia="宋体"/>
      <w:kern w:val="0"/>
      <w:sz w:val="24"/>
    </w:rPr>
  </w:style>
  <w:style w:type="paragraph" w:customStyle="1" w:styleId="71">
    <w:name w:val="样式 样式 样式 四号 左侧:  1.53 厘米 + 首行缩进:  2 字符 + 居中 左侧:  2 字符 首行缩进:  2..."/>
    <w:basedOn w:val="67"/>
    <w:qFormat/>
    <w:uiPriority w:val="0"/>
    <w:pPr>
      <w:ind w:firstLine="0" w:firstLineChars="0"/>
      <w:jc w:val="center"/>
    </w:pPr>
  </w:style>
  <w:style w:type="paragraph" w:customStyle="1" w:styleId="72">
    <w:name w:val="正文-欣欣"/>
    <w:basedOn w:val="1"/>
    <w:qFormat/>
    <w:uiPriority w:val="0"/>
    <w:pPr>
      <w:ind w:firstLine="200"/>
    </w:pPr>
    <w:rPr>
      <w:szCs w:val="30"/>
    </w:rPr>
  </w:style>
  <w:style w:type="paragraph" w:customStyle="1" w:styleId="73">
    <w:name w:val="空一行"/>
    <w:basedOn w:val="1"/>
    <w:next w:val="72"/>
    <w:qFormat/>
    <w:uiPriority w:val="0"/>
    <w:pPr>
      <w:adjustRightInd w:val="0"/>
      <w:ind w:left="482"/>
      <w:jc w:val="left"/>
    </w:pPr>
  </w:style>
  <w:style w:type="paragraph" w:customStyle="1" w:styleId="74">
    <w:name w:val="Body text|1"/>
    <w:basedOn w:val="1"/>
    <w:qFormat/>
    <w:uiPriority w:val="0"/>
    <w:pPr>
      <w:spacing w:line="430" w:lineRule="auto"/>
      <w:ind w:firstLine="400"/>
    </w:pPr>
    <w:rPr>
      <w:rFonts w:ascii="宋体" w:hAnsi="宋体" w:cs="宋体"/>
      <w:color w:val="231F20"/>
      <w:lang w:val="zh-TW" w:eastAsia="zh-TW" w:bidi="zh-TW"/>
    </w:rPr>
  </w:style>
  <w:style w:type="paragraph" w:customStyle="1" w:styleId="75">
    <w:name w:val="表格标题"/>
    <w:basedOn w:val="1"/>
    <w:qFormat/>
    <w:uiPriority w:val="0"/>
    <w:pPr>
      <w:spacing w:line="240" w:lineRule="auto"/>
      <w:ind w:firstLine="0" w:firstLineChars="0"/>
      <w:jc w:val="center"/>
    </w:pPr>
    <w:rPr>
      <w:rFonts w:ascii="宋体" w:hAnsi="宋体" w:eastAsia="黑体" w:cs="宋体"/>
      <w:color w:val="000000"/>
    </w:rPr>
  </w:style>
  <w:style w:type="paragraph" w:customStyle="1" w:styleId="76">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77">
    <w:name w:val="Table Grid_0"/>
    <w:basedOn w:val="27"/>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
    <w:name w:val="真·正文"/>
    <w:basedOn w:val="70"/>
    <w:next w:val="79"/>
    <w:qFormat/>
    <w:uiPriority w:val="0"/>
    <w:pPr>
      <w:adjustRightInd w:val="0"/>
      <w:snapToGrid w:val="0"/>
      <w:spacing w:line="360" w:lineRule="auto"/>
      <w:ind w:firstLine="200" w:firstLineChars="200"/>
      <w:jc w:val="left"/>
    </w:pPr>
    <w:rPr>
      <w:sz w:val="24"/>
      <w:szCs w:val="21"/>
    </w:rPr>
  </w:style>
  <w:style w:type="paragraph" w:customStyle="1" w:styleId="79">
    <w:name w:val="1表格"/>
    <w:basedOn w:val="1"/>
    <w:next w:val="2"/>
    <w:qFormat/>
    <w:uiPriority w:val="0"/>
    <w:pPr>
      <w:snapToGrid w:val="0"/>
      <w:spacing w:line="160" w:lineRule="atLeast"/>
      <w:jc w:val="center"/>
    </w:pPr>
    <w:rPr>
      <w:rFonts w:ascii="Times New Roman" w:hAnsi="Times New Roman" w:eastAsia="仿宋_GB2312"/>
      <w:szCs w:val="20"/>
    </w:rPr>
  </w:style>
  <w:style w:type="table" w:customStyle="1" w:styleId="80">
    <w:name w:val="报告表大表格"/>
    <w:basedOn w:val="27"/>
    <w:qFormat/>
    <w:uiPriority w:val="99"/>
    <w:pPr>
      <w:adjustRightInd w:val="0"/>
      <w:snapToGrid w:val="0"/>
      <w:jc w:val="center"/>
    </w:pPr>
    <w:rPr>
      <w:kern w:val="2"/>
      <w:sz w:val="21"/>
      <w:szCs w:val="22"/>
    </w:rPr>
    <w:tblPr>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
    <w:trPr>
      <w:jc w:val="center"/>
    </w:trPr>
    <w:tcPr>
      <w:shd w:val="clear" w:color="auto" w:fill="auto"/>
      <w:vAlign w:val="center"/>
    </w:tcPr>
    <w:tblStylePr w:type="firstRow">
      <w:pPr>
        <w:wordWrap/>
        <w:adjustRightInd w:val="0"/>
        <w:snapToGrid w:val="0"/>
        <w:spacing w:line="240" w:lineRule="auto"/>
        <w:ind w:firstLine="0" w:firstLineChars="0"/>
        <w:jc w:val="center"/>
        <w:outlineLvl w:val="9"/>
      </w:pPr>
      <w:rPr>
        <w:rFonts w:ascii="Times New Roman" w:hAnsi="Times New Roman" w:eastAsia="宋体"/>
        <w:b w:val="0"/>
        <w:color w:val="000000"/>
        <w:sz w:val="21"/>
      </w:rPr>
    </w:tblStylePr>
    <w:tblStylePr w:type="firstCol">
      <w:tcPr>
        <w:shd w:val="clear" w:color="auto" w:fill="FFFFFF"/>
      </w:tcPr>
    </w:tblStylePr>
  </w:style>
  <w:style w:type="paragraph" w:customStyle="1" w:styleId="81">
    <w:name w:val="【正文】"/>
    <w:basedOn w:val="1"/>
    <w:qFormat/>
    <w:uiPriority w:val="0"/>
    <w:pPr>
      <w:adjustRightInd w:val="0"/>
      <w:snapToGrid w:val="0"/>
      <w:spacing w:line="360" w:lineRule="auto"/>
      <w:ind w:firstLine="480" w:firstLineChars="200"/>
    </w:pPr>
    <w:rPr>
      <w:sz w:val="24"/>
      <w:szCs w:val="22"/>
    </w:rPr>
  </w:style>
  <w:style w:type="paragraph" w:customStyle="1" w:styleId="82">
    <w:name w:val="报告正文"/>
    <w:basedOn w:val="1"/>
    <w:qFormat/>
    <w:uiPriority w:val="0"/>
    <w:pPr>
      <w:adjustRightInd w:val="0"/>
      <w:snapToGrid w:val="0"/>
      <w:spacing w:line="360" w:lineRule="auto"/>
      <w:ind w:firstLine="200" w:firstLineChars="200"/>
    </w:pPr>
    <w:rPr>
      <w:snapToGrid w:val="0"/>
      <w:sz w:val="24"/>
      <w:szCs w:val="24"/>
    </w:rPr>
  </w:style>
  <w:style w:type="paragraph" w:customStyle="1" w:styleId="83">
    <w:name w:val="表"/>
    <w:basedOn w:val="1"/>
    <w:qFormat/>
    <w:uiPriority w:val="0"/>
    <w:pPr>
      <w:jc w:val="center"/>
    </w:pPr>
  </w:style>
  <w:style w:type="paragraph" w:customStyle="1" w:styleId="84">
    <w:name w:val="Table Paragraph"/>
    <w:basedOn w:val="1"/>
    <w:qFormat/>
    <w:uiPriority w:val="1"/>
    <w:rPr>
      <w:szCs w:val="24"/>
    </w:rPr>
  </w:style>
  <w:style w:type="paragraph" w:customStyle="1" w:styleId="85">
    <w:name w:val="报告"/>
    <w:basedOn w:val="1"/>
    <w:qFormat/>
    <w:uiPriority w:val="0"/>
    <w:pPr>
      <w:adjustRightInd w:val="0"/>
      <w:spacing w:line="360" w:lineRule="auto"/>
      <w:ind w:firstLine="505"/>
      <w:jc w:val="left"/>
    </w:pPr>
    <w:rPr>
      <w:kern w:val="0"/>
      <w:sz w:val="24"/>
    </w:rPr>
  </w:style>
  <w:style w:type="table" w:customStyle="1" w:styleId="86">
    <w:name w:val="网格型1"/>
    <w:basedOn w:val="27"/>
    <w:qFormat/>
    <w:uiPriority w:val="39"/>
    <w:pPr>
      <w:adjustRightInd w:val="0"/>
      <w:snapToGrid w:val="0"/>
      <w:jc w:val="center"/>
    </w:pPr>
    <w:rPr>
      <w:sz w:val="21"/>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87">
    <w:name w:val="（1）"/>
    <w:basedOn w:val="82"/>
    <w:qFormat/>
    <w:uiPriority w:val="0"/>
    <w:pPr>
      <w:numPr>
        <w:ilvl w:val="0"/>
        <w:numId w:val="1"/>
      </w:numPr>
      <w:ind w:firstLine="0" w:firstLineChars="0"/>
      <w:jc w:val="left"/>
    </w:pPr>
    <w:rPr>
      <w:b/>
      <w:bCs/>
    </w:rPr>
  </w:style>
  <w:style w:type="paragraph" w:customStyle="1" w:styleId="8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wmf"/><Relationship Id="rId34" Type="http://schemas.openxmlformats.org/officeDocument/2006/relationships/oleObject" Target="embeddings/oleObject7.bin"/><Relationship Id="rId33" Type="http://schemas.openxmlformats.org/officeDocument/2006/relationships/image" Target="media/image20.wmf"/><Relationship Id="rId32" Type="http://schemas.openxmlformats.org/officeDocument/2006/relationships/oleObject" Target="embeddings/oleObject6.bin"/><Relationship Id="rId31" Type="http://schemas.openxmlformats.org/officeDocument/2006/relationships/image" Target="media/image19.w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oleObject" Target="embeddings/oleObject4.bin"/><Relationship Id="rId27" Type="http://schemas.openxmlformats.org/officeDocument/2006/relationships/image" Target="media/image17.wmf"/><Relationship Id="rId26" Type="http://schemas.openxmlformats.org/officeDocument/2006/relationships/oleObject" Target="embeddings/oleObject3.bin"/><Relationship Id="rId25" Type="http://schemas.openxmlformats.org/officeDocument/2006/relationships/image" Target="media/image16.wmf"/><Relationship Id="rId24" Type="http://schemas.openxmlformats.org/officeDocument/2006/relationships/oleObject" Target="embeddings/oleObject2.bin"/><Relationship Id="rId23" Type="http://schemas.openxmlformats.org/officeDocument/2006/relationships/image" Target="media/image15.wmf"/><Relationship Id="rId22" Type="http://schemas.openxmlformats.org/officeDocument/2006/relationships/oleObject" Target="embeddings/oleObject1.bin"/><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90</Pages>
  <Words>1220</Words>
  <Characters>1359</Characters>
  <Lines>340</Lines>
  <Paragraphs>95</Paragraphs>
  <TotalTime>1</TotalTime>
  <ScaleCrop>false</ScaleCrop>
  <LinksUpToDate>false</LinksUpToDate>
  <CharactersWithSpaces>1457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2020-12-25T01:29:00Z</dcterms:created>
  <dc:creator>lhj</dc:creator>
  <cp:lastModifiedBy>如果百褶裙偷偷哭泣。</cp:lastModifiedBy>
  <cp:lastPrinted>2021-03-27T02:36:00Z</cp:lastPrinted>
  <dcterms:modified xsi:type="dcterms:W3CDTF">2025-03-17T02:01:55Z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340409171_cloud</vt:lpwstr>
  </property>
  <property fmtid="{D5CDD505-2E9C-101B-9397-08002B2CF9AE}" pid="4" name="ICV">
    <vt:lpwstr>A54AFC41E0BD46EE93CEF73F982B2FB3_13</vt:lpwstr>
  </property>
  <property fmtid="{D5CDD505-2E9C-101B-9397-08002B2CF9AE}" pid="5" name="KSOTemplateDocerSaveRecord">
    <vt:lpwstr>eyJoZGlkIjoiNzhkMjE1YjIzMTA0Nzc1MzVlNDAxN2ViNzEzOTk2M2QiLCJ1c2VySWQiOiIzMTUzMDQxMzEifQ==</vt:lpwstr>
  </property>
</Properties>
</file>