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eastAsia="方正小标宋简体"/>
          <w:b w:val="0"/>
          <w:color w:val="000000" w:themeColor="text1"/>
          <w:spacing w:val="0"/>
          <w:kern w:val="0"/>
          <w:sz w:val="44"/>
          <w:szCs w:val="44"/>
          <w14:textFill>
            <w14:solidFill>
              <w14:schemeClr w14:val="tx1"/>
            </w14:solidFill>
          </w14:textFill>
        </w:rPr>
        <w:t>蓬溪县商务和经济合作局权责清单调整目录</w:t>
      </w:r>
    </w:p>
    <w:tbl>
      <w:tblPr>
        <w:tblStyle w:val="6"/>
        <w:tblW w:w="13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816"/>
        <w:gridCol w:w="1217"/>
        <w:gridCol w:w="1414"/>
        <w:gridCol w:w="833"/>
        <w:gridCol w:w="4711"/>
        <w:gridCol w:w="1300"/>
        <w:gridCol w:w="1450"/>
        <w:gridCol w:w="683"/>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blHeader/>
          <w:jc w:val="center"/>
        </w:trPr>
        <w:tc>
          <w:tcPr>
            <w:tcW w:w="476" w:type="dxa"/>
            <w:vMerge w:val="restart"/>
            <w:noWrap/>
            <w:vAlign w:val="center"/>
          </w:tcPr>
          <w:p>
            <w:pPr>
              <w:spacing w:line="320" w:lineRule="exact"/>
              <w:jc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序号</w:t>
            </w:r>
          </w:p>
        </w:tc>
        <w:tc>
          <w:tcPr>
            <w:tcW w:w="3447" w:type="dxa"/>
            <w:gridSpan w:val="3"/>
            <w:noWrap/>
            <w:vAlign w:val="center"/>
          </w:tcPr>
          <w:p>
            <w:pPr>
              <w:spacing w:line="320" w:lineRule="exact"/>
              <w:jc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权力清单</w:t>
            </w:r>
          </w:p>
        </w:tc>
        <w:tc>
          <w:tcPr>
            <w:tcW w:w="8977" w:type="dxa"/>
            <w:gridSpan w:val="5"/>
            <w:noWrap/>
            <w:vAlign w:val="center"/>
          </w:tcPr>
          <w:p>
            <w:pPr>
              <w:spacing w:line="320" w:lineRule="exact"/>
              <w:jc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责任清单</w:t>
            </w:r>
          </w:p>
        </w:tc>
        <w:tc>
          <w:tcPr>
            <w:tcW w:w="773" w:type="dxa"/>
            <w:vMerge w:val="restart"/>
            <w:noWrap/>
            <w:vAlign w:val="center"/>
          </w:tcPr>
          <w:p>
            <w:pPr>
              <w:widowControl/>
              <w:adjustRightInd w:val="0"/>
              <w:snapToGrid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jc w:val="center"/>
        </w:trPr>
        <w:tc>
          <w:tcPr>
            <w:tcW w:w="476" w:type="dxa"/>
            <w:vMerge w:val="continue"/>
            <w:noWrap/>
            <w:vAlign w:val="center"/>
          </w:tcPr>
          <w:p>
            <w:pPr>
              <w:spacing w:line="320" w:lineRule="exact"/>
              <w:jc w:val="center"/>
              <w:rPr>
                <w:rFonts w:hint="eastAsia" w:ascii="黑体" w:hAnsi="黑体" w:eastAsia="黑体" w:cs="黑体"/>
                <w:b w:val="0"/>
                <w:color w:val="000000" w:themeColor="text1"/>
                <w:spacing w:val="0"/>
                <w:sz w:val="21"/>
                <w:szCs w:val="21"/>
                <w14:textFill>
                  <w14:solidFill>
                    <w14:schemeClr w14:val="tx1"/>
                  </w14:solidFill>
                </w14:textFill>
              </w:rPr>
            </w:pPr>
          </w:p>
        </w:tc>
        <w:tc>
          <w:tcPr>
            <w:tcW w:w="816" w:type="dxa"/>
            <w:noWrap/>
            <w:vAlign w:val="center"/>
          </w:tcPr>
          <w:p>
            <w:pPr>
              <w:adjustRightInd w:val="0"/>
              <w:snapToGrid w:val="0"/>
              <w:spacing w:line="320" w:lineRule="exact"/>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权力类型</w:t>
            </w:r>
          </w:p>
        </w:tc>
        <w:tc>
          <w:tcPr>
            <w:tcW w:w="1217" w:type="dxa"/>
            <w:noWrap/>
            <w:vAlign w:val="center"/>
          </w:tcPr>
          <w:p>
            <w:pPr>
              <w:adjustRightInd w:val="0"/>
              <w:snapToGrid w:val="0"/>
              <w:spacing w:line="320" w:lineRule="exact"/>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权力名称</w:t>
            </w:r>
          </w:p>
        </w:tc>
        <w:tc>
          <w:tcPr>
            <w:tcW w:w="1414" w:type="dxa"/>
            <w:noWrap/>
            <w:vAlign w:val="center"/>
          </w:tcPr>
          <w:p>
            <w:pPr>
              <w:adjustRightInd w:val="0"/>
              <w:snapToGrid w:val="0"/>
              <w:spacing w:line="320" w:lineRule="exact"/>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设定依据</w:t>
            </w:r>
          </w:p>
        </w:tc>
        <w:tc>
          <w:tcPr>
            <w:tcW w:w="833" w:type="dxa"/>
            <w:noWrap/>
            <w:vAlign w:val="center"/>
          </w:tcPr>
          <w:p>
            <w:pPr>
              <w:adjustRightInd w:val="0"/>
              <w:snapToGrid w:val="0"/>
              <w:spacing w:line="320" w:lineRule="exact"/>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责任主体</w:t>
            </w:r>
          </w:p>
        </w:tc>
        <w:tc>
          <w:tcPr>
            <w:tcW w:w="4711" w:type="dxa"/>
            <w:noWrap/>
            <w:vAlign w:val="center"/>
          </w:tcPr>
          <w:p>
            <w:pPr>
              <w:adjustRightInd w:val="0"/>
              <w:snapToGrid w:val="0"/>
              <w:spacing w:line="320" w:lineRule="exact"/>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责任事项</w:t>
            </w:r>
          </w:p>
        </w:tc>
        <w:tc>
          <w:tcPr>
            <w:tcW w:w="1300" w:type="dxa"/>
            <w:noWrap/>
            <w:vAlign w:val="center"/>
          </w:tcPr>
          <w:p>
            <w:pPr>
              <w:adjustRightInd w:val="0"/>
              <w:snapToGrid w:val="0"/>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问责依据</w:t>
            </w:r>
          </w:p>
        </w:tc>
        <w:tc>
          <w:tcPr>
            <w:tcW w:w="1450" w:type="dxa"/>
            <w:noWrap/>
            <w:vAlign w:val="center"/>
          </w:tcPr>
          <w:p>
            <w:pPr>
              <w:adjustRightInd w:val="0"/>
              <w:snapToGrid w:val="0"/>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追责情形</w:t>
            </w:r>
          </w:p>
          <w:p>
            <w:pPr>
              <w:adjustRightInd w:val="0"/>
              <w:snapToGrid w:val="0"/>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及免责情形</w:t>
            </w:r>
          </w:p>
        </w:tc>
        <w:tc>
          <w:tcPr>
            <w:tcW w:w="683" w:type="dxa"/>
            <w:noWrap/>
            <w:vAlign w:val="center"/>
          </w:tcPr>
          <w:p>
            <w:pPr>
              <w:adjustRightInd w:val="0"/>
              <w:snapToGrid w:val="0"/>
              <w:jc w:val="center"/>
              <w:textAlignment w:val="center"/>
              <w:rPr>
                <w:rFonts w:hint="eastAsia" w:ascii="黑体" w:hAnsi="黑体" w:eastAsia="黑体" w:cs="黑体"/>
                <w:b w:val="0"/>
                <w:color w:val="000000" w:themeColor="text1"/>
                <w:spacing w:val="0"/>
                <w:sz w:val="21"/>
                <w:szCs w:val="21"/>
                <w14:textFill>
                  <w14:solidFill>
                    <w14:schemeClr w14:val="tx1"/>
                  </w14:solidFill>
                </w14:textFill>
              </w:rPr>
            </w:pPr>
            <w:r>
              <w:rPr>
                <w:rFonts w:hint="eastAsia" w:ascii="黑体" w:hAnsi="黑体" w:eastAsia="黑体" w:cs="黑体"/>
                <w:b w:val="0"/>
                <w:color w:val="000000" w:themeColor="text1"/>
                <w:spacing w:val="0"/>
                <w:sz w:val="21"/>
                <w:szCs w:val="21"/>
                <w14:textFill>
                  <w14:solidFill>
                    <w14:schemeClr w14:val="tx1"/>
                  </w14:solidFill>
                </w14:textFill>
              </w:rPr>
              <w:t>监督方式</w:t>
            </w:r>
          </w:p>
        </w:tc>
        <w:tc>
          <w:tcPr>
            <w:tcW w:w="773" w:type="dxa"/>
            <w:vMerge w:val="continue"/>
            <w:noWrap/>
            <w:vAlign w:val="center"/>
          </w:tcPr>
          <w:p>
            <w:pPr>
              <w:jc w:val="left"/>
              <w:rPr>
                <w:rFonts w:hint="eastAsia" w:ascii="仿宋_GB2312" w:hAnsi="仿宋_GB2312" w:eastAsia="仿宋_GB2312" w:cs="仿宋_GB2312"/>
                <w:b w:val="0"/>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2" w:hRule="atLeast"/>
          <w:jc w:val="center"/>
        </w:trPr>
        <w:tc>
          <w:tcPr>
            <w:tcW w:w="476"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1</w:t>
            </w:r>
          </w:p>
        </w:tc>
        <w:tc>
          <w:tcPr>
            <w:tcW w:w="816" w:type="dxa"/>
            <w:noWrap/>
            <w:vAlign w:val="center"/>
          </w:tcPr>
          <w:p>
            <w:pPr>
              <w:adjustRightInd w:val="0"/>
              <w:snapToGrid w:val="0"/>
              <w:spacing w:line="320" w:lineRule="exact"/>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行政处罚</w:t>
            </w:r>
          </w:p>
        </w:tc>
        <w:tc>
          <w:tcPr>
            <w:tcW w:w="1217"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对办展未按规定发布招展信息的行政处罚</w:t>
            </w:r>
          </w:p>
        </w:tc>
        <w:tc>
          <w:tcPr>
            <w:tcW w:w="1414"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《四川省加强管理服务促进会展业发展的规定》（省政府令第252号）第三十四条 违反本规定，未以主办单位名义发布招展信息或者承办单位擅自发布招展信息的，由商务主管部门责令限期改正；逾期不改正的处2000元以下罚款。</w:t>
            </w:r>
          </w:p>
        </w:tc>
        <w:tc>
          <w:tcPr>
            <w:tcW w:w="833"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商贸服务市场体系股</w:t>
            </w:r>
          </w:p>
        </w:tc>
        <w:tc>
          <w:tcPr>
            <w:tcW w:w="4711"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1.立案责任：发现涉嫌未以主办单位名义发布招展信息或者承办单位擅自发布招展信息的违法行为（或者其他机关移送的违法案件等），予以审查，决定是否立案。</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2.调查责任：市场秩序股对立案的案件，指定专人负责，及时组织调查取证，与当事人有直接利害关系的应当回避。执法人员不得少于两人，调查时应出示证件，允许当事人辩解。</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3.审查责任：审理案件调查报告，对案件违法事实、证据、调查取证程序、法律适用、处罚种类和幅度、当事人陈述和申辩，提出处理意见。</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4.告知责任：作出行政处罚决定前，应制作《行政处罚告知书》送达当事人，符合听证规定的，制作并送达《行政处罚听证告知书》。</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5.决定责任：制作《行政处罚决定书》，载明行政处罚告知、当事人陈述申辩或者听证情况等内容。</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6.送达责任：行政处罚决定书按法律规定的方式送达当事人。</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7.执行责任：依照生效的行政处罚决定执行。</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8.其他责任：法律法规规章文件规定应履行的其他责任。</w:t>
            </w:r>
          </w:p>
        </w:tc>
        <w:tc>
          <w:tcPr>
            <w:tcW w:w="1300"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《中华人民共和国监察法》、《中华人民共和国行政许可法》、《行政机关公务员处分条例》、《四川省行政审批违法违纪行为责任追究办法》</w:t>
            </w:r>
          </w:p>
        </w:tc>
        <w:tc>
          <w:tcPr>
            <w:tcW w:w="1450"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c>
          <w:tcPr>
            <w:tcW w:w="683"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监督电话：0825-3201360</w:t>
            </w:r>
          </w:p>
        </w:tc>
        <w:tc>
          <w:tcPr>
            <w:tcW w:w="773" w:type="dxa"/>
            <w:noWrap/>
            <w:vAlign w:val="center"/>
          </w:tcPr>
          <w:p>
            <w:pPr>
              <w:adjustRightInd w:val="0"/>
              <w:snapToGrid w:val="0"/>
              <w:spacing w:line="320" w:lineRule="exact"/>
              <w:jc w:val="both"/>
              <w:textAlignment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根据川编函〔2024〕61号文件取消该项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0" w:hRule="atLeast"/>
          <w:jc w:val="center"/>
        </w:trPr>
        <w:tc>
          <w:tcPr>
            <w:tcW w:w="476"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2</w:t>
            </w:r>
          </w:p>
        </w:tc>
        <w:tc>
          <w:tcPr>
            <w:tcW w:w="816"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行政处罚</w:t>
            </w:r>
          </w:p>
        </w:tc>
        <w:tc>
          <w:tcPr>
            <w:tcW w:w="1217"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对办展未按规定备案的行政处罚</w:t>
            </w:r>
          </w:p>
        </w:tc>
        <w:tc>
          <w:tcPr>
            <w:tcW w:w="1414"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《四川省加强管理服务促进会展业发展的规定》（省政府令第252号）第三十五条 违反本规定第十九条第一款规定，举办会展未按规定备案的，由商务主管部门责令限期备案；逾期不备案的，处2000元以上2万元以下罚款。</w:t>
            </w:r>
          </w:p>
        </w:tc>
        <w:tc>
          <w:tcPr>
            <w:tcW w:w="833"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商贸服务市场体系股</w:t>
            </w:r>
          </w:p>
        </w:tc>
        <w:tc>
          <w:tcPr>
            <w:tcW w:w="4711"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1.立案责任：发现主办单位涉嫌办展未按规定备案的，予以审查，决定是否立案。</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2.调查责任：对立案的案件及时组织调查取证，与当事人有直接利害关系的应当回避。执法人员不得少于两人，询问或者检查应当制作笔录，允许当事人辩解。</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3.审查责任：对案件的违法事实、证据、法定程序、当事人陈述和申辩、调查取证程序、法律适用、处罚种类及幅度、当事人陈述和申辩等进行审查，提出处理意见。</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4.告知责任：作出行政处罚决定前，应制作《行政处罚告知书》送达当事人，告知其作出行政处罚决定的事实、理由及依据，并告知当事人依法享有的权力。符合听证规定的，制作并送达《行政处罚听证告知书》。</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5.决定责任：作出处罚决定，制作《行政处罚决定书》，并载明行政处罚告知、当事人陈述申辩或者听证情况等内容。</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6.送达责任：按照法律法规规定的方式和时限，将《行政处罚决定书》送达当事人。</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7.执行责任：依照生效的行政处罚决定执行。</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8.其他责任：法律法规规章文件规定应履行的其他责任。</w:t>
            </w:r>
          </w:p>
        </w:tc>
        <w:tc>
          <w:tcPr>
            <w:tcW w:w="1300"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《中华人民共和国监察法》、《中华人民共和国行政许可法》、《行政机关公务员处分条例》、《四川省行政审批违法违纪行为责任追究办法》</w:t>
            </w:r>
          </w:p>
        </w:tc>
        <w:tc>
          <w:tcPr>
            <w:tcW w:w="1450"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c>
          <w:tcPr>
            <w:tcW w:w="683"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监督电话：0825-3201360</w:t>
            </w:r>
          </w:p>
        </w:tc>
        <w:tc>
          <w:tcPr>
            <w:tcW w:w="773" w:type="dxa"/>
            <w:shd w:val="clear" w:color="auto" w:fill="auto"/>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根据川编函〔2024〕61号文件取消该项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0" w:hRule="atLeast"/>
          <w:jc w:val="center"/>
        </w:trPr>
        <w:tc>
          <w:tcPr>
            <w:tcW w:w="476"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58</w:t>
            </w:r>
          </w:p>
        </w:tc>
        <w:tc>
          <w:tcPr>
            <w:tcW w:w="816"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其他行政权力</w:t>
            </w:r>
          </w:p>
        </w:tc>
        <w:tc>
          <w:tcPr>
            <w:tcW w:w="1217"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举办会展备案</w:t>
            </w:r>
          </w:p>
        </w:tc>
        <w:tc>
          <w:tcPr>
            <w:tcW w:w="1414"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四川省加强管理服务促进会展业发展的规定》第十九条：（一）以四川省名义在国内举办会展或者省际间联合举办会展的，主办单位应当在会展招展前信息发布前15日内向省商务主管部门备案；（二）举办须经审批的对外经济合作及其他国际会展，主办单位应当持审批机关的批准文件在会展信息发布前30日向省商务主管部门备案；（三）举办除本条第（一）、（二）项规定外的其他会展，主办单位应当在会展信息发布前10日</w:t>
            </w:r>
            <w:bookmarkStart w:id="0" w:name="_GoBack"/>
            <w:bookmarkEnd w:id="0"/>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内向举办地市（州）、县（市、区）商务主管部门备案。</w:t>
            </w:r>
          </w:p>
        </w:tc>
        <w:tc>
          <w:tcPr>
            <w:tcW w:w="833"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商贸服务市场体系股</w:t>
            </w:r>
          </w:p>
        </w:tc>
        <w:tc>
          <w:tcPr>
            <w:tcW w:w="4711" w:type="dxa"/>
            <w:noWrap/>
            <w:vAlign w:val="center"/>
          </w:tcPr>
          <w:p>
            <w:pPr>
              <w:numPr>
                <w:ilvl w:val="0"/>
                <w:numId w:val="1"/>
              </w:num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 xml:space="preserve">受理责任：公示应当提交的材料，一次性告知补正材料，依法受理或不予受理（不予受理应当告知理由）。                         </w:t>
            </w:r>
          </w:p>
          <w:p>
            <w:pPr>
              <w:numPr>
                <w:ilvl w:val="0"/>
                <w:numId w:val="0"/>
              </w:num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2.审查责任：对举办除本条第（一）、（二）项规定外的其他会展的主办单位提交的备案材料是否齐全、符合法定形式进行审查。</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3.决定责任：对符合条件的会展主办单位予以备案、编号及公告。</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4.事后监管责任：开展定期和不定期检查，依法采取相关处置措施。</w:t>
            </w:r>
          </w:p>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5.其他责任：法律法规规章文件规定应履行的其他责任。</w:t>
            </w:r>
          </w:p>
        </w:tc>
        <w:tc>
          <w:tcPr>
            <w:tcW w:w="1300"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四川省加强管理服务促进会展业发展的规定》《中华人民共和国行政监察法》《中华人民共和国行政许可法》《中华人民共和国公职人员政务处分法》《行政机关公务员处分条例》《四川省行政审批违法违纪行为责任追究办法》等</w:t>
            </w: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w:t>
            </w:r>
          </w:p>
        </w:tc>
        <w:tc>
          <w:tcPr>
            <w:tcW w:w="1450"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14:textFill>
                  <w14:solidFill>
                    <w14:schemeClr w14:val="tx1"/>
                  </w14:solidFill>
                </w14:textFill>
              </w:rPr>
              <w:t>对不履行或不正确履行行政职责的行政机关及其工作人员，依据《中华人民共和国行政监察法》、《行政机关公务员处分条例》、《四川省行政审批违法违纪行为责任追究办法》、《四川省加强管理服务促进会展业发展的规定》等法律法规规章的相关规定追究相应的责任。</w:t>
            </w:r>
          </w:p>
        </w:tc>
        <w:tc>
          <w:tcPr>
            <w:tcW w:w="683" w:type="dxa"/>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监督电话：0825-3201360</w:t>
            </w:r>
          </w:p>
        </w:tc>
        <w:tc>
          <w:tcPr>
            <w:tcW w:w="773" w:type="dxa"/>
            <w:shd w:val="clear" w:color="auto" w:fill="auto"/>
            <w:noWrap/>
            <w:vAlign w:val="center"/>
          </w:tcPr>
          <w:p>
            <w:pPr>
              <w:adjustRightInd w:val="0"/>
              <w:snapToGrid w:val="0"/>
              <w:spacing w:line="320" w:lineRule="exact"/>
              <w:jc w:val="both"/>
              <w:textAlignment w:val="center"/>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根据川编函〔2024〕61号文件取消该项</w:t>
            </w:r>
          </w:p>
        </w:tc>
      </w:tr>
    </w:tbl>
    <w:p/>
    <w:sectPr>
      <w:footerReference r:id="rId3" w:type="default"/>
      <w:pgSz w:w="16840" w:h="11907" w:orient="landscape"/>
      <w:pgMar w:top="1111" w:right="2098" w:bottom="1198" w:left="1871" w:header="851" w:footer="1531"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740E7"/>
    <w:multiLevelType w:val="singleLevel"/>
    <w:tmpl w:val="59C740E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NWE0NGM3MzFjMDgwYzZlYTYyNDMxZDM5ZmI4NmYifQ=="/>
  </w:docVars>
  <w:rsids>
    <w:rsidRoot w:val="3F8E6B01"/>
    <w:rsid w:val="0DC53973"/>
    <w:rsid w:val="163871D3"/>
    <w:rsid w:val="168A0D04"/>
    <w:rsid w:val="179F5FCA"/>
    <w:rsid w:val="18387C80"/>
    <w:rsid w:val="1B3F24BA"/>
    <w:rsid w:val="218316A4"/>
    <w:rsid w:val="226D33AD"/>
    <w:rsid w:val="27807D96"/>
    <w:rsid w:val="2A2E2840"/>
    <w:rsid w:val="38B64C9A"/>
    <w:rsid w:val="3D547CE7"/>
    <w:rsid w:val="3F8E6B01"/>
    <w:rsid w:val="400D3854"/>
    <w:rsid w:val="48E937E7"/>
    <w:rsid w:val="49D138ED"/>
    <w:rsid w:val="5D595D74"/>
    <w:rsid w:val="636D4A85"/>
    <w:rsid w:val="66507417"/>
    <w:rsid w:val="77A12F3A"/>
    <w:rsid w:val="78F31A53"/>
    <w:rsid w:val="7A527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unhideWhenUsed/>
    <w:qFormat/>
    <w:uiPriority w:val="99"/>
    <w:pPr>
      <w:ind w:firstLine="420" w:firstLine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styleId="9">
    <w:name w:val="Hyperlink"/>
    <w:qFormat/>
    <w:uiPriority w:val="0"/>
    <w:rPr>
      <w:color w:val="07519A"/>
      <w:u w:val="none"/>
    </w:rPr>
  </w:style>
  <w:style w:type="paragraph" w:customStyle="1" w:styleId="10">
    <w:name w:val="_Style 2"/>
    <w:basedOn w:val="1"/>
    <w:qFormat/>
    <w:uiPriority w:val="34"/>
    <w:pPr>
      <w:ind w:firstLine="420" w:firstLineChars="200"/>
    </w:pPr>
  </w:style>
  <w:style w:type="paragraph" w:customStyle="1" w:styleId="11">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常用样式（方正仿宋简）"/>
    <w:basedOn w:val="1"/>
    <w:qFormat/>
    <w:uiPriority w:val="0"/>
    <w:pPr>
      <w:spacing w:line="560" w:lineRule="exact"/>
      <w:ind w:firstLine="640" w:firstLineChars="200"/>
    </w:pPr>
    <w:rPr>
      <w:rFonts w:ascii="Times New Roman" w:hAnsi="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30213</Words>
  <Characters>30986</Characters>
  <Lines>0</Lines>
  <Paragraphs>0</Paragraphs>
  <TotalTime>67</TotalTime>
  <ScaleCrop>false</ScaleCrop>
  <LinksUpToDate>false</LinksUpToDate>
  <CharactersWithSpaces>31102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2022-02-17T08:00:00Z</dcterms:created>
  <dc:creator>陈</dc:creator>
  <cp:lastModifiedBy>温晓梅</cp:lastModifiedBy>
  <dcterms:modified xsi:type="dcterms:W3CDTF">2025-01-27T08:39:54Z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138CA69D5F7046849BACCFBBB81FF195</vt:lpwstr>
  </property>
  <property fmtid="{D5CDD505-2E9C-101B-9397-08002B2CF9AE}" pid="4" name="KSOTemplateDocerSaveRecord">
    <vt:lpwstr>eyJoZGlkIjoiMTdlNTBmNWI4MWE4M2RkMjQ1YTdiY2VjYWFmMGUxYjAiLCJ1c2VySWQiOiI0MzEzMjAxMTMifQ==</vt:lpwstr>
  </property>
</Properties>
</file>